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1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10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83"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823" w:right="339" w:bottom="1440" w:gutter="0" w:footer="0" w:header="0"/>
        </w:sectPr>
      </w:pPr>
    </w:p>
    <w:p>
      <w:pPr>
        <w:spacing w:after="0" w:line="192" w:lineRule="exact"/>
        <w:rPr>
          <w:sz w:val="24"/>
          <w:szCs w:val="24"/>
          <w:color w:val="auto"/>
        </w:rPr>
      </w:pPr>
    </w:p>
    <w:p>
      <w:pPr>
        <w:ind w:left="26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96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9"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814-01022</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right="540" w:firstLine="263"/>
        <w:spacing w:after="0" w:line="312" w:lineRule="auto"/>
        <w:rPr>
          <w:sz w:val="20"/>
          <w:szCs w:val="20"/>
          <w:color w:val="auto"/>
        </w:rPr>
      </w:pPr>
      <w:r>
        <w:rPr>
          <w:rFonts w:ascii="Arial" w:cs="Arial" w:eastAsia="Arial" w:hAnsi="Arial"/>
          <w:sz w:val="12"/>
          <w:szCs w:val="12"/>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-635635</wp:posOffset>
            </wp:positionH>
            <wp:positionV relativeFrom="paragraph">
              <wp:posOffset>-15875</wp:posOffset>
            </wp:positionV>
            <wp:extent cx="4766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jc w:val="center"/>
        <w:ind w:right="520"/>
        <w:spacing w:after="0"/>
        <w:rPr>
          <w:sz w:val="20"/>
          <w:szCs w:val="20"/>
          <w:color w:val="auto"/>
        </w:rPr>
      </w:pPr>
      <w:r>
        <w:rPr>
          <w:rFonts w:ascii="Arial" w:cs="Arial" w:eastAsia="Arial" w:hAnsi="Arial"/>
          <w:sz w:val="27"/>
          <w:szCs w:val="27"/>
          <w:b w:val="1"/>
          <w:bCs w:val="1"/>
          <w:color w:val="auto"/>
        </w:rPr>
        <w:t>Logan Ridge Finance Corporation</w:t>
      </w:r>
    </w:p>
    <w:p>
      <w:pPr>
        <w:spacing w:after="0" w:line="91"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650 Madison Avenue, 23rd Floor</w:t>
      </w:r>
    </w:p>
    <w:p>
      <w:pPr>
        <w:jc w:val="center"/>
        <w:ind w:right="460"/>
        <w:spacing w:after="0" w:line="233" w:lineRule="auto"/>
        <w:rPr>
          <w:sz w:val="20"/>
          <w:szCs w:val="20"/>
          <w:color w:val="auto"/>
        </w:rPr>
      </w:pPr>
      <w:r>
        <w:rPr>
          <w:rFonts w:ascii="Arial" w:cs="Arial" w:eastAsia="Arial" w:hAnsi="Arial"/>
          <w:sz w:val="15"/>
          <w:szCs w:val="15"/>
          <w:b w:val="1"/>
          <w:bCs w:val="1"/>
          <w:color w:val="auto"/>
        </w:rPr>
        <w:t>New York, New York 10022</w:t>
      </w:r>
    </w:p>
    <w:p>
      <w:pPr>
        <w:jc w:val="center"/>
        <w:ind w:right="460"/>
        <w:spacing w:after="0" w:line="225" w:lineRule="auto"/>
        <w:rPr>
          <w:sz w:val="20"/>
          <w:szCs w:val="20"/>
          <w:color w:val="auto"/>
        </w:rPr>
      </w:pPr>
      <w:r>
        <w:rPr>
          <w:rFonts w:ascii="Arial" w:cs="Arial" w:eastAsia="Arial" w:hAnsi="Arial"/>
          <w:sz w:val="15"/>
          <w:szCs w:val="15"/>
          <w:b w:val="1"/>
          <w:bCs w:val="1"/>
          <w:color w:val="auto"/>
        </w:rPr>
        <w:t>Telephone: (212) 891-2880</w:t>
      </w:r>
    </w:p>
    <w:p>
      <w:pPr>
        <w:jc w:val="center"/>
        <w:ind w:right="460"/>
        <w:spacing w:after="0"/>
        <w:rPr>
          <w:sz w:val="20"/>
          <w:szCs w:val="20"/>
          <w:color w:val="auto"/>
        </w:rPr>
      </w:pPr>
      <w:r>
        <w:rPr>
          <w:rFonts w:ascii="Arial" w:cs="Arial" w:eastAsia="Arial" w:hAnsi="Arial"/>
          <w:sz w:val="15"/>
          <w:szCs w:val="15"/>
          <w:b w:val="1"/>
          <w:bCs w:val="1"/>
          <w:color w:val="auto"/>
        </w:rPr>
        <w:t>State of Incorporation: Maryland</w:t>
      </w:r>
    </w:p>
    <w:p>
      <w:pPr>
        <w:spacing w:after="0" w:line="82"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I.R.S. Employer Identification</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5080</wp:posOffset>
            </wp:positionV>
            <wp:extent cx="1260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5"/>
          <w:szCs w:val="15"/>
          <w:b w:val="1"/>
          <w:bCs w:val="1"/>
          <w:color w:val="auto"/>
        </w:rPr>
        <w:t>90-0945675</w:t>
      </w:r>
    </w:p>
    <w:p>
      <w:pPr>
        <w:spacing w:after="0" w:line="1253" w:lineRule="exact"/>
        <w:rPr>
          <w:sz w:val="24"/>
          <w:szCs w:val="24"/>
          <w:color w:val="auto"/>
        </w:rPr>
      </w:pPr>
    </w:p>
    <w:p>
      <w:pPr>
        <w:sectPr>
          <w:pgSz w:w="11900" w:h="16838" w:orient="portrait"/>
          <w:cols w:equalWidth="0" w:num="3">
            <w:col w:w="1680" w:space="720"/>
            <w:col w:w="5960" w:space="720"/>
            <w:col w:w="2160"/>
          </w:cols>
          <w:pgMar w:left="320" w:top="823"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39"/>
        </w:trPr>
        <w:tc>
          <w:tcPr>
            <w:tcW w:w="3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28"/>
        </w:trPr>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14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5"/>
                <w:szCs w:val="15"/>
                <w:b w:val="1"/>
                <w:bCs w:val="1"/>
                <w:color w:val="auto"/>
              </w:rPr>
              <w:t>LRFC</w:t>
            </w: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5"/>
                <w:szCs w:val="15"/>
                <w:b w:val="1"/>
                <w:bCs w:val="1"/>
                <w:color w:val="auto"/>
                <w:w w:val="95"/>
              </w:rPr>
              <w:t>NASDAQ Global Select Market</w:t>
            </w:r>
          </w:p>
        </w:tc>
      </w:tr>
    </w:tbl>
    <w:p>
      <w:pPr>
        <w:spacing w:after="0" w:line="274" w:lineRule="exact"/>
        <w:rPr>
          <w:sz w:val="24"/>
          <w:szCs w:val="24"/>
          <w:color w:val="auto"/>
        </w:rPr>
      </w:pPr>
    </w:p>
    <w:p>
      <w:pPr>
        <w:jc w:val="right"/>
        <w:ind w:left="520" w:right="3540"/>
        <w:spacing w:after="0" w:line="289" w:lineRule="auto"/>
        <w:rPr>
          <w:sz w:val="20"/>
          <w:szCs w:val="20"/>
          <w:color w:val="auto"/>
        </w:rPr>
      </w:pPr>
      <w:r>
        <w:rPr>
          <w:rFonts w:ascii="Arial" w:cs="Arial" w:eastAsia="Arial" w:hAnsi="Arial"/>
          <w:sz w:val="15"/>
          <w:szCs w:val="15"/>
          <w:b w:val="1"/>
          <w:bCs w:val="1"/>
          <w:color w:val="auto"/>
        </w:rPr>
        <w:t xml:space="preserve">Securities registered pursuant to Section 12(g) of the Act: None </w:t>
      </w:r>
      <w:r>
        <w:rPr>
          <w:rFonts w:ascii="Arial" w:cs="Arial" w:eastAsia="Arial" w:hAnsi="Arial"/>
          <w:sz w:val="15"/>
          <w:szCs w:val="15"/>
          <w:color w:val="auto"/>
        </w:rPr>
        <w:t>Indicate by check mark if the registrant is a well-known seasoned issuer, as defined in Rule 405 of the Securities Act.</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4"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6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4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520"/>
        <w:spacing w:after="0" w:line="173" w:lineRule="exact"/>
        <w:tabs>
          <w:tab w:leader="none" w:pos="594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7" w:lineRule="exact"/>
        <w:rPr>
          <w:sz w:val="24"/>
          <w:szCs w:val="24"/>
          <w:color w:val="auto"/>
        </w:rPr>
      </w:pPr>
    </w:p>
    <w:p>
      <w:pPr>
        <w:ind w:left="520"/>
        <w:spacing w:after="0" w:line="173" w:lineRule="exact"/>
        <w:tabs>
          <w:tab w:leader="none" w:pos="5940" w:val="left"/>
        </w:tabs>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4" w:lineRule="exact"/>
        <w:rPr>
          <w:sz w:val="24"/>
          <w:szCs w:val="24"/>
          <w:color w:val="auto"/>
        </w:rPr>
      </w:pPr>
    </w:p>
    <w:p>
      <w:pPr>
        <w:ind w:left="596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6" w:lineRule="exact"/>
        <w:rPr>
          <w:sz w:val="24"/>
          <w:szCs w:val="24"/>
          <w:color w:val="auto"/>
        </w:rPr>
      </w:pPr>
    </w:p>
    <w:p>
      <w:pPr>
        <w:jc w:val="both"/>
        <w:ind w:firstLine="509"/>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95" w:lineRule="exact"/>
        <w:rPr>
          <w:sz w:val="24"/>
          <w:szCs w:val="24"/>
          <w:color w:val="auto"/>
        </w:rPr>
      </w:pPr>
    </w:p>
    <w:p>
      <w:pPr>
        <w:jc w:val="both"/>
        <w:ind w:right="20" w:firstLine="509"/>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jc w:val="both"/>
        <w:ind w:firstLine="509"/>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95" w:lineRule="exact"/>
        <w:rPr>
          <w:sz w:val="24"/>
          <w:szCs w:val="24"/>
          <w:color w:val="auto"/>
        </w:rPr>
      </w:pPr>
    </w:p>
    <w:p>
      <w:pPr>
        <w:jc w:val="both"/>
        <w:ind w:firstLine="509"/>
        <w:spacing w:after="0" w:line="19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95"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4"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rPr>
          <w:sz w:val="20"/>
          <w:szCs w:val="20"/>
          <w:color w:val="auto"/>
        </w:rPr>
      </w:pPr>
      <w:r>
        <w:rPr>
          <w:rFonts w:ascii="Arial" w:cs="Arial" w:eastAsia="Arial" w:hAnsi="Arial"/>
          <w:sz w:val="15"/>
          <w:szCs w:val="15"/>
          <w:color w:val="auto"/>
        </w:rPr>
        <w:t>The aggregate market value of the registrant’s common stock held by non-affiliates of the registrant was $42.8 million based on the number of shares held by non-affiliates of the registrant as of June 30, 2022, which was the last business day of the registrant’s most recently completed second fiscal quarter. For the purposes of calculating this amount only, all directors and executive officers of the registrant have been treated as affiliates.</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5"/>
          <w:szCs w:val="15"/>
          <w:color w:val="auto"/>
        </w:rPr>
        <w:t>The number of shares of Logan Ridge Finance Corporation’s common stock, $0.01 par value, outstanding as of March 3, 2023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 w:name="page2"/>
    <w:bookmarkEnd w:id="1"/>
    <w:p>
      <w:pPr>
        <w:ind w:left="3860"/>
        <w:spacing w:after="0"/>
        <w:rPr>
          <w:sz w:val="20"/>
          <w:szCs w:val="20"/>
          <w:color w:val="auto"/>
        </w:rPr>
      </w:pPr>
      <w:r>
        <w:rPr>
          <w:rFonts w:ascii="Arial" w:cs="Arial" w:eastAsia="Arial" w:hAnsi="Arial"/>
          <w:sz w:val="15"/>
          <w:szCs w:val="15"/>
          <w:b w:val="1"/>
          <w:bCs w:val="1"/>
          <w:color w:val="231F20"/>
        </w:rPr>
        <w:t>DOCUMENTS INCORPORATED BY REFERENCE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231F20"/>
        </w:rPr>
        <w:t>Portions of the Registrant’s Proxy Statement for the Annual Meeting of Stockholders to be held in 2023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6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04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000" w:type="dxa"/>
            <w:vAlign w:val="bottom"/>
            <w:vMerge w:val="restart"/>
          </w:tcPr>
          <w:p>
            <w:pPr>
              <w:spacing w:after="0"/>
              <w:rPr>
                <w:sz w:val="20"/>
                <w:szCs w:val="20"/>
                <w:color w:val="auto"/>
              </w:rPr>
            </w:pPr>
            <w:r>
              <w:rPr>
                <w:rFonts w:ascii="Arial" w:cs="Arial" w:eastAsia="Arial" w:hAnsi="Arial"/>
                <w:sz w:val="14"/>
                <w:szCs w:val="14"/>
                <w:color w:val="auto"/>
              </w:rPr>
              <w:t>PART I</w:t>
            </w:r>
          </w:p>
        </w:tc>
        <w:tc>
          <w:tcPr>
            <w:tcW w:w="8040" w:type="dxa"/>
            <w:vAlign w:val="bottom"/>
          </w:tcPr>
          <w:p>
            <w:pPr>
              <w:spacing w:after="0"/>
              <w:rPr>
                <w:sz w:val="24"/>
                <w:szCs w:val="24"/>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8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Business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1A.</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Risk Factors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1B.</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Unresolved Staff Comments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2.</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Properties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3.</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Legal Proceedings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4.</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Mine Safety Disclosures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color w:val="auto"/>
              </w:rPr>
              <w:t>PART II</w:t>
            </w:r>
          </w:p>
        </w:tc>
        <w:tc>
          <w:tcPr>
            <w:tcW w:w="8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5.</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Market for Registrant’s Common Equity, Related Stockholder Matters and Issuer Purchases of Equity Securities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6.</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[Reserved]</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7.</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Management’s Discussion and Analysis of Financial Condition and Results of Operations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7A.</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Quantitative and Qualitative Disclosures about Market Risk</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8.</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Consolidated Financial Statements and Supplementary Data</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9.</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Changes in and Disagreements with Accountants on Accounting and Financial Disclosure</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9A.</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Controls and Procedures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9B.</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Other Information</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9C.</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Disclosure Regarding Foreign Jurisdictions that Prevent Inspections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PART III</w:t>
            </w:r>
          </w:p>
        </w:tc>
        <w:tc>
          <w:tcPr>
            <w:tcW w:w="8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10.</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Directors, Executive Officers and Corporate Governance</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11.</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Executive Compensation</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12.</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Security Ownership of Certain Beneficial Owners and Management and Related Stockholder Matters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13.</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Certain Relationships and Related Transactions, and Director Independence</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14.</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Principal Accountant Fees and Services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Arial" w:cs="Arial" w:eastAsia="Arial" w:hAnsi="Arial"/>
                <w:sz w:val="14"/>
                <w:szCs w:val="14"/>
                <w:color w:val="auto"/>
              </w:rPr>
              <w:t>PART IV</w:t>
            </w:r>
          </w:p>
        </w:tc>
        <w:tc>
          <w:tcPr>
            <w:tcW w:w="8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15.</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Exhibits and Consolidated Financial Statement Schedules</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8"/>
        </w:trPr>
        <w:tc>
          <w:tcPr>
            <w:tcW w:w="1000" w:type="dxa"/>
            <w:vAlign w:val="bottom"/>
          </w:tcPr>
          <w:p>
            <w:pPr>
              <w:ind w:left="240"/>
              <w:spacing w:after="0" w:line="149" w:lineRule="exact"/>
              <w:rPr>
                <w:sz w:val="20"/>
                <w:szCs w:val="20"/>
                <w:color w:val="auto"/>
              </w:rPr>
            </w:pPr>
            <w:r>
              <w:rPr>
                <w:rFonts w:ascii="Arial" w:cs="Arial" w:eastAsia="Arial" w:hAnsi="Arial"/>
                <w:sz w:val="14"/>
                <w:szCs w:val="14"/>
                <w:u w:val="single" w:color="auto"/>
                <w:color w:val="0000FF"/>
              </w:rPr>
              <w:t>Item 16.</w:t>
            </w:r>
          </w:p>
        </w:tc>
        <w:tc>
          <w:tcPr>
            <w:tcW w:w="8040" w:type="dxa"/>
            <w:vAlign w:val="bottom"/>
          </w:tcPr>
          <w:p>
            <w:pPr>
              <w:ind w:left="260"/>
              <w:spacing w:after="0" w:line="149" w:lineRule="exact"/>
              <w:rPr>
                <w:sz w:val="20"/>
                <w:szCs w:val="20"/>
                <w:color w:val="auto"/>
              </w:rPr>
            </w:pPr>
            <w:r>
              <w:rPr>
                <w:rFonts w:ascii="Arial" w:cs="Arial" w:eastAsia="Arial" w:hAnsi="Arial"/>
                <w:sz w:val="14"/>
                <w:szCs w:val="14"/>
                <w:u w:val="single" w:color="auto"/>
                <w:color w:val="0000FF"/>
              </w:rPr>
              <w:t>Form 10-K Summary</w:t>
            </w:r>
          </w:p>
        </w:tc>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4"/>
                <w:szCs w:val="14"/>
                <w:u w:val="single" w:color="auto"/>
                <w:color w:val="0000FF"/>
              </w:rPr>
              <w:t>Signatures</w:t>
            </w:r>
          </w:p>
        </w:tc>
        <w:tc>
          <w:tcPr>
            <w:tcW w:w="80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6498590</wp:posOffset>
            </wp:positionH>
            <wp:positionV relativeFrom="paragraph">
              <wp:posOffset>-2563495</wp:posOffset>
            </wp:positionV>
            <wp:extent cx="411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-2374900</wp:posOffset>
            </wp:positionV>
            <wp:extent cx="258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-2374900</wp:posOffset>
            </wp:positionV>
            <wp:extent cx="325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12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-2280285</wp:posOffset>
            </wp:positionV>
            <wp:extent cx="32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48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-2280285</wp:posOffset>
            </wp:positionV>
            <wp:extent cx="459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910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-2186305</wp:posOffset>
            </wp:positionV>
            <wp:extent cx="16960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608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-2091690</wp:posOffset>
            </wp:positionV>
            <wp:extent cx="258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-2091690</wp:posOffset>
            </wp:positionV>
            <wp:extent cx="370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020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-1997710</wp:posOffset>
            </wp:positionV>
            <wp:extent cx="258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-1997710</wp:posOffset>
            </wp:positionV>
            <wp:extent cx="676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-1903095</wp:posOffset>
            </wp:positionV>
            <wp:extent cx="1555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5750" cy="8890"/>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-1714500</wp:posOffset>
            </wp:positionV>
            <wp:extent cx="47536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5361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-1620520</wp:posOffset>
            </wp:positionV>
            <wp:extent cx="258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-1620520</wp:posOffset>
            </wp:positionV>
            <wp:extent cx="400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068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-1525905</wp:posOffset>
            </wp:positionV>
            <wp:extent cx="3935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3573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-1431925</wp:posOffset>
            </wp:positionV>
            <wp:extent cx="2844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4800" cy="8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-1337310</wp:posOffset>
            </wp:positionV>
            <wp:extent cx="2852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242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-1243330</wp:posOffset>
            </wp:positionV>
            <wp:extent cx="3945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589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-1148715</wp:posOffset>
            </wp:positionV>
            <wp:extent cx="1555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575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-1054735</wp:posOffset>
            </wp:positionV>
            <wp:extent cx="1324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461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-960120</wp:posOffset>
            </wp:positionV>
            <wp:extent cx="3143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3885" cy="8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-771525</wp:posOffset>
            </wp:positionV>
            <wp:extent cx="27362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3621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-677545</wp:posOffset>
            </wp:positionV>
            <wp:extent cx="1573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353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-582930</wp:posOffset>
            </wp:positionV>
            <wp:extent cx="4358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5864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-488950</wp:posOffset>
            </wp:positionV>
            <wp:extent cx="3424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45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-394970</wp:posOffset>
            </wp:positionV>
            <wp:extent cx="2108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-205740</wp:posOffset>
            </wp:positionV>
            <wp:extent cx="2766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6606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-111760</wp:posOffset>
            </wp:positionV>
            <wp:extent cx="14446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46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wp:posOffset>
            </wp:positionV>
            <wp:extent cx="3854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5445" cy="8255"/>
                    </a:xfrm>
                    <a:prstGeom prst="rect">
                      <a:avLst/>
                    </a:prstGeom>
                    <a:noFill/>
                  </pic:spPr>
                </pic:pic>
              </a:graphicData>
            </a:graphic>
          </wp:anchor>
        </w:drawing>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337" w:right="7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73" w:lineRule="exact"/>
        <w:rPr>
          <w:sz w:val="20"/>
          <w:szCs w:val="20"/>
          <w:color w:val="auto"/>
        </w:rPr>
      </w:pPr>
    </w:p>
    <w:p>
      <w:pPr>
        <w:ind w:firstLine="509"/>
        <w:spacing w:after="0" w:line="255" w:lineRule="auto"/>
        <w:rPr>
          <w:sz w:val="20"/>
          <w:szCs w:val="20"/>
          <w:color w:val="auto"/>
        </w:rPr>
      </w:pPr>
      <w:r>
        <w:rPr>
          <w:rFonts w:ascii="Arial" w:cs="Arial" w:eastAsia="Arial" w:hAnsi="Arial"/>
          <w:sz w:val="13"/>
          <w:szCs w:val="13"/>
          <w:color w:val="auto"/>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4"/>
          <w:szCs w:val="14"/>
          <w:color w:val="auto"/>
        </w:rPr>
        <w:t>Some of the statements in this Annual Report on Form 10-K constitute forward-looking statements, which relate to future events or our performance or financial condition. The forward-looking statements contained in our Annual Report on Form 10-K involve risks and uncertainties, including statements as to:</w:t>
      </w:r>
    </w:p>
    <w:p>
      <w:pPr>
        <w:spacing w:after="0" w:line="79" w:lineRule="exact"/>
        <w:rPr>
          <w:sz w:val="20"/>
          <w:szCs w:val="20"/>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portfolio companies, including our and their ability to achieve our respective objectives;</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 and</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portfolio companies.</w:t>
      </w:r>
    </w:p>
    <w:p>
      <w:pPr>
        <w:spacing w:after="0" w:line="163" w:lineRule="exact"/>
        <w:rPr>
          <w:sz w:val="20"/>
          <w:szCs w:val="20"/>
          <w:color w:val="auto"/>
        </w:rPr>
      </w:pPr>
    </w:p>
    <w:p>
      <w:pPr>
        <w:ind w:right="300" w:firstLine="509"/>
        <w:spacing w:after="0" w:line="253" w:lineRule="auto"/>
        <w:rPr>
          <w:sz w:val="20"/>
          <w:szCs w:val="20"/>
          <w:color w:val="auto"/>
        </w:rPr>
      </w:pPr>
      <w:r>
        <w:rPr>
          <w:rFonts w:ascii="Arial" w:cs="Arial" w:eastAsia="Arial" w:hAnsi="Arial"/>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6" w:lineRule="exact"/>
        <w:rPr>
          <w:sz w:val="20"/>
          <w:szCs w:val="20"/>
          <w:color w:val="auto"/>
        </w:rPr>
      </w:pPr>
    </w:p>
    <w:p>
      <w:pPr>
        <w:ind w:left="780" w:right="40" w:hanging="263"/>
        <w:spacing w:after="0" w:line="293" w:lineRule="auto"/>
        <w:tabs>
          <w:tab w:leader="none" w:pos="8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economic downturn could impair our portfolio companies’ ability to continue to operate or repay their borrowings, which could lead to the loss of some or all of our investments in such portfolio companies;</w:t>
      </w:r>
    </w:p>
    <w:p>
      <w:pPr>
        <w:spacing w:after="0" w:line="38" w:lineRule="exact"/>
        <w:rPr>
          <w:rFonts w:ascii="Arial" w:cs="Arial" w:eastAsia="Arial" w:hAnsi="Arial"/>
          <w:sz w:val="14"/>
          <w:szCs w:val="14"/>
          <w:color w:val="auto"/>
        </w:rPr>
      </w:pPr>
    </w:p>
    <w:p>
      <w:pPr>
        <w:ind w:left="820" w:hanging="303"/>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contraction of available credit and/or an inability to access the equity markets could impair our lending and investment activities;</w:t>
      </w:r>
    </w:p>
    <w:p>
      <w:pPr>
        <w:spacing w:after="0" w:line="136" w:lineRule="exact"/>
        <w:rPr>
          <w:rFonts w:ascii="Arial" w:cs="Arial" w:eastAsia="Arial" w:hAnsi="Arial"/>
          <w:sz w:val="14"/>
          <w:szCs w:val="14"/>
          <w:color w:val="auto"/>
        </w:rPr>
      </w:pPr>
    </w:p>
    <w:p>
      <w:pPr>
        <w:ind w:left="780" w:right="40" w:hanging="263"/>
        <w:spacing w:after="0" w:line="293" w:lineRule="auto"/>
        <w:tabs>
          <w:tab w:leader="none" w:pos="816" w:val="left"/>
        </w:tabs>
        <w:numPr>
          <w:ilvl w:val="0"/>
          <w:numId w:val="4"/>
        </w:numPr>
        <w:rPr>
          <w:rFonts w:ascii="Arial" w:cs="Arial" w:eastAsia="Arial" w:hAnsi="Arial"/>
          <w:sz w:val="14"/>
          <w:szCs w:val="14"/>
          <w:color w:val="auto"/>
        </w:rPr>
      </w:pPr>
      <w:r>
        <w:rPr>
          <w:rFonts w:ascii="Arial" w:cs="Arial" w:eastAsia="Arial" w:hAnsi="Arial"/>
          <w:sz w:val="14"/>
          <w:szCs w:val="14"/>
          <w:color w:val="auto"/>
        </w:rPr>
        <w:t>geopolitical instability and volatility in the global markets caused by events such as the deterioration in the bilateral relationship between the U.S. and China or the conflict between Russia and Ukraine;</w:t>
      </w:r>
    </w:p>
    <w:p>
      <w:pPr>
        <w:spacing w:after="0" w:line="38" w:lineRule="exact"/>
        <w:rPr>
          <w:rFonts w:ascii="Arial" w:cs="Arial" w:eastAsia="Arial" w:hAnsi="Arial"/>
          <w:sz w:val="14"/>
          <w:szCs w:val="14"/>
          <w:color w:val="auto"/>
        </w:rPr>
      </w:pPr>
    </w:p>
    <w:p>
      <w:pPr>
        <w:ind w:left="820" w:hanging="303"/>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uncertain effects due to the discontinuation of LIBOR and the transition to SOFR;</w:t>
      </w:r>
    </w:p>
    <w:p>
      <w:pPr>
        <w:spacing w:after="0" w:line="122" w:lineRule="exact"/>
        <w:rPr>
          <w:rFonts w:ascii="Arial" w:cs="Arial" w:eastAsia="Arial" w:hAnsi="Arial"/>
          <w:sz w:val="14"/>
          <w:szCs w:val="14"/>
          <w:color w:val="auto"/>
        </w:rPr>
      </w:pPr>
    </w:p>
    <w:p>
      <w:pPr>
        <w:ind w:left="820" w:hanging="303"/>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rate volatility could adversely affect our results, particularly if we use leverage as part of our investment strategy; and</w:t>
      </w:r>
    </w:p>
    <w:p>
      <w:pPr>
        <w:spacing w:after="0" w:line="136" w:lineRule="exact"/>
        <w:rPr>
          <w:rFonts w:ascii="Arial" w:cs="Arial" w:eastAsia="Arial" w:hAnsi="Arial"/>
          <w:sz w:val="14"/>
          <w:szCs w:val="14"/>
          <w:color w:val="auto"/>
        </w:rPr>
      </w:pPr>
    </w:p>
    <w:p>
      <w:pPr>
        <w:ind w:left="820" w:hanging="303"/>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risks, uncertainties and other factors we identify in “Risk Factors” and elsewhere in this Annual Report on Form 10-K.</w:t>
      </w:r>
    </w:p>
    <w:p>
      <w:pPr>
        <w:spacing w:after="0" w:line="150" w:lineRule="exact"/>
        <w:rPr>
          <w:sz w:val="20"/>
          <w:szCs w:val="20"/>
          <w:color w:val="auto"/>
        </w:rPr>
      </w:pPr>
    </w:p>
    <w:p>
      <w:pPr>
        <w:ind w:firstLine="509"/>
        <w:spacing w:after="0" w:line="228"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4"/>
          <w:szCs w:val="14"/>
          <w:b w:val="1"/>
          <w:bCs w:val="1"/>
          <w:color w:val="auto"/>
        </w:rPr>
        <w:t>PART I</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 this Annual Report on Form 10-K, except as otherwise indicated, the terms:</w:t>
      </w:r>
    </w:p>
    <w:p>
      <w:pPr>
        <w:spacing w:after="0" w:line="123" w:lineRule="exact"/>
        <w:rPr>
          <w:sz w:val="20"/>
          <w:szCs w:val="20"/>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“we,” “us,” “our,” “Logan Ridge” and the “Company” refer to Logan Ridge Finance Corporation, together with its consolidated subsidiaries;</w:t>
      </w:r>
    </w:p>
    <w:p>
      <w:pPr>
        <w:spacing w:after="0" w:line="95"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The “Investment Adviser”, "Adviser" and “Mount Logan” refer to Mount Logan Management LLC, our investment adviser; and</w:t>
      </w:r>
    </w:p>
    <w:p>
      <w:pPr>
        <w:spacing w:after="0" w:line="95"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The “Administrator” refers to BC Partners Management LLC, our administrator and an affiliate of BC Partners.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FORMATION OF OUR COMPANY</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 xml:space="preserve">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We are managed by </w:t>
      </w:r>
      <w:r>
        <w:rPr>
          <w:rFonts w:ascii="Arial" w:cs="Arial" w:eastAsia="Arial" w:hAnsi="Arial"/>
          <w:sz w:val="14"/>
          <w:szCs w:val="14"/>
          <w:i w:val="1"/>
          <w:iCs w:val="1"/>
          <w:color w:val="auto"/>
        </w:rPr>
        <w:t>Mount Logan Management LLC,</w:t>
      </w:r>
      <w:r>
        <w:rPr>
          <w:rFonts w:ascii="Arial" w:cs="Arial" w:eastAsia="Arial" w:hAnsi="Arial"/>
          <w:sz w:val="14"/>
          <w:szCs w:val="14"/>
          <w:color w:val="auto"/>
        </w:rPr>
        <w:t xml:space="preserve"> an investment adviser that is registered as an investment adviser under the Investment Advisers Act of 1940, as amended (the “Advisers Act”), and </w:t>
      </w:r>
      <w:r>
        <w:rPr>
          <w:rFonts w:ascii="Arial" w:cs="Arial" w:eastAsia="Arial" w:hAnsi="Arial"/>
          <w:sz w:val="14"/>
          <w:szCs w:val="14"/>
          <w:i w:val="1"/>
          <w:iCs w:val="1"/>
          <w:color w:val="auto"/>
        </w:rPr>
        <w:t>BC Partners Management LLC</w:t>
      </w:r>
      <w:r>
        <w:rPr>
          <w:rFonts w:ascii="Arial" w:cs="Arial" w:eastAsia="Arial" w:hAnsi="Arial"/>
          <w:sz w:val="14"/>
          <w:szCs w:val="14"/>
          <w:color w:val="auto"/>
        </w:rPr>
        <w:t xml:space="preserve"> provides the administrative services necessary for us to operate. For U.S. federal income tax purposes, we have elected to be treated, and intend to comply with the requirements to continue to qualify annually, as a regulated investment company (“RIC”) under subchapter M of the Internal Revenue Code of 1986, as amended (the “Code”).</w:t>
      </w:r>
    </w:p>
    <w:p>
      <w:pPr>
        <w:spacing w:after="0" w:line="11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Our investment objective is to generate both current income and capital appreciation through debt and equity investments. We offer customized financing to business owners, management teams and financial sponsors for change of ownership transactions, recapitalizations, strategic acquisitions, business expansion and other growth initiatives. We invest in first lien loans, and, to a lesser extent, second lien loans and equity securities issued by lower middle-market and traditional middle-market companies.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 xml:space="preserve">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w:t>
      </w:r>
      <w:r>
        <w:rPr>
          <w:rFonts w:ascii="Arial" w:cs="Arial" w:eastAsia="Arial" w:hAnsi="Arial"/>
          <w:sz w:val="13"/>
          <w:szCs w:val="13"/>
          <w:color w:val="231F20"/>
        </w:rPr>
        <w:t>Fund III, L.P. (f/k/a CapitalSouth</w:t>
      </w:r>
      <w:r>
        <w:rPr>
          <w:rFonts w:ascii="Arial" w:cs="Arial" w:eastAsia="Arial" w:hAnsi="Arial"/>
          <w:sz w:val="13"/>
          <w:szCs w:val="13"/>
          <w:color w:val="auto"/>
        </w:rPr>
        <w:t xml:space="preserve"> Partners SBIC Fund III, L.P.) (“Fund III”) and CapitalSouth Partners Florida Sidecar Fund I, L.P. (“Florida Sidecar” and, collectively with Fund I, Fund II, Fund III and Fund III Parent, the “Legacy Funds”);</w:t>
      </w:r>
    </w:p>
    <w:p>
      <w:pPr>
        <w:spacing w:after="0" w:line="2" w:lineRule="exact"/>
        <w:rPr>
          <w:sz w:val="20"/>
          <w:szCs w:val="20"/>
          <w:color w:val="auto"/>
        </w:rPr>
      </w:pPr>
    </w:p>
    <w:p>
      <w:pPr>
        <w:ind w:firstLine="8"/>
        <w:spacing w:after="0" w:line="237" w:lineRule="auto"/>
        <w:tabs>
          <w:tab w:leader="none" w:pos="227" w:val="left"/>
        </w:tabs>
        <w:numPr>
          <w:ilvl w:val="0"/>
          <w:numId w:val="6"/>
        </w:numPr>
        <w:rPr>
          <w:rFonts w:ascii="Arial" w:cs="Arial" w:eastAsia="Arial" w:hAnsi="Arial"/>
          <w:sz w:val="14"/>
          <w:szCs w:val="14"/>
          <w:color w:val="auto"/>
        </w:rPr>
      </w:pPr>
      <w:r>
        <w:rPr>
          <w:rFonts w:ascii="Arial" w:cs="Arial" w:eastAsia="Arial" w:hAnsi="Arial"/>
          <w:sz w:val="14"/>
          <w:szCs w:val="14"/>
          <w:color w:val="auto"/>
        </w:rPr>
        <w:t>raising capital in the IPO and (iii) continuing and expanding the business of the Legacy Funds by making additional debt and equity investments in lower middle-market and traditional middle-market companies.</w:t>
      </w:r>
    </w:p>
    <w:p>
      <w:pPr>
        <w:spacing w:after="0" w:line="1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 xml:space="preserve">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small business investment company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us, and was legally dissolved as a standalone partnership. On March 1, 2019, Fund II repaid its outstanding debentures guaranteed by the SBA (“SBA-guaranteed debentures”) and relinquished its SBIC license. </w:t>
      </w:r>
      <w:r>
        <w:rPr>
          <w:rFonts w:ascii="Arial" w:cs="Arial" w:eastAsia="Arial" w:hAnsi="Arial"/>
          <w:sz w:val="13"/>
          <w:szCs w:val="13"/>
          <w:color w:val="231F20"/>
        </w:rPr>
        <w:t>On June 10, 2021, Fund III repaid its SBA-guaranteed debentures and relinquished its SBIC</w:t>
      </w:r>
      <w:r>
        <w:rPr>
          <w:rFonts w:ascii="Arial" w:cs="Arial" w:eastAsia="Arial" w:hAnsi="Arial"/>
          <w:sz w:val="13"/>
          <w:szCs w:val="13"/>
          <w:color w:val="auto"/>
        </w:rPr>
        <w:t xml:space="preserve"> </w:t>
      </w:r>
      <w:r>
        <w:rPr>
          <w:rFonts w:ascii="Arial" w:cs="Arial" w:eastAsia="Arial" w:hAnsi="Arial"/>
          <w:sz w:val="13"/>
          <w:szCs w:val="13"/>
          <w:color w:val="231F20"/>
        </w:rPr>
        <w:t>license. Accordingly, as of December 31, 2022 and 2021, there were no SBA-guaranteed debentures outstanding.</w:t>
      </w:r>
    </w:p>
    <w:p>
      <w:pPr>
        <w:spacing w:after="0" w:line="1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These Taxable Subsidiaries allow the Company to make equity investments in companies organized as pass-through entities while continuing to satisfy the requirements of a RIC under the Code.</w:t>
      </w:r>
    </w:p>
    <w:p>
      <w:pPr>
        <w:spacing w:after="0" w:line="102" w:lineRule="exact"/>
        <w:rPr>
          <w:sz w:val="20"/>
          <w:szCs w:val="20"/>
          <w:color w:val="auto"/>
        </w:rPr>
      </w:pPr>
    </w:p>
    <w:p>
      <w:pPr>
        <w:ind w:right="80" w:firstLine="509"/>
        <w:spacing w:after="0" w:line="238" w:lineRule="auto"/>
        <w:rPr>
          <w:sz w:val="20"/>
          <w:szCs w:val="20"/>
          <w:color w:val="auto"/>
        </w:rPr>
      </w:pPr>
      <w:r>
        <w:rPr>
          <w:rFonts w:ascii="Arial" w:cs="Arial" w:eastAsia="Arial" w:hAnsi="Arial"/>
          <w:sz w:val="14"/>
          <w:szCs w:val="14"/>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The financial statements of CBL are consolidated with those of Logan Ridge Finance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0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4"/>
          <w:szCs w:val="14"/>
          <w:color w:val="auto"/>
        </w:rPr>
        <w:t>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RISK FACTORS</w:t>
      </w:r>
    </w:p>
    <w:p>
      <w:pPr>
        <w:spacing w:after="0" w:line="140" w:lineRule="exact"/>
        <w:rPr>
          <w:sz w:val="20"/>
          <w:szCs w:val="20"/>
          <w:color w:val="auto"/>
        </w:rPr>
      </w:pPr>
    </w:p>
    <w:p>
      <w:pPr>
        <w:ind w:right="20" w:firstLine="509"/>
        <w:spacing w:after="0" w:line="253" w:lineRule="auto"/>
        <w:rPr>
          <w:sz w:val="20"/>
          <w:szCs w:val="20"/>
          <w:color w:val="auto"/>
        </w:rPr>
      </w:pPr>
      <w:r>
        <w:rPr>
          <w:rFonts w:ascii="Arial" w:cs="Arial" w:eastAsia="Arial" w:hAnsi="Arial"/>
          <w:sz w:val="14"/>
          <w:szCs w:val="14"/>
          <w:i w:val="1"/>
          <w:iCs w:val="1"/>
          <w:color w:val="auto"/>
        </w:rPr>
        <w:t>The risk factors described below are a summary of the principal risk factors associated with an investment in us. These are not the only risks we face. You should carefully consider these risk factors, together with the risk factors set forth in Item 1A of this Annual Report on Form 10-K and the other reports and documents filed by us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59" w:lineRule="exact"/>
        <w:rPr>
          <w:sz w:val="20"/>
          <w:szCs w:val="20"/>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achieve our investment objective depends on the ability of the Investment Adviser to manage and support our investment process. If the Investment Adviser were to lose any members of their respective senior management teams, our ability to achieve our investment objective could be significantly harmed.</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depend upon our Investment Adviser’s key personnel for our future success.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operate in a highly competitive market for investment opportunities, which could reduce returns and result in losses.</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inability of our Investment Adviser to maintain or develop strong referral relationships, or the failure of these relationships to generate investment opportunities, could adversely affect our business.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Failure to maintain our status as a BDC would reduce our operating flexibility.</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borrow money, which magnifies the potential for gain or loss on amounts invested and may increase the risk of investing in us. Borrowed money may also adversely affect the return on our assets, reduce cash available for distribution to our stockholders, and result in losses.</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 markets may experience periods of disruption and instability. These market conditions could materially adversely affect the Company’s business, financial condition and results of operations.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Adverse developments in the credit markets may impair our ability to secure debt financing.</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Inflation may adversely affect our business and operations and those of our portfolio companies.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Disruptions to the global supply chain may have adverse impact on our portfolio companies and, in turn, harm us.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will be subject to corporate-level U.S. federal income tax if we are unable to qualify or maintain our RIC tax treatment under the Code.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Investment Adviser is not obligated to reimburse us for any part of the incentive fee it receives that is based on accrued income that we never receive.</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a publicly traded company, we are subject to increasingly complex corporate governance, public disclosure and accounting requirements that are costly and could adversely affect our business and financial results.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Internal and external cyber threats, as well as other disasters, could impair our ability to conduct business effectively.</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Economic sanction laws in the United States and other jurisdictions may prohibit us and our affiliates from transacting with certain countries, individuals and companies.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Major public health issues could have an adverse impact on our financial condition and results of operations and other aspects of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3" w:lineRule="exact"/>
        <w:rPr>
          <w:sz w:val="20"/>
          <w:szCs w:val="20"/>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investments in prospective portfolio companies may be risky, and we could lose all or part of our investment.</w:t>
      </w:r>
    </w:p>
    <w:p>
      <w:pPr>
        <w:spacing w:after="0" w:line="55" w:lineRule="exact"/>
        <w:rPr>
          <w:rFonts w:ascii="Arial" w:cs="Arial" w:eastAsia="Arial" w:hAnsi="Arial"/>
          <w:sz w:val="14"/>
          <w:szCs w:val="14"/>
          <w:color w:val="auto"/>
        </w:rPr>
      </w:pPr>
    </w:p>
    <w:p>
      <w:pPr>
        <w:ind w:left="780" w:right="20" w:hanging="263"/>
        <w:spacing w:after="0" w:line="290" w:lineRule="auto"/>
        <w:tabs>
          <w:tab w:leader="none" w:pos="7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3" w:lineRule="exact"/>
        <w:rPr>
          <w:rFonts w:ascii="Arial" w:cs="Arial" w:eastAsia="Arial" w:hAnsi="Arial"/>
          <w:sz w:val="13"/>
          <w:szCs w:val="13"/>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investments in leveraged portfolio companies may be risky, and we could lose all or part of our investment.</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health and performance of our portfolio companies could be adversely affected by political and economic conditions in the countries in which they conduct business.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currently operating in a period of capital markets disruption and economic uncertainty.</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lack of liquidity in our investments may adversely affect our business.</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not have the funds or ability to make additional investments in our portfolio companies or to fund our unfunded debt commitments which may impair the value of our portfolio.</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a non-diversified investment company within the meaning of the 1940 Act, and therefore we are not limited with respect to the proportion of our assets that may be invested in securities of a single issuer.</w:t>
      </w:r>
    </w:p>
    <w:p>
      <w:pPr>
        <w:spacing w:after="0" w:line="38" w:lineRule="exact"/>
        <w:rPr>
          <w:rFonts w:ascii="Arial" w:cs="Arial" w:eastAsia="Arial" w:hAnsi="Arial"/>
          <w:sz w:val="14"/>
          <w:szCs w:val="14"/>
          <w:color w:val="auto"/>
        </w:rPr>
      </w:pPr>
    </w:p>
    <w:p>
      <w:pPr>
        <w:ind w:left="780" w:right="20" w:hanging="263"/>
        <w:spacing w:after="0" w:line="25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covenant breach or other defaults by our portfolio companies may adversely affect our operating results.</w:t>
      </w:r>
    </w:p>
    <w:p>
      <w:pPr>
        <w:spacing w:after="0" w:line="55" w:lineRule="exact"/>
        <w:rPr>
          <w:rFonts w:ascii="Arial" w:cs="Arial" w:eastAsia="Arial" w:hAnsi="Arial"/>
          <w:sz w:val="14"/>
          <w:szCs w:val="14"/>
          <w:color w:val="auto"/>
        </w:rPr>
      </w:pPr>
    </w:p>
    <w:p>
      <w:pPr>
        <w:ind w:left="780" w:right="20" w:hanging="263"/>
        <w:spacing w:after="0" w:line="25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780" w:hanging="263"/>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unrealized depreciation we experience on our loan portfolio may be an indication of future realized losses, which could reduce our income available for distribution.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Prepayments of our debt investments by our portfolio companies could adversely impact our results of operations and reduce our return on equity.</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not realize gains from our equity investments.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interest rates of some of our floating-rate loans to our portfolio companies may be priced using a spread over LIBOR, which is being phased out.</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choose to waive or defer enforcement of covenants in the debt securities held in our portfolio, which may cause us to lose all or part of our investment in these companies.</w:t>
      </w:r>
    </w:p>
    <w:p>
      <w:pPr>
        <w:spacing w:after="0" w:line="66" w:lineRule="exact"/>
        <w:rPr>
          <w:rFonts w:ascii="Arial" w:cs="Arial" w:eastAsia="Arial" w:hAnsi="Arial"/>
          <w:sz w:val="13"/>
          <w:szCs w:val="13"/>
          <w:color w:val="auto"/>
        </w:rPr>
      </w:pPr>
    </w:p>
    <w:p>
      <w:pPr>
        <w:ind w:left="780" w:hanging="263"/>
        <w:spacing w:after="0" w:line="253"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65" w:lineRule="exact"/>
        <w:rPr>
          <w:rFonts w:ascii="Arial" w:cs="Arial" w:eastAsia="Arial" w:hAnsi="Arial"/>
          <w:sz w:val="14"/>
          <w:szCs w:val="14"/>
          <w:color w:val="auto"/>
        </w:rPr>
      </w:pPr>
    </w:p>
    <w:p>
      <w:pPr>
        <w:ind w:left="780" w:hanging="263"/>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investments may be in portfolio companies which may have limited operating histories and financial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Securities</w:t>
      </w:r>
    </w:p>
    <w:p>
      <w:pPr>
        <w:spacing w:after="0" w:line="59" w:lineRule="exact"/>
        <w:rPr>
          <w:sz w:val="20"/>
          <w:szCs w:val="20"/>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market price of our common stock may fluctuate significantly.</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Investing in our common stock involves a high degree of risk.</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cannot assure you that the market price of shares of our common stock will not decline.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common stockholders will bear the expenses associated with our borrowings, and the holders of our debt securities will have certain rights senior to our common stockholders.</w:t>
      </w:r>
    </w:p>
    <w:p>
      <w:pPr>
        <w:spacing w:after="0" w:line="66" w:lineRule="exact"/>
        <w:rPr>
          <w:rFonts w:ascii="Arial" w:cs="Arial" w:eastAsia="Arial" w:hAnsi="Arial"/>
          <w:sz w:val="13"/>
          <w:szCs w:val="13"/>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Sales of substantial amounts of our common stock in the public market may have an adverse effect on the market price of our common stock.</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of our common stock have traded at a discount from net asset value and may do so in the future.</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is a risk that investors in our equity securities may not receive distributions consistent with historical levels or at all, or that our distributions may not grow over time and a portion of our distributions may be a return of capital.</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stockholder’s interest in us will be diluted if we issue additional shares of common stock, which could reduce the overall value of an investment in us.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will have broad discretion over the use of proceeds of any successful offering of securities.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Your interest in the Company may be diluted if you do not fully exercise your subscription rights in any rights offering.</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we issue preferred stock, the net asset value and market value of our common stock will likely become more volatile.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Holders of any preferred stock we might issue would have the right to elect members of our Board and class voting rights on certain matters.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STRATEGY</w:t>
      </w:r>
    </w:p>
    <w:p>
      <w:pPr>
        <w:spacing w:after="0" w:line="140"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Our investment objective is to generate both current income and capital appreciation through debt and equity investments. We expect the companies in which we invest will generally have between $5 million and $50 million in trailing twelve-month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are managed by the Investment Adviser, whose investment team members have significant and diverse experience financing, advising, operating and investing in lower middle-market and traditional middle-market companies. Mount Logan was formed in 2020 and is registered as an investment adviser under the Advisers Act. Mount Logan is controlled by MLC, a publicly listed Canada-based alternative asset management company. Mount Logan is an affiliate of BC Partners for U.S. regulatory purposes and BC Partners provides Mount Logan with personnel pursuant to a resource sharing agreement, which allows Mount Logan to utilize the resources of BC Partners’ broader credit team.</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MLC is managed by the founders of BC Partners Credit bringing to bear the investment expertise and deep resources of the broader BC Partners platform, all of which the Company - as an entity within the BC Partners ecosystem - benefits from. Mount Logan provides investment management services to privately offered investment funds and acts as the collateral manager to issuers of collateralized loan obligations ("CLOs") backed by debt obligations and similar assets.</w:t>
      </w:r>
    </w:p>
    <w:p>
      <w:pPr>
        <w:spacing w:after="0" w:line="11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Mount Logan’s investment committee, or the Mount Logan Investment Committee, includes Ted Goldthorpe, Matthias Ederer, Henry Wang and Raymond Svider, each experienced members of Mount Logan’s investment personnel.</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With over $40 billion in assets under management and offices in London, Paris, Hamburg, and New York, the BC Partners organization is comprised of a private equity platform ("BC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Partners Private Equity"), a credit platform ("BC Partners Credit"), and a real estate platform ("BC Partners Real Estate"). All three platforms operate as integrated businesses within the overall</w:t>
      </w:r>
    </w:p>
    <w:p>
      <w:pPr>
        <w:spacing w:after="0"/>
        <w:rPr>
          <w:sz w:val="20"/>
          <w:szCs w:val="20"/>
          <w:color w:val="auto"/>
        </w:rPr>
      </w:pPr>
      <w:r>
        <w:rPr>
          <w:rFonts w:ascii="Arial" w:cs="Arial" w:eastAsia="Arial" w:hAnsi="Arial"/>
          <w:sz w:val="14"/>
          <w:szCs w:val="14"/>
          <w:color w:val="auto"/>
        </w:rPr>
        <w:t>BC Partners organization. Founded in 1986, BC Partners grew and evolved with the development of the European private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7" w:name="page8"/>
    <w:bookmarkEnd w:id="7"/>
    <w:p>
      <w:pPr>
        <w:jc w:val="both"/>
        <w:spacing w:after="0" w:line="233" w:lineRule="auto"/>
        <w:rPr>
          <w:sz w:val="20"/>
          <w:szCs w:val="20"/>
          <w:color w:val="auto"/>
        </w:rPr>
      </w:pPr>
      <w:r>
        <w:rPr>
          <w:rFonts w:ascii="Arial" w:cs="Arial" w:eastAsia="Arial" w:hAnsi="Arial"/>
          <w:sz w:val="14"/>
          <w:szCs w:val="14"/>
          <w:color w:val="auto"/>
        </w:rPr>
        <w:t>equity market, consistently maintaining its position as one of the leading buyout firms in the region. It subsequently expanded investment operations to North America to support larger transactions operating more globally and established a successful investment platform for buyouts of businesses based in the United States and around the world. BC Partners expanded its strategic offering by establishing a credit platform in 2017 and a real estate platform in 2018. BC Partners has a 35-year investing track record across a variety of geographies and sectors. Throughout its investment history, BC Partners has built strong and longstanding relationships with global institutional investors.</w:t>
      </w:r>
    </w:p>
    <w:p>
      <w:pPr>
        <w:spacing w:after="0" w:line="104" w:lineRule="exact"/>
        <w:rPr>
          <w:sz w:val="20"/>
          <w:szCs w:val="20"/>
          <w:color w:val="auto"/>
        </w:rPr>
      </w:pPr>
    </w:p>
    <w:p>
      <w:pPr>
        <w:ind w:right="80" w:firstLine="509"/>
        <w:spacing w:after="0" w:line="233" w:lineRule="auto"/>
        <w:rPr>
          <w:sz w:val="20"/>
          <w:szCs w:val="20"/>
          <w:color w:val="auto"/>
        </w:rPr>
      </w:pPr>
      <w:r>
        <w:rPr>
          <w:rFonts w:ascii="Arial" w:cs="Arial" w:eastAsia="Arial" w:hAnsi="Arial"/>
          <w:sz w:val="14"/>
          <w:szCs w:val="14"/>
          <w:color w:val="auto"/>
        </w:rPr>
        <w:t>To the extent permitted by the 1940 Act and interpretation of the staff of the U.S. Securities and Exchange Commission (the “SEC”), the Investment Adviser and its affiliates may determine that an investment is appropriate for us and for one or more of those other funds. In such event, depending on the availability of such investment and other appropriate factors, the Investment Adviser or its affiliates may determine that we should invest side-by-side with one or more other funds. Any such investments will be made only to the extent permitted by applicable law and interpretive positions of the SEC and its staff, and consistent with the Investment Adviser’s allocation procedures.</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On October 23, 2018, the SEC issued an order granting an application for exemptive relief to an affiliate of our Investment Adviser that allows BDCs managed by the Investment Adviser, including Logan Ridge, to co-invest, subject to the satisfaction of certain conditions, in certain private placement transactions, with other funds managed by the Investment Adviser or its affiliates, including any future funds that are advised by the Investment Adviser or its affiliated investment advisers.</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27"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Adviser’s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of our debt investments will require the borrower to pay an early termination fee. Collectively, these attributes have been, and are expected to be, important contributors to the returns generated by our Investment Adviser’s investment team.</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Adviser’s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Types of Investments</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will target debt investments that yield meaningful current income and, in certain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34" w:lineRule="exact"/>
        <w:rPr>
          <w:sz w:val="20"/>
          <w:szCs w:val="20"/>
          <w:color w:val="auto"/>
        </w:rPr>
      </w:pPr>
    </w:p>
    <w:p>
      <w:pPr>
        <w:jc w:val="both"/>
        <w:ind w:left="780" w:hanging="263"/>
        <w:spacing w:after="0" w:line="238"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Established Companies With Positive Cash Flow. </w:t>
      </w:r>
      <w:r>
        <w:rPr>
          <w:rFonts w:ascii="Arial" w:cs="Arial" w:eastAsia="Arial" w:hAnsi="Arial"/>
          <w:sz w:val="14"/>
          <w:szCs w:val="14"/>
          <w:color w:val="auto"/>
        </w:rPr>
        <w:t>We seek to invest in established companies with a history of generating revenues and positive cash flows. We intend to focus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with a history of profitability and minimum trailing twelve-month EBITDA of between $5 million and $50 million. We do not intend to invest in start-up companies, distressed or “turn-around” situations or companies with business plans that we do not understand.</w:t>
      </w:r>
    </w:p>
    <w:p>
      <w:pPr>
        <w:spacing w:after="0" w:line="34"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Experienced Management Teams with Meaningful Investment. </w:t>
      </w:r>
      <w:r>
        <w:rPr>
          <w:rFonts w:ascii="Arial" w:cs="Arial" w:eastAsia="Arial" w:hAnsi="Arial"/>
          <w:sz w:val="14"/>
          <w:szCs w:val="14"/>
          <w:color w:val="auto"/>
        </w:rPr>
        <w:t>We seek to invest in companies in which senior or key managers have significant company or industry-level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47" w:lineRule="exact"/>
        <w:rPr>
          <w:rFonts w:ascii="Arial" w:cs="Arial" w:eastAsia="Arial" w:hAnsi="Arial"/>
          <w:sz w:val="14"/>
          <w:szCs w:val="14"/>
          <w:color w:val="auto"/>
        </w:rPr>
      </w:pPr>
    </w:p>
    <w:p>
      <w:pPr>
        <w:jc w:val="both"/>
        <w:ind w:left="780" w:right="20" w:hanging="263"/>
        <w:spacing w:after="0" w:line="238"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Significant Invested Capital. </w:t>
      </w:r>
      <w:r>
        <w:rPr>
          <w:rFonts w:ascii="Arial" w:cs="Arial" w:eastAsia="Arial" w:hAnsi="Arial"/>
          <w:sz w:val="14"/>
          <w:szCs w:val="14"/>
          <w:color w:val="auto"/>
        </w:rPr>
        <w:t>We believe that the existence of an appropriate amount of equity beneath our debt capital provides valuable support for our investment. In addition,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34"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Appropriate Capital Structures. </w:t>
      </w:r>
      <w:r>
        <w:rPr>
          <w:rFonts w:ascii="Arial" w:cs="Arial" w:eastAsia="Arial" w:hAnsi="Arial"/>
          <w:sz w:val="14"/>
          <w:szCs w:val="14"/>
          <w:color w:val="auto"/>
        </w:rPr>
        <w:t>We seek to invest in companies that are appropriately capitalized. First, we examine the amount of equity that is being invested by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private equity sponsor to determine whether there is a sufficient capital cushion beneath our invested capital. We also analyze the amount of leverage and the characteristics of senior debt with lien priority over our investment.</w:t>
      </w:r>
    </w:p>
    <w:p>
      <w:pPr>
        <w:spacing w:after="0" w:line="34" w:lineRule="exact"/>
        <w:rPr>
          <w:rFonts w:ascii="Arial" w:cs="Arial" w:eastAsia="Arial" w:hAnsi="Arial"/>
          <w:sz w:val="14"/>
          <w:szCs w:val="14"/>
          <w:color w:val="auto"/>
        </w:rPr>
      </w:pPr>
    </w:p>
    <w:p>
      <w:pPr>
        <w:jc w:val="both"/>
        <w:ind w:left="780" w:hanging="263"/>
        <w:spacing w:after="0" w:line="233"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Strong Competitive Position. </w:t>
      </w:r>
      <w:r>
        <w:rPr>
          <w:rFonts w:ascii="Arial" w:cs="Arial" w:eastAsia="Arial" w:hAnsi="Arial"/>
          <w:sz w:val="14"/>
          <w:szCs w:val="14"/>
          <w:color w:val="auto"/>
        </w:rPr>
        <w:t>We intend to invest in companies that have developed strong, defensible product or service offerings within their respective market segments.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49" w:lineRule="exact"/>
        <w:rPr>
          <w:rFonts w:ascii="Arial" w:cs="Arial" w:eastAsia="Arial" w:hAnsi="Arial"/>
          <w:sz w:val="14"/>
          <w:szCs w:val="14"/>
          <w:color w:val="auto"/>
        </w:rPr>
      </w:pPr>
    </w:p>
    <w:p>
      <w:pPr>
        <w:jc w:val="both"/>
        <w:ind w:left="780" w:hanging="263"/>
        <w:spacing w:after="0" w:line="231"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and Supplier Diversification. </w:t>
      </w:r>
      <w:r>
        <w:rPr>
          <w:rFonts w:ascii="Arial" w:cs="Arial" w:eastAsia="Arial" w:hAnsi="Arial"/>
          <w:sz w:val="14"/>
          <w:szCs w:val="14"/>
          <w:color w:val="auto"/>
        </w:rPr>
        <w:t>We expect to invest in companies with sufficiently diverse customer and supplier bases. We believe these companies will be better 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Investments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Investment Adviser’s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We expect our primary source of return to be the cash interest we will collect on our debt investments. We also typically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8" w:name="page9"/>
    <w:bookmarkEnd w:id="8"/>
    <w:p>
      <w:pPr>
        <w:jc w:val="both"/>
        <w:spacing w:after="0" w:line="231" w:lineRule="auto"/>
        <w:rPr>
          <w:sz w:val="20"/>
          <w:szCs w:val="20"/>
          <w:color w:val="auto"/>
        </w:rPr>
      </w:pPr>
      <w:r>
        <w:rPr>
          <w:rFonts w:ascii="Arial" w:cs="Arial" w:eastAsia="Arial" w:hAnsi="Arial"/>
          <w:sz w:val="14"/>
          <w:szCs w:val="14"/>
          <w:color w:val="auto"/>
        </w:rPr>
        <w:t>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debt investments feature call protection to enhance our total return on debt investments that are repaid prior to maturity.</w:t>
      </w:r>
    </w:p>
    <w:p>
      <w:pPr>
        <w:spacing w:after="0" w:line="10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Most of our debt investments are structured as first lien loans, and as of December 31, 2022, 80.9%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2022, 1.9% of the fair value of our first lien loans consisted of last-out loans.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1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may also invest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 On a fair market value basis, 3.8% of our debt investments consisted of second lien loans as of December 31, 2022.</w:t>
      </w:r>
    </w:p>
    <w:p>
      <w:pPr>
        <w:spacing w:after="0" w:line="115"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2022, our weighted average PIK yield was 0.7% (excluding the income from non-accruals and collateralized loan obligations). As of December 31, 2022, the weighted average annualized cash yield on our debt portfolio was 9.7% (excluding the income from non-accruals and collateralized loan obligations). In addition to yield in the form of current cash and PIK interest, some of our debt investments include an equity component, such as a warrant to purchase a common equity interest in the borrower for a nominal price.</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Adviser’s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PROCESS</w:t>
      </w:r>
    </w:p>
    <w:p>
      <w:pPr>
        <w:spacing w:after="0" w:line="14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The management of our investment portfolio is the responsibility of Mount Logan and the Logan Ridge investment team (the “LRFC Investment Team”). All investment decisions require the majority approval of the Mount Logan Investment Committee. The LRFC Investment Team sources, identifies and diligences investment opportunities and presents the opportunity to the Mount Logan Investment Committee for approval. The Mount Logan Investment Committee is currently comprised of three members of BC Partners Credit (Ted Goldthorpe, Matthias Ederer and Henry Wang), and one member of BC Partners Private Equity (Raymond Svider). The Mount Logan Investment Committee meets regularly to review the opportunities presented by the LRFC Investment Team. Follow-on investments in existing portfolio companies may require the Mount Logan’s Investment Committee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Board, including a majority of the Independent Directors, oversees and monitors the investment performance and, beginning with the second anniversary of the effective date of the Investment Advisory Agreement, will annually review the compensation Logan Ridge pays to Mount Logan.</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 of Mount Logan’s investment professionals receive any direct compensation from Logan Ridge in connection with the management of Logan Ridge’s portfolio.</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following individuals (the “LRFC Portfolio Managers”) have senior responsibility for the management of our investment portfolio: Ted Goldthorpe, Matthias Ederer, Henry Wang, Raymond Svider and Patrick Schafer. Mr. Schafer is Logan Ridge's Chief Investment Officer and has primary responsibility for the day-to-day implementation and management of Logan Ridge's investment portfolio.</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stages of our investment selection process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Deal Generation/Origination</w:t>
      </w:r>
    </w:p>
    <w:p>
      <w:pPr>
        <w:spacing w:after="0" w:line="12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Screening</w:t>
      </w:r>
    </w:p>
    <w:p>
      <w:pPr>
        <w:spacing w:after="0" w:line="136"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All potential investments that are received are screened for suitability and consistency with our investment criteria (see “— Due Diligence and Underwriting,” below). If a potential investment meets our basic investment criteria, a deal team is assigned to perform preliminary due diligence. In doing so, we consider some or all of the following factors:</w:t>
      </w:r>
    </w:p>
    <w:p>
      <w:pPr>
        <w:spacing w:after="0" w:line="25" w:lineRule="exact"/>
        <w:rPr>
          <w:sz w:val="20"/>
          <w:szCs w:val="20"/>
          <w:color w:val="auto"/>
        </w:rPr>
      </w:pPr>
    </w:p>
    <w:p>
      <w:pPr>
        <w:jc w:val="both"/>
        <w:ind w:left="780" w:hanging="263"/>
        <w:spacing w:after="0" w:line="238" w:lineRule="auto"/>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34"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competitive landscape and industry dynamics impacting the potential portfolio company;</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Strengths and weaknesses of the potential investment’s business strategy and industry outlook;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Results of a broad qualitative analysis of the company’s products or services, market position and outlook, customers, suppliers and quality of management.</w:t>
      </w:r>
    </w:p>
    <w:p>
      <w:pPr>
        <w:spacing w:after="0" w:line="136"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If the results of this preliminary due diligence are satisfactory, the deal team prepares an executive summary that is presented to our Investment Adviser’s investment committee in a meeting that includes all members of the portfolio and investment teams. This executive summary includes the following areas:</w:t>
      </w:r>
    </w:p>
    <w:p>
      <w:pPr>
        <w:spacing w:after="0" w:line="25" w:lineRule="exact"/>
        <w:rPr>
          <w:sz w:val="20"/>
          <w:szCs w:val="20"/>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Company history and summary of product(s) and/or service(s);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overview of investors, anticipated capital sources and transaction timing;</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Investment structure and expected returns, including initial projected financial ratios;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Analysis of historical financial results and key assumptions;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Analysis of the company’s business strategy;</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Analysis of the financial sponsor’s relevant experience or expected strategy;</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Investment strengths, weaknesses and priority issues to be addressed in due diligence;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capitalization and ownership.</w:t>
      </w:r>
    </w:p>
    <w:p>
      <w:pPr>
        <w:spacing w:after="0" w:line="13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 and Underwriting</w:t>
      </w:r>
    </w:p>
    <w:p>
      <w:pPr>
        <w:spacing w:after="0" w:line="13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completion of due diligence deliverables is led by at least two investment professionals. However, all investment and portfolio team members are regularly updated with due diligence progress, especially any issues that emerge. The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28" w:lineRule="exact"/>
        <w:rPr>
          <w:sz w:val="20"/>
          <w:szCs w:val="20"/>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On-site visits with management and relevant key employees;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In-depth review of historical and projected financial statements, including covenant calculation work sheets;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Interviews with customers and suppliers;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Management background checks;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reports by third-party accountants, outside counsel and other industry, operational or financial experts, whether retained by us or the financial sponsor;</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material contracts;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financial sponsor’s due diligence package and internal executive summaries.</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1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During the underwriting process, the executive summary that was completed for the initial investment committee presentation is expanded upon into a full diligence memo and key findings are presented at subsequent, weekly meetings of the investment committee for continued discussion and, to the extent applicable, the investment committee issues new instructions to the underwriting team.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Documentation and Closing</w:t>
      </w:r>
    </w:p>
    <w:p>
      <w:pPr>
        <w:spacing w:after="0" w:line="13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The underwriting team for the proposed investment presents the full diligence memo and key findings from due diligence to the investment committee on an ongoing basis. Prior to the commencement of documentation, approval from the investment committee is sought and, if approved, the underwriting professionals heretofore involved proceed to documentation.</w:t>
      </w:r>
    </w:p>
    <w:p>
      <w:pPr>
        <w:spacing w:after="0" w:line="7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resolution. Upon the completion of satisfactory documentation and the satisfaction of closing conditions, final approval is sought from the investment committee before closing and funding.</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12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Our Investment Adviser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Investment Adviser has several methods of evaluating and monitoring the performance and fair value of our investments, including the following:</w:t>
      </w:r>
    </w:p>
    <w:p>
      <w:pPr>
        <w:spacing w:after="0" w:line="55" w:lineRule="exact"/>
        <w:rPr>
          <w:sz w:val="20"/>
          <w:szCs w:val="20"/>
          <w:color w:val="auto"/>
        </w:rPr>
      </w:pPr>
    </w:p>
    <w:p>
      <w:pPr>
        <w:ind w:left="780" w:hanging="263"/>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Assessment of success in adhering to each portfolio company’s business plan and compliance with covenants;</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Periodic and regular contact with portfolio company management and, if appropriate, the financial or strategic sponsor, to discuss financial position, requirements and accomplishments;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Comparisons to our other portfolio companies in the industry, if any;</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Attendance at and participation in the board meetings;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for portfolio companies.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Advisory Agreement</w:t>
      </w:r>
    </w:p>
    <w:p>
      <w:pPr>
        <w:spacing w:after="0" w:line="127" w:lineRule="exact"/>
        <w:rPr>
          <w:sz w:val="20"/>
          <w:szCs w:val="20"/>
          <w:color w:val="auto"/>
        </w:rPr>
      </w:pPr>
    </w:p>
    <w:p>
      <w:pPr>
        <w:ind w:right="60" w:firstLine="509"/>
        <w:spacing w:after="0" w:line="229" w:lineRule="auto"/>
        <w:rPr>
          <w:sz w:val="20"/>
          <w:szCs w:val="20"/>
          <w:color w:val="auto"/>
        </w:rPr>
      </w:pPr>
      <w:r>
        <w:rPr>
          <w:rFonts w:ascii="Arial" w:cs="Arial" w:eastAsia="Arial" w:hAnsi="Arial"/>
          <w:sz w:val="14"/>
          <w:szCs w:val="14"/>
          <w:color w:val="auto"/>
        </w:rPr>
        <w:t>On July 1, 2021, the Company entered into an investment advisory agreement (the “Investment Advisory Agreement”) with the Investment Adviser,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Adviser manages our day-to-day operations and provides investment advisory and management services to us. Under the terms of the Investment Advisory Agreement, the Investment Adviser:</w:t>
      </w:r>
    </w:p>
    <w:p>
      <w:pPr>
        <w:spacing w:after="0" w:line="50" w:lineRule="exact"/>
        <w:rPr>
          <w:sz w:val="20"/>
          <w:szCs w:val="20"/>
          <w:color w:val="auto"/>
        </w:rPr>
      </w:pPr>
    </w:p>
    <w:p>
      <w:pPr>
        <w:ind w:left="780" w:hanging="263"/>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provides us with other investment advisory, research, and related services as we may from time to time require.</w:t>
      </w:r>
    </w:p>
    <w:p>
      <w:pPr>
        <w:spacing w:after="0" w:line="12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4"/>
          <w:szCs w:val="14"/>
          <w:color w:val="auto"/>
        </w:rPr>
        <w:t>The Investment Adviser’s services under the Investment Advisory Agreement are not exclusive, and it is free to furnish similar services to other entities so long as its services to us are not impaired.</w:t>
      </w:r>
    </w:p>
    <w:p>
      <w:pPr>
        <w:spacing w:after="0" w:line="106" w:lineRule="exact"/>
        <w:rPr>
          <w:sz w:val="20"/>
          <w:szCs w:val="20"/>
          <w:color w:val="auto"/>
        </w:rPr>
      </w:pPr>
    </w:p>
    <w:p>
      <w:pPr>
        <w:ind w:right="20" w:firstLine="509"/>
        <w:spacing w:after="0" w:line="233" w:lineRule="auto"/>
        <w:rPr>
          <w:sz w:val="20"/>
          <w:szCs w:val="20"/>
          <w:color w:val="auto"/>
        </w:rPr>
      </w:pPr>
      <w:r>
        <w:rPr>
          <w:rFonts w:ascii="Arial" w:cs="Arial" w:eastAsia="Arial" w:hAnsi="Arial"/>
          <w:sz w:val="14"/>
          <w:szCs w:val="14"/>
          <w:color w:val="auto"/>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spacing w:after="0" w:line="117" w:lineRule="exact"/>
        <w:rPr>
          <w:sz w:val="20"/>
          <w:szCs w:val="20"/>
          <w:color w:val="auto"/>
        </w:rPr>
      </w:pPr>
    </w:p>
    <w:p>
      <w:pPr>
        <w:ind w:right="420" w:firstLine="509"/>
        <w:spacing w:after="0" w:line="253" w:lineRule="auto"/>
        <w:rPr>
          <w:sz w:val="20"/>
          <w:szCs w:val="20"/>
          <w:color w:val="auto"/>
        </w:rPr>
      </w:pPr>
      <w:r>
        <w:rPr>
          <w:rFonts w:ascii="Arial" w:cs="Arial" w:eastAsia="Arial" w:hAnsi="Arial"/>
          <w:sz w:val="14"/>
          <w:szCs w:val="14"/>
          <w:color w:val="auto"/>
        </w:rPr>
        <w:t>Pursuant to the Investment Advisory Agreement, the Company has agreed to pay the Investment Adviser a fee for investment advisory and management services consisting of two components — a base management fee and an incentive fee.</w:t>
      </w:r>
    </w:p>
    <w:p>
      <w:pPr>
        <w:spacing w:after="0" w:line="93" w:lineRule="exact"/>
        <w:rPr>
          <w:sz w:val="20"/>
          <w:szCs w:val="20"/>
          <w:color w:val="auto"/>
        </w:rPr>
      </w:pPr>
    </w:p>
    <w:p>
      <w:pPr>
        <w:ind w:right="220" w:firstLine="509"/>
        <w:spacing w:after="0" w:line="231" w:lineRule="auto"/>
        <w:rPr>
          <w:sz w:val="20"/>
          <w:szCs w:val="20"/>
          <w:color w:val="auto"/>
        </w:rPr>
      </w:pPr>
      <w:r>
        <w:rPr>
          <w:rFonts w:ascii="Arial" w:cs="Arial" w:eastAsia="Arial" w:hAnsi="Arial"/>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incentive fee consists of the following two parts:</w:t>
      </w:r>
    </w:p>
    <w:p>
      <w:pPr>
        <w:spacing w:after="0" w:line="136" w:lineRule="exact"/>
        <w:rPr>
          <w:sz w:val="20"/>
          <w:szCs w:val="20"/>
          <w:color w:val="auto"/>
        </w:rPr>
      </w:pPr>
    </w:p>
    <w:p>
      <w:pPr>
        <w:ind w:right="120" w:firstLine="509"/>
        <w:spacing w:after="0" w:line="244" w:lineRule="auto"/>
        <w:rPr>
          <w:sz w:val="20"/>
          <w:szCs w:val="20"/>
          <w:color w:val="auto"/>
        </w:rPr>
      </w:pPr>
      <w:r>
        <w:rPr>
          <w:rFonts w:ascii="Arial" w:cs="Arial" w:eastAsia="Arial" w:hAnsi="Arial"/>
          <w:sz w:val="13"/>
          <w:szCs w:val="13"/>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p>
    <w:p>
      <w:pPr>
        <w:spacing w:after="0" w:line="36" w:lineRule="exact"/>
        <w:rPr>
          <w:sz w:val="20"/>
          <w:szCs w:val="20"/>
          <w:color w:val="auto"/>
        </w:rPr>
      </w:pPr>
    </w:p>
    <w:p>
      <w:pPr>
        <w:ind w:left="780" w:hanging="263"/>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the pre-incentive fee net investment income does not exceed the hurdle of 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1" w:name="page12"/>
    <w:bookmarkEnd w:id="11"/>
    <w:p>
      <w:pPr>
        <w:ind w:left="780" w:hanging="263"/>
        <w:spacing w:after="0" w:line="233" w:lineRule="auto"/>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spacing w:after="0" w:line="49"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20.0% of the amount of the pre-incentive fee net investment income, if any, that exceeds 2.5% in any calendar quarter (10.0% annualized) is payable to the Investment Adviser (once the hurdle is reached and the catch-up is achieved, 20.0% of all pre-incentive fee investment income thereafter is allocated to the Investment Adviser).</w:t>
      </w:r>
    </w:p>
    <w:p>
      <w:pPr>
        <w:spacing w:after="0" w:line="93" w:lineRule="exact"/>
        <w:rPr>
          <w:sz w:val="20"/>
          <w:szCs w:val="20"/>
          <w:color w:val="auto"/>
        </w:rPr>
      </w:pPr>
    </w:p>
    <w:p>
      <w:pPr>
        <w:ind w:right="40" w:firstLine="509"/>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will be treated as though it were a calendar year end for purposes of calculating and paying a capital gains fee.</w:t>
      </w:r>
    </w:p>
    <w:p>
      <w:pPr>
        <w:spacing w:after="0" w:line="111" w:lineRule="exact"/>
        <w:rPr>
          <w:sz w:val="20"/>
          <w:szCs w:val="20"/>
          <w:color w:val="auto"/>
        </w:rPr>
      </w:pPr>
    </w:p>
    <w:p>
      <w:pPr>
        <w:ind w:right="20" w:firstLine="509"/>
        <w:spacing w:after="0" w:line="251" w:lineRule="auto"/>
        <w:rPr>
          <w:sz w:val="20"/>
          <w:szCs w:val="20"/>
          <w:color w:val="auto"/>
        </w:rPr>
      </w:pPr>
      <w:r>
        <w:rPr>
          <w:rFonts w:ascii="Arial" w:cs="Arial" w:eastAsia="Arial" w:hAnsi="Arial"/>
          <w:sz w:val="13"/>
          <w:szCs w:val="13"/>
          <w:color w:val="auto"/>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2022 and 2021, the Company did not have incentive fees payable to the Investment Adviser related to fees earned in prior years but deferred under the incentive fee deferral mechanism, respectively.</w:t>
      </w:r>
    </w:p>
    <w:p>
      <w:pPr>
        <w:spacing w:after="0" w:line="109" w:lineRule="exact"/>
        <w:rPr>
          <w:sz w:val="20"/>
          <w:szCs w:val="20"/>
          <w:color w:val="auto"/>
        </w:rPr>
      </w:pPr>
    </w:p>
    <w:p>
      <w:pPr>
        <w:ind w:right="40" w:firstLine="509"/>
        <w:spacing w:after="0" w:line="238" w:lineRule="auto"/>
        <w:rPr>
          <w:sz w:val="20"/>
          <w:szCs w:val="20"/>
          <w:color w:val="auto"/>
        </w:rPr>
      </w:pPr>
      <w:r>
        <w:rPr>
          <w:rFonts w:ascii="Arial" w:cs="Arial" w:eastAsia="Arial" w:hAnsi="Arial"/>
          <w:sz w:val="14"/>
          <w:szCs w:val="14"/>
          <w:color w:val="auto"/>
        </w:rPr>
        <w:t>The Investment Adviser entered into a two-year contractual fee waiver (the “Fee Waiver”) with the Company to waive, to the extent necessary, any capital gains fee under the Investment Advisory Agreement that exceeds what would have been paid to our prior investment adviser, Capitala Investment Advisors, LLC, in the aggregate over such two-year period under the prior advisory agreement.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Graphical Representation and Examples under the Investment Advisory Agreement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graphical representation of the calculation of the income-related portion of the incentive fee:</w:t>
      </w:r>
    </w:p>
    <w:p>
      <w:pPr>
        <w:spacing w:after="0" w:line="200"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Quarterly Incentive Fee Based on Net Investment Income</w:t>
      </w:r>
    </w:p>
    <w:p>
      <w:pPr>
        <w:spacing w:after="0" w:line="69"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Pre-incentive fee net investment income</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100965</wp:posOffset>
            </wp:positionV>
            <wp:extent cx="3334385"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43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Percentage of pre-incentive fee net investment income allocated to the Mount Logan Management LLC</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pre-incentive fee net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 under the Investment Advisory Agreement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 Pre-incentive fee net investment income</w:t>
      </w:r>
    </w:p>
    <w:p>
      <w:pPr>
        <w:spacing w:after="0" w:line="100" w:lineRule="exact"/>
        <w:rPr>
          <w:sz w:val="20"/>
          <w:szCs w:val="20"/>
          <w:color w:val="auto"/>
        </w:rPr>
      </w:pPr>
    </w:p>
    <w:p>
      <w:pPr>
        <w:ind w:left="560" w:right="4920"/>
        <w:spacing w:after="0" w:line="253" w:lineRule="auto"/>
        <w:rPr>
          <w:sz w:val="20"/>
          <w:szCs w:val="20"/>
          <w:color w:val="auto"/>
        </w:rPr>
      </w:pPr>
      <w:r>
        <w:rPr>
          <w:rFonts w:ascii="Arial" w:cs="Arial" w:eastAsia="Arial" w:hAnsi="Arial"/>
          <w:sz w:val="14"/>
          <w:szCs w:val="14"/>
          <w:color w:val="auto"/>
        </w:rPr>
        <w:t>(investment income − (management fee + other expenses)) = 0.55% Pre-incentive net investment income does not exceed hurdle rate, therefore there is no incentive fee.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2.90%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 income − (management fee + other expenses)) = 2.20%</w:t>
      </w:r>
    </w:p>
    <w:p>
      <w:pPr>
        <w:spacing w:after="0" w:line="88"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100% × pre-incentive fee net investment income, subject to the “catch-up”</w:t>
      </w:r>
      <w:r>
        <w:rPr>
          <w:rFonts w:ascii="Arial" w:cs="Arial" w:eastAsia="Arial" w:hAnsi="Arial"/>
          <w:sz w:val="17"/>
          <w:szCs w:val="17"/>
          <w:color w:val="auto"/>
          <w:vertAlign w:val="superscript"/>
        </w:rPr>
        <w:t>(4)</w:t>
      </w:r>
    </w:p>
    <w:p>
      <w:pPr>
        <w:spacing w:after="0" w:line="285" w:lineRule="exact"/>
        <w:rPr>
          <w:sz w:val="20"/>
          <w:szCs w:val="20"/>
          <w:color w:val="auto"/>
        </w:rPr>
      </w:pPr>
    </w:p>
    <w:p>
      <w:pPr>
        <w:ind w:left="1660" w:hanging="113"/>
        <w:spacing w:after="0"/>
        <w:tabs>
          <w:tab w:leader="none" w:pos="1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100% × (2.20% − 2.00%)</w:t>
      </w:r>
    </w:p>
    <w:p>
      <w:pPr>
        <w:spacing w:after="0" w:line="271" w:lineRule="exact"/>
        <w:rPr>
          <w:rFonts w:ascii="Arial" w:cs="Arial" w:eastAsia="Arial" w:hAnsi="Arial"/>
          <w:sz w:val="14"/>
          <w:szCs w:val="14"/>
          <w:color w:val="auto"/>
        </w:rPr>
      </w:pPr>
    </w:p>
    <w:p>
      <w:pPr>
        <w:ind w:left="1660" w:hanging="113"/>
        <w:spacing w:after="0"/>
        <w:tabs>
          <w:tab w:leader="none" w:pos="1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0.20%</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Pre-incentive fee net investment income exceeds the hurdle rate, but does not fully satisfy the “catch-up” provision, therefore the income related portion of the incentive fee is 0.20%.</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3.50%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 income − (management fee + other expenses)) = 2.80%</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40" w:type="dxa"/>
            <w:vAlign w:val="bottom"/>
            <w:gridSpan w:val="2"/>
          </w:tcPr>
          <w:p>
            <w:pPr>
              <w:ind w:left="320"/>
              <w:spacing w:after="0"/>
              <w:rPr>
                <w:sz w:val="20"/>
                <w:szCs w:val="20"/>
                <w:color w:val="auto"/>
              </w:rPr>
            </w:pPr>
            <w:r>
              <w:rPr>
                <w:rFonts w:ascii="Arial" w:cs="Arial" w:eastAsia="Arial" w:hAnsi="Arial"/>
                <w:sz w:val="14"/>
                <w:szCs w:val="14"/>
                <w:color w:val="auto"/>
              </w:rPr>
              <w:t>= 20% × pre-incentive fee net investment income, subject to “catch-up”</w:t>
            </w:r>
            <w:r>
              <w:rPr>
                <w:rFonts w:ascii="Arial" w:cs="Arial" w:eastAsia="Arial" w:hAnsi="Arial"/>
                <w:sz w:val="19"/>
                <w:szCs w:val="19"/>
                <w:color w:val="auto"/>
                <w:vertAlign w:val="superscript"/>
              </w:rPr>
              <w:t>(4)</w:t>
            </w:r>
          </w:p>
        </w:tc>
      </w:tr>
      <w:tr>
        <w:trPr>
          <w:trHeight w:val="290"/>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40" w:type="dxa"/>
            <w:vAlign w:val="bottom"/>
            <w:gridSpan w:val="2"/>
          </w:tcPr>
          <w:p>
            <w:pPr>
              <w:ind w:left="320"/>
              <w:spacing w:after="0"/>
              <w:rPr>
                <w:sz w:val="20"/>
                <w:szCs w:val="20"/>
                <w:color w:val="auto"/>
              </w:rPr>
            </w:pPr>
            <w:r>
              <w:rPr>
                <w:rFonts w:ascii="Arial" w:cs="Arial" w:eastAsia="Arial" w:hAnsi="Arial"/>
                <w:sz w:val="14"/>
                <w:szCs w:val="14"/>
                <w:color w:val="auto"/>
                <w:w w:val="94"/>
              </w:rPr>
              <w:t>= 100% × “catch-up” + (20% × (pre-incentive fee net investment income − 2.50%))</w:t>
            </w:r>
          </w:p>
        </w:tc>
      </w:tr>
      <w:tr>
        <w:trPr>
          <w:trHeight w:val="324"/>
        </w:trPr>
        <w:tc>
          <w:tcPr>
            <w:tcW w:w="1080" w:type="dxa"/>
            <w:vAlign w:val="bottom"/>
          </w:tcPr>
          <w:p>
            <w:pPr>
              <w:spacing w:after="0"/>
              <w:rPr>
                <w:sz w:val="20"/>
                <w:szCs w:val="20"/>
                <w:color w:val="auto"/>
              </w:rPr>
            </w:pPr>
            <w:r>
              <w:rPr>
                <w:rFonts w:ascii="Arial" w:cs="Arial" w:eastAsia="Arial" w:hAnsi="Arial"/>
                <w:sz w:val="14"/>
                <w:szCs w:val="14"/>
                <w:color w:val="auto"/>
              </w:rPr>
              <w:t>Catch-up</w:t>
            </w:r>
          </w:p>
        </w:tc>
        <w:tc>
          <w:tcPr>
            <w:tcW w:w="5140" w:type="dxa"/>
            <w:vAlign w:val="bottom"/>
            <w:gridSpan w:val="2"/>
          </w:tcPr>
          <w:p>
            <w:pPr>
              <w:ind w:left="320"/>
              <w:spacing w:after="0"/>
              <w:rPr>
                <w:sz w:val="20"/>
                <w:szCs w:val="20"/>
                <w:color w:val="auto"/>
              </w:rPr>
            </w:pPr>
            <w:r>
              <w:rPr>
                <w:rFonts w:ascii="Arial" w:cs="Arial" w:eastAsia="Arial" w:hAnsi="Arial"/>
                <w:sz w:val="14"/>
                <w:szCs w:val="14"/>
                <w:color w:val="auto"/>
              </w:rPr>
              <w:t>= 2.50% − 2.00%</w:t>
            </w:r>
          </w:p>
        </w:tc>
      </w:tr>
      <w:tr>
        <w:trPr>
          <w:trHeight w:val="324"/>
        </w:trPr>
        <w:tc>
          <w:tcPr>
            <w:tcW w:w="10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w w:val="96"/>
              </w:rPr>
              <w:t>= 0.50%</w:t>
            </w:r>
          </w:p>
        </w:tc>
        <w:tc>
          <w:tcPr>
            <w:tcW w:w="43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40" w:type="dxa"/>
            <w:vAlign w:val="bottom"/>
            <w:gridSpan w:val="2"/>
          </w:tcPr>
          <w:p>
            <w:pPr>
              <w:ind w:left="320"/>
              <w:spacing w:after="0"/>
              <w:rPr>
                <w:sz w:val="20"/>
                <w:szCs w:val="20"/>
                <w:color w:val="auto"/>
              </w:rPr>
            </w:pPr>
            <w:r>
              <w:rPr>
                <w:rFonts w:ascii="Arial" w:cs="Arial" w:eastAsia="Arial" w:hAnsi="Arial"/>
                <w:sz w:val="14"/>
                <w:szCs w:val="14"/>
                <w:color w:val="auto"/>
              </w:rPr>
              <w:t>= (100% × 0.50%) + (20% × (2.80% − 2.50%))</w:t>
            </w:r>
          </w:p>
        </w:tc>
      </w:tr>
      <w:tr>
        <w:trPr>
          <w:trHeight w:val="324"/>
        </w:trPr>
        <w:tc>
          <w:tcPr>
            <w:tcW w:w="10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w w:val="96"/>
              </w:rPr>
              <w:t>= 0.50%</w:t>
            </w:r>
          </w:p>
        </w:tc>
        <w:tc>
          <w:tcPr>
            <w:tcW w:w="4300" w:type="dxa"/>
            <w:vAlign w:val="bottom"/>
          </w:tcPr>
          <w:p>
            <w:pPr>
              <w:ind w:left="20"/>
              <w:spacing w:after="0"/>
              <w:rPr>
                <w:sz w:val="20"/>
                <w:szCs w:val="20"/>
                <w:color w:val="auto"/>
              </w:rPr>
            </w:pPr>
            <w:r>
              <w:rPr>
                <w:rFonts w:ascii="Arial" w:cs="Arial" w:eastAsia="Arial" w:hAnsi="Arial"/>
                <w:sz w:val="14"/>
                <w:szCs w:val="14"/>
                <w:color w:val="auto"/>
              </w:rPr>
              <w:t>+ (20%× 0.30%)</w:t>
            </w:r>
          </w:p>
        </w:tc>
      </w:tr>
      <w:tr>
        <w:trPr>
          <w:trHeight w:val="324"/>
        </w:trPr>
        <w:tc>
          <w:tcPr>
            <w:tcW w:w="10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w w:val="96"/>
              </w:rPr>
              <w:t>= 0.50%</w:t>
            </w:r>
          </w:p>
        </w:tc>
        <w:tc>
          <w:tcPr>
            <w:tcW w:w="4300" w:type="dxa"/>
            <w:vAlign w:val="bottom"/>
          </w:tcPr>
          <w:p>
            <w:pPr>
              <w:ind w:left="20"/>
              <w:spacing w:after="0"/>
              <w:rPr>
                <w:sz w:val="20"/>
                <w:szCs w:val="20"/>
                <w:color w:val="auto"/>
              </w:rPr>
            </w:pPr>
            <w:r>
              <w:rPr>
                <w:rFonts w:ascii="Arial" w:cs="Arial" w:eastAsia="Arial" w:hAnsi="Arial"/>
                <w:sz w:val="14"/>
                <w:szCs w:val="14"/>
                <w:color w:val="auto"/>
              </w:rPr>
              <w:t>+ 0.06%</w:t>
            </w:r>
          </w:p>
        </w:tc>
      </w:tr>
      <w:tr>
        <w:trPr>
          <w:trHeight w:val="324"/>
        </w:trPr>
        <w:tc>
          <w:tcPr>
            <w:tcW w:w="10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w w:val="96"/>
              </w:rPr>
              <w:t>= 0.56%</w:t>
            </w:r>
          </w:p>
        </w:tc>
        <w:tc>
          <w:tcPr>
            <w:tcW w:w="4300" w:type="dxa"/>
            <w:vAlign w:val="bottom"/>
          </w:tcPr>
          <w:p>
            <w:pPr>
              <w:spacing w:after="0"/>
              <w:rPr>
                <w:sz w:val="24"/>
                <w:szCs w:val="24"/>
                <w:color w:val="auto"/>
              </w:rPr>
            </w:pPr>
          </w:p>
        </w:tc>
      </w:tr>
    </w:tbl>
    <w:p>
      <w:pPr>
        <w:spacing w:after="0" w:line="2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Pre-incentive fee net investment income exceeds the hurdle rate, and fully satisfies the “catch-up” provision, therefore the income related portion of the incentive fee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8"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hypothetical amount of pre-incentive fee net investment income shown is based on a percentage of total net assets.</w:t>
      </w:r>
    </w:p>
    <w:p>
      <w:pPr>
        <w:spacing w:after="0" w:line="10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8.00% annualized hurdle rate.</w:t>
      </w:r>
    </w:p>
    <w:p>
      <w:pPr>
        <w:spacing w:after="0" w:line="105" w:lineRule="exact"/>
        <w:rPr>
          <w:rFonts w:ascii="Arial" w:cs="Arial" w:eastAsia="Arial" w:hAnsi="Arial"/>
          <w:sz w:val="12"/>
          <w:szCs w:val="12"/>
          <w:color w:val="auto"/>
        </w:rPr>
      </w:pPr>
    </w:p>
    <w:p>
      <w:pPr>
        <w:ind w:left="520" w:hanging="512"/>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2.00% annualized management fee.</w:t>
      </w:r>
    </w:p>
    <w:p>
      <w:pPr>
        <w:spacing w:after="0" w:line="105" w:lineRule="exact"/>
        <w:rPr>
          <w:rFonts w:ascii="Arial" w:cs="Arial" w:eastAsia="Arial" w:hAnsi="Arial"/>
          <w:sz w:val="12"/>
          <w:szCs w:val="12"/>
          <w:color w:val="auto"/>
        </w:rPr>
      </w:pPr>
    </w:p>
    <w:p>
      <w:pPr>
        <w:ind w:left="520" w:hanging="512"/>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Excludes organizational and offering expenses.</w:t>
      </w:r>
    </w:p>
    <w:p>
      <w:pPr>
        <w:spacing w:after="0" w:line="105" w:lineRule="exact"/>
        <w:rPr>
          <w:rFonts w:ascii="Arial" w:cs="Arial" w:eastAsia="Arial" w:hAnsi="Arial"/>
          <w:sz w:val="12"/>
          <w:szCs w:val="12"/>
          <w:color w:val="auto"/>
        </w:rPr>
      </w:pPr>
    </w:p>
    <w:p>
      <w:pPr>
        <w:ind w:left="520" w:hanging="512"/>
        <w:spacing w:after="0" w:line="252" w:lineRule="auto"/>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“catch-up” provision is intended to provide the Investment Adviser with an incentive fee of 20.00% on all of Logan Ridge’s pre-incentive fee net investment income as if a hurdle rate did not apply when its net investment income exceeds 2.50% in any calendar quarter.</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69" w:lineRule="exact"/>
        <w:rPr>
          <w:sz w:val="20"/>
          <w:szCs w:val="20"/>
          <w:color w:val="auto"/>
        </w:rPr>
      </w:pPr>
    </w:p>
    <w:p>
      <w:pPr>
        <w:ind w:left="780" w:hanging="263"/>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Year 3:  FMV of Investment B determined to be $25 million</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Year 4:  Investment B sold for $31 million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capital gains portion of the incentive fee would be:</w:t>
      </w:r>
    </w:p>
    <w:p>
      <w:pPr>
        <w:spacing w:after="0" w:line="55" w:lineRule="exact"/>
        <w:rPr>
          <w:sz w:val="20"/>
          <w:szCs w:val="20"/>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1:  None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2:  Capital gains incentive fee of $6 million ($30 million realized capital gains on sale of Investment A multiplied by 20.00%)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3" w:name="page14"/>
    <w:bookmarkEnd w:id="13"/>
    <w:p>
      <w:pPr>
        <w:ind w:left="780" w:hanging="263"/>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Year 3:  None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$5 million (20.00% multiplied by ($30 million cumulative capital gains less $5 million cumulative capital depreciation)) less $6 million (previous capital gains fee paid in Year 2).</w:t>
      </w:r>
    </w:p>
    <w:p>
      <w:pPr>
        <w:spacing w:after="0" w:line="67" w:lineRule="exact"/>
        <w:rPr>
          <w:sz w:val="20"/>
          <w:szCs w:val="20"/>
          <w:color w:val="auto"/>
        </w:rPr>
      </w:pPr>
    </w:p>
    <w:p>
      <w:pPr>
        <w:ind w:left="780" w:hanging="263"/>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Year 4:  Capital gains incentive fee of $200,000</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$6.2 million ($31 million cumulative realized capital gains multiplied by 20.00%) less $6 million (capital gains fee taken in Year 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55" w:lineRule="exact"/>
        <w:rPr>
          <w:sz w:val="20"/>
          <w:szCs w:val="20"/>
          <w:color w:val="auto"/>
        </w:rPr>
      </w:pPr>
    </w:p>
    <w:p>
      <w:pPr>
        <w:ind w:left="780" w:hanging="263"/>
        <w:spacing w:after="0" w:line="253" w:lineRule="auto"/>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3:  FMV of Investment B determined to be $27 million and Investment C sold for $30 million</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4:  FMV of Investment B determined to be $24 million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5:  Investment B sold for $20 million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capital gains incentive fee, if any, would be:</w:t>
      </w:r>
    </w:p>
    <w:p>
      <w:pPr>
        <w:spacing w:after="0" w:line="69" w:lineRule="exact"/>
        <w:rPr>
          <w:sz w:val="20"/>
          <w:szCs w:val="20"/>
          <w:color w:val="auto"/>
        </w:rPr>
      </w:pPr>
    </w:p>
    <w:p>
      <w:pPr>
        <w:ind w:left="780" w:hanging="263"/>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Year 1:  None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Year 2:  $5 million capital gains incentive fee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20.00% multiplied by $25 million ($30 million realized capital gains on Investment A less unrealized capital depreciation on Investment B).</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 w:name="page15"/>
    <w:bookmarkEnd w:id="14"/>
    <w:p>
      <w:pPr>
        <w:ind w:left="780" w:hanging="263"/>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Year 3:  $1.4 million capital gains incentive fee</w:t>
      </w:r>
      <w:r>
        <w:rPr>
          <w:rFonts w:ascii="Arial" w:cs="Arial" w:eastAsia="Arial" w:hAnsi="Arial"/>
          <w:sz w:val="19"/>
          <w:szCs w:val="19"/>
          <w:color w:val="auto"/>
          <w:vertAlign w:val="superscript"/>
        </w:rPr>
        <w:t>(1)</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$6.4 million (20.00% multiplied by $32 million ($35 million cumulative realized capital gains less $3 million unrealized capital depreciation)) less $5 million capital gains fee received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Year 2.</w:t>
      </w:r>
    </w:p>
    <w:p>
      <w:pPr>
        <w:spacing w:after="0" w:line="84" w:lineRule="exact"/>
        <w:rPr>
          <w:sz w:val="20"/>
          <w:szCs w:val="20"/>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Year 4:  None</w:t>
      </w:r>
    </w:p>
    <w:p>
      <w:pPr>
        <w:spacing w:after="0" w:line="95" w:lineRule="exact"/>
        <w:rPr>
          <w:rFonts w:ascii="Arial" w:cs="Arial" w:eastAsia="Arial" w:hAnsi="Arial"/>
          <w:sz w:val="14"/>
          <w:szCs w:val="14"/>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Year 5:</w:t>
      </w:r>
    </w:p>
    <w:p>
      <w:pPr>
        <w:spacing w:after="0" w:line="12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4"/>
          <w:szCs w:val="14"/>
          <w:color w:val="auto"/>
        </w:rPr>
        <w:t>None $5 million (20.00% multiplied by $25 million (cumulative realized capital gains of $35 million less realized capital losses of $10 million)) less $6.4 million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951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7" w:lineRule="exact"/>
        <w:rPr>
          <w:sz w:val="20"/>
          <w:szCs w:val="20"/>
          <w:color w:val="auto"/>
        </w:rPr>
      </w:pPr>
    </w:p>
    <w:p>
      <w:pPr>
        <w:ind w:left="520" w:hanging="512"/>
        <w:spacing w:after="0" w:line="252" w:lineRule="auto"/>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3: Application of the Incentive Fee Deferral Mechanism</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55" w:lineRule="exact"/>
        <w:rPr>
          <w:sz w:val="20"/>
          <w:szCs w:val="20"/>
          <w:color w:val="auto"/>
        </w:rPr>
      </w:pPr>
    </w:p>
    <w:p>
      <w:pPr>
        <w:jc w:val="both"/>
        <w:ind w:left="780" w:hanging="263"/>
        <w:spacing w:after="0" w:line="233" w:lineRule="auto"/>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20.00%). All income-related incentive fees were paid quarterly in arrears.</w:t>
      </w:r>
    </w:p>
    <w:p>
      <w:pPr>
        <w:spacing w:after="0" w:line="36"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each year preceding Year 1, we did not generate realized or unrealized capital gains or losses, no capital gain-related incentive fee was paid and there was no deferral of incentive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Year 1: We did not generate realized or unrealized capital gains or losses.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Year 2: We realized a $30.0 million capital gain and did not otherwise generate realized or unrealized capital gains or losses.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Year 3: We recognized $5.0 million of unrealized capital depreciation and did not otherwise generate realized or unrealized capital gains or losses.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Year 4: We realized a $6.0 million capital gain and did not otherwise generate realized or unrealized capital gains or losses.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Income Related</w:t>
            </w:r>
          </w:p>
        </w:tc>
        <w:tc>
          <w:tcPr>
            <w:tcW w:w="2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 Accrued</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 Accrued</w:t>
            </w:r>
          </w:p>
        </w:tc>
        <w:tc>
          <w:tcPr>
            <w:tcW w:w="200" w:type="dxa"/>
            <w:vAlign w:val="bottom"/>
          </w:tcPr>
          <w:p>
            <w:pPr>
              <w:spacing w:after="0"/>
              <w:rPr>
                <w:sz w:val="12"/>
                <w:szCs w:val="12"/>
                <w:color w:val="auto"/>
              </w:rPr>
            </w:pPr>
          </w:p>
        </w:tc>
        <w:tc>
          <w:tcPr>
            <w:tcW w:w="23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Incentive Fee</w:t>
            </w:r>
          </w:p>
        </w:tc>
        <w:tc>
          <w:tcPr>
            <w:tcW w:w="200" w:type="dxa"/>
            <w:vAlign w:val="bottom"/>
          </w:tcPr>
          <w:p>
            <w:pPr>
              <w:spacing w:after="0"/>
              <w:rPr>
                <w:sz w:val="12"/>
                <w:szCs w:val="12"/>
                <w:color w:val="auto"/>
              </w:rPr>
            </w:pPr>
          </w:p>
        </w:tc>
        <w:tc>
          <w:tcPr>
            <w:tcW w:w="2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Incentive Fees Paid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Before Application of</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Before Application of</w:t>
            </w: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2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Deferral Mechanism</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Deferral Mechanism</w:t>
            </w:r>
          </w:p>
        </w:tc>
        <w:tc>
          <w:tcPr>
            <w:tcW w:w="200" w:type="dxa"/>
            <w:vAlign w:val="bottom"/>
          </w:tcPr>
          <w:p>
            <w:pPr>
              <w:spacing w:after="0"/>
              <w:rPr>
                <w:sz w:val="16"/>
                <w:szCs w:val="16"/>
                <w:color w:val="auto"/>
              </w:rPr>
            </w:pPr>
          </w:p>
        </w:tc>
        <w:tc>
          <w:tcPr>
            <w:tcW w:w="23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Calculations</w:t>
            </w:r>
          </w:p>
        </w:tc>
        <w:tc>
          <w:tcPr>
            <w:tcW w:w="200" w:type="dxa"/>
            <w:vAlign w:val="bottom"/>
          </w:tcPr>
          <w:p>
            <w:pPr>
              <w:spacing w:after="0"/>
              <w:rPr>
                <w:sz w:val="16"/>
                <w:szCs w:val="16"/>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and Deferred</w:t>
            </w:r>
          </w:p>
        </w:tc>
        <w:tc>
          <w:tcPr>
            <w:tcW w:w="0" w:type="dxa"/>
            <w:vAlign w:val="bottom"/>
          </w:tcPr>
          <w:p>
            <w:pPr>
              <w:spacing w:after="0"/>
              <w:rPr>
                <w:sz w:val="1"/>
                <w:szCs w:val="1"/>
                <w:color w:val="auto"/>
              </w:rPr>
            </w:pPr>
          </w:p>
        </w:tc>
      </w:tr>
      <w:tr>
        <w:trPr>
          <w:trHeight w:val="137"/>
        </w:trPr>
        <w:tc>
          <w:tcPr>
            <w:tcW w:w="142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Year 1</w:t>
            </w:r>
          </w:p>
        </w:tc>
        <w:tc>
          <w:tcPr>
            <w:tcW w:w="23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$8.0 million ($40.0 million multiplied</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None</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$8.0 million</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w w:val="98"/>
              </w:rPr>
              <w:t>Incentive fees of $8.0 million paid; no</w:t>
            </w:r>
          </w:p>
        </w:tc>
        <w:tc>
          <w:tcPr>
            <w:tcW w:w="0" w:type="dxa"/>
            <w:vAlign w:val="bottom"/>
          </w:tcPr>
          <w:p>
            <w:pPr>
              <w:spacing w:after="0"/>
              <w:rPr>
                <w:sz w:val="1"/>
                <w:szCs w:val="1"/>
                <w:color w:val="auto"/>
              </w:rPr>
            </w:pPr>
          </w:p>
        </w:tc>
      </w:tr>
      <w:tr>
        <w:trPr>
          <w:trHeight w:val="181"/>
        </w:trPr>
        <w:tc>
          <w:tcPr>
            <w:tcW w:w="14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by 20%)</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deferred</w:t>
            </w: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Year 2</w:t>
            </w:r>
          </w:p>
        </w:tc>
        <w:tc>
          <w:tcPr>
            <w:tcW w:w="2320" w:type="dxa"/>
            <w:vAlign w:val="bottom"/>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$6.0 million (20% of $30.0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$14.0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w w:val="95"/>
              </w:rPr>
              <w:t>Incentive fees of $14.0 million paid; no</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by 20%)</w:t>
            </w: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incentive fees deferred</w:t>
            </w:r>
          </w:p>
        </w:tc>
        <w:tc>
          <w:tcPr>
            <w:tcW w:w="0" w:type="dxa"/>
            <w:vAlign w:val="bottom"/>
          </w:tcPr>
          <w:p>
            <w:pPr>
              <w:spacing w:after="0"/>
              <w:rPr>
                <w:sz w:val="1"/>
                <w:szCs w:val="1"/>
                <w:color w:val="auto"/>
              </w:rPr>
            </w:pPr>
          </w:p>
        </w:tc>
      </w:tr>
      <w:tr>
        <w:trPr>
          <w:trHeight w:val="143"/>
        </w:trPr>
        <w:tc>
          <w:tcPr>
            <w:tcW w:w="14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Year 3</w:t>
            </w:r>
          </w:p>
        </w:tc>
        <w:tc>
          <w:tcPr>
            <w:tcW w:w="2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None (20% of cumulative net capital</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6"/>
              </w:rPr>
              <w:t>$7.0 million (20% of the sum of (a) our</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Incentive fees of $7.0 million paid;</w:t>
            </w:r>
          </w:p>
        </w:tc>
        <w:tc>
          <w:tcPr>
            <w:tcW w:w="0" w:type="dxa"/>
            <w:vAlign w:val="bottom"/>
          </w:tcPr>
          <w:p>
            <w:pPr>
              <w:spacing w:after="0"/>
              <w:rPr>
                <w:sz w:val="1"/>
                <w:szCs w:val="1"/>
                <w:color w:val="auto"/>
              </w:rPr>
            </w:pPr>
          </w:p>
        </w:tc>
      </w:tr>
      <w:tr>
        <w:trPr>
          <w:trHeight w:val="149"/>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by 20%)</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6"/>
              </w:rPr>
              <w:t>gains of $25.0 million ($30.0 million in</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pre-incentive fee net investment</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9"/>
              </w:rPr>
              <w:t>$8.0 million of incentive fees accrued</w:t>
            </w: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cumulative realized gains less $5.0</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income, (b) our net unrealized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7"/>
              </w:rPr>
              <w:t>but payment restricted to $7.0 million;</w:t>
            </w: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million in cumulative unrealized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appreciation or depreciation during</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8"/>
              </w:rPr>
              <w:t>$1.0 million of incentive fees deferred</w:t>
            </w:r>
          </w:p>
        </w:tc>
        <w:tc>
          <w:tcPr>
            <w:tcW w:w="0" w:type="dxa"/>
            <w:vAlign w:val="bottom"/>
          </w:tcPr>
          <w:p>
            <w:pPr>
              <w:spacing w:after="0"/>
              <w:rPr>
                <w:sz w:val="1"/>
                <w:szCs w:val="1"/>
                <w:color w:val="auto"/>
              </w:rPr>
            </w:pPr>
          </w:p>
        </w:tc>
      </w:tr>
      <w:tr>
        <w:trPr>
          <w:trHeight w:val="149"/>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8"/>
              </w:rPr>
              <w:t>capital depreciation) less $6.0 million</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such period and (c) our net 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capital gains fee paid in Year 2)</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4"/>
                <w:szCs w:val="14"/>
                <w:color w:val="auto"/>
                <w:w w:val="98"/>
              </w:rPr>
              <w:t>capital gains or losses during Year 3)</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Year 4</w:t>
            </w:r>
          </w:p>
        </w:tc>
        <w:tc>
          <w:tcPr>
            <w:tcW w:w="2320" w:type="dxa"/>
            <w:vAlign w:val="bottom"/>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$0.2 million (20% of cumulative net</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$8.2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Incentive fees of $9.2 million paid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by 20%)</w:t>
            </w: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capital gains of $31.0 million ($36.0</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($8.2 million of incentive fees accrued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million cumulative realized capital</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w w:val="98"/>
              </w:rPr>
              <w:t>in Year 4 plus $1.0 million of deferred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gains less $5.0 million cumulative</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incentive fees); no incentive fees</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unrealized capital depreciation) less</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w w:val="95"/>
              </w:rPr>
              <w:t>$6.0 million of capital gains fee paid in</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Year 2)</w:t>
            </w: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Investment Advisory Agreement</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On September 24, 2013, the Company entered into an investment advisory agreement (the “Prior Investment Advisory Agreement”) with our Prior Investment Adviser, Capitala Investment Advisors, LLC (“Capitala”), which was initially approved by the Board on June 10, 2013. As described in our Proxy Statement on Schedule 14A, filed on May 4, 2021, which is incorporated herein by reference, the terms of the Prior Investment Advisory Agreement are substantially the same as those contained in the Investment Advisory Agreement, other than the reset of the capital gains incentive fee lookback feature to the date when Mount Logan assumed management of the Company.</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Our Prior Investment Adviser is registered as an investment adviser under the Advisers Act. Subject to the overall supervision of our Board, our Prior Investment Adviser managed our day-to-day operations, and provided investment advisory and management services to us. Under the terms of our Prior Investment Advisory Agreement, the Prior Investment Adviser:</w:t>
      </w:r>
    </w:p>
    <w:p>
      <w:pPr>
        <w:spacing w:after="0" w:line="84" w:lineRule="exact"/>
        <w:rPr>
          <w:sz w:val="20"/>
          <w:szCs w:val="20"/>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determined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identified, evaluated and negotiated the structure of the investments we made (including performing due diligence on our prospective portfolio companies);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closed and monitored the investments we made;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provided us with other investment advisory, research and related services as we may have from time to time required.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15" w:name="page16"/>
    <w:bookmarkEnd w:id="15"/>
    <w:p>
      <w:pPr>
        <w:jc w:val="both"/>
        <w:ind w:firstLine="509"/>
        <w:spacing w:after="0" w:line="253" w:lineRule="auto"/>
        <w:rPr>
          <w:sz w:val="20"/>
          <w:szCs w:val="20"/>
          <w:color w:val="auto"/>
        </w:rPr>
      </w:pPr>
      <w:r>
        <w:rPr>
          <w:rFonts w:ascii="Arial" w:cs="Arial" w:eastAsia="Arial" w:hAnsi="Arial"/>
          <w:sz w:val="14"/>
          <w:szCs w:val="14"/>
          <w:color w:val="auto"/>
        </w:rPr>
        <w:t>The Prior Investment Adviser’s services under the Prior Investment Advisory Agreement were not exclusive, and it was free to furnish similar services to other entities so long as its services to us were not impaired.</w:t>
      </w:r>
    </w:p>
    <w:p>
      <w:pPr>
        <w:spacing w:after="0" w:line="9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Pursuant to the Prior Investment Advisory Agreement, we agreed to pay the Prior Investment Adviser a fee for investment advisory and management services consisting of two components — a base management fee and an incentive fee.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Management Fee</w:t>
      </w:r>
    </w:p>
    <w:p>
      <w:pPr>
        <w:spacing w:after="0" w:line="14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prior base management fee was calculated at an annual rate of 1.75% of our gross assets, which was our total assets as reflected on our consolidated statements of assets and liabilities and included any borrowings for investment purposes. Although we did not anticipate making significant investments in derivative financial instruments, the fair value of any such investments, which would not necessarily equal their notional value, would be included in our calculation of gross assets. For services rendered under the Prior Investment Advisory Agreement, the base management fee was payable quarterly in arrears. The base management fee was calculated based on the average value of our gross assets at the end of the two most recently completed calendar quarters, and appropriately adjusted for any share issuances or repurchases during the current calendar quarter.</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Incentive Fee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prior incentive fee consists of the following two parts:</w:t>
      </w:r>
    </w:p>
    <w:p>
      <w:pPr>
        <w:spacing w:after="0" w:line="12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The first part of the prior incentive fee was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received from portfolio companies) accrued during the calendar quarter, minus our operating expenses for the quarter (including the base management fee, expenses payable under an administration agreement between us and the prior administrator (the “Prior Administration Agreement”), and any interest expense and dividends paid on any issued and outstanding preferred stock, but excluding the prior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did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was compared to a hurdle of 2.0% per quarter (8.0% annualized). We paid the Prior Investment Adviser an incentive fee with respect to our pre-incentive fee net investment income in each calendar quarter as follows:</w:t>
      </w:r>
    </w:p>
    <w:p>
      <w:pPr>
        <w:spacing w:after="0" w:line="50" w:lineRule="exact"/>
        <w:rPr>
          <w:sz w:val="20"/>
          <w:szCs w:val="20"/>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our pre-incentive fee net investment income did not exceed the hurdle of 2.0%;</w:t>
      </w:r>
    </w:p>
    <w:p>
      <w:pPr>
        <w:spacing w:after="0" w:line="55" w:lineRule="exact"/>
        <w:rPr>
          <w:rFonts w:ascii="Arial" w:cs="Arial" w:eastAsia="Arial" w:hAnsi="Arial"/>
          <w:sz w:val="14"/>
          <w:szCs w:val="14"/>
          <w:color w:val="auto"/>
        </w:rPr>
      </w:pPr>
    </w:p>
    <w:p>
      <w:pPr>
        <w:jc w:val="both"/>
        <w:ind w:left="780" w:hanging="263"/>
        <w:spacing w:after="0" w:line="233"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100% of our pre-incentive fee net investment income with respect to that portion of such pre-incentive fee net investment income, if any, that exceeded the hurdle but was less than 2.5% in any calendar quarter (10.0% annualized). We refer to this portion of our pre-incentive fee net investment income (which exceeded the hurdle but was less than 2.5%) as the “catch-up.” The “catch-up” was meant to provide our Prior Investment Adviser with 20.0% of our pre-incentive fee net investment income as if a hurdle did not apply if this net investment income exceeded 2.5% in any calendar quarter; and</w:t>
      </w:r>
    </w:p>
    <w:p>
      <w:pPr>
        <w:spacing w:after="0" w:line="36" w:lineRule="exact"/>
        <w:rPr>
          <w:rFonts w:ascii="Arial" w:cs="Arial" w:eastAsia="Arial" w:hAnsi="Arial"/>
          <w:sz w:val="14"/>
          <w:szCs w:val="14"/>
          <w:color w:val="auto"/>
        </w:rPr>
      </w:pPr>
    </w:p>
    <w:p>
      <w:pPr>
        <w:ind w:left="780" w:right="20" w:hanging="263"/>
        <w:spacing w:after="0" w:line="290"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20.0% of the amount of our pre-incentive fee net investment income, if any, that exceeded 2.5% in any calendar quarter (10.0% annualized) was payable to the Prior Investment Adviser (once the hurdle was reached and the catch-up was achieved, 20.0% of all pre-incentive fee investment income thereafter was allocated to the Prior Investment Adviser).</w:t>
      </w:r>
    </w:p>
    <w:p>
      <w:pPr>
        <w:spacing w:after="0" w:line="8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second part of the prior incentive fee was determined and payable in arrears as of the end of each calendar year (or upon termination of the Prior Investment Advisory Agreement, as of the termination date), and would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The Company would defer cash payment of the portion of any incentive fee otherwise earned by the Prior Investment Adviser that would, when taken together with all other prior incentive fees paid to the Prior Investment Adviser during the most recent 12 full calendar month period ending on or prior to the date such payment was to be made, exceed 20.0% of the sum of</w:t>
      </w:r>
    </w:p>
    <w:p>
      <w:pPr>
        <w:jc w:val="both"/>
        <w:ind w:firstLine="8"/>
        <w:spacing w:after="0" w:line="232" w:lineRule="auto"/>
        <w:tabs>
          <w:tab w:leader="none" w:pos="205"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pre-incentive fee net investment income during such period, (b) the net unrealized appreciation or depreciation during such period and (c) the net realized capital gains or losses during such period. Any deferred incentive fees would be carried over for payment in subsequent calculation periods to the extent such payment was payable under the Prior Investment Advisory Agreement.</w:t>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Prior Investment Adviser voluntarily agreed to waive all or such portion of the quarterly incentive fees earned by the Prior Investment Adviser that would otherwise cause our quarterly net investment income to be less than the distribution payments declared by our Board. Quarterly prior incentive fees were earned by the Prior Investment Adviser pursuant to the Prior Investment Advisory Agreement. Prior Incentive fees subject to the waiver could not exceed the amount of incentive fees earned during the period, as calculated on a quarterly basis. The Prior Investment Adviser would not be entitled to recoup any amount of prior incentive fees that it waived. The waiver was effective in the fourth quarter of 2015 and continued through termination of the Prior Investment Advisory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 of Our Expenses</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investment team of our Investment Adviser and their respective staffs, when and to the extent engaged in providing investment advisory and management services, and the compensation and routine overhead expenses of such personnel allocable to such services, are provided and paid for by the Investment Adviser. We bear all other costs and expenses of our operations and transactions, including (without limitation):</w:t>
      </w:r>
    </w:p>
    <w:p>
      <w:pPr>
        <w:spacing w:after="0" w:line="34" w:lineRule="exact"/>
        <w:rPr>
          <w:sz w:val="20"/>
          <w:szCs w:val="20"/>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our organization;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effecting sales and repurchases of our shares and other securities;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payable on debt, if any, to finance our investments;</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6" w:name="page17"/>
    <w:bookmarkEnd w:id="16"/>
    <w:p>
      <w:pPr>
        <w:ind w:left="780" w:hanging="263"/>
        <w:spacing w:after="0" w:line="253"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Securities Exchange Act of 1934, as amended (the “1934 Act”), and other applicable federal and state securities laws, and ongoing stock exchange listing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costs of proxy statements, stockholders’ reports and other communications with stockholders;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fidelity bond, directors’ and officers’ liability insurance, errors and omissions liability insurance and other insurance premiums;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direct costs and expenses of administration, including printing, mailing, telephone and staff;</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 and</w:t>
      </w:r>
    </w:p>
    <w:p>
      <w:pPr>
        <w:spacing w:after="0" w:line="55" w:lineRule="exact"/>
        <w:rPr>
          <w:rFonts w:ascii="Arial" w:cs="Arial" w:eastAsia="Arial" w:hAnsi="Arial"/>
          <w:sz w:val="14"/>
          <w:szCs w:val="14"/>
          <w:color w:val="auto"/>
        </w:rPr>
      </w:pPr>
    </w:p>
    <w:p>
      <w:pPr>
        <w:jc w:val="both"/>
        <w:ind w:left="780" w:hanging="263"/>
        <w:spacing w:after="0" w:line="233" w:lineRule="auto"/>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13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231F20"/>
        </w:rPr>
        <w:t>On July 1, 2021, the Company entered into an investment advisory agreement (the “Investment Advisory Agreement</w:t>
      </w:r>
      <w:r>
        <w:rPr>
          <w:rFonts w:ascii="Arial" w:cs="Arial" w:eastAsia="Arial" w:hAnsi="Arial"/>
          <w:sz w:val="13"/>
          <w:szCs w:val="13"/>
          <w:color w:val="000000"/>
        </w:rPr>
        <w:t>”</w:t>
      </w:r>
      <w:r>
        <w:rPr>
          <w:rFonts w:ascii="Arial" w:cs="Arial" w:eastAsia="Arial" w:hAnsi="Arial"/>
          <w:sz w:val="13"/>
          <w:szCs w:val="13"/>
          <w:color w:val="231F20"/>
        </w:rPr>
        <w:t>) with the Investment Adviser,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w:t>
      </w:r>
      <w:r>
        <w:rPr>
          <w:rFonts w:ascii="Arial" w:cs="Arial" w:eastAsia="Arial" w:hAnsi="Arial"/>
          <w:sz w:val="13"/>
          <w:szCs w:val="13"/>
          <w:color w:val="000000"/>
        </w:rPr>
        <w:t>”</w:t>
      </w:r>
      <w:r>
        <w:rPr>
          <w:rFonts w:ascii="Arial" w:cs="Arial" w:eastAsia="Arial" w:hAnsi="Arial"/>
          <w:sz w:val="13"/>
          <w:szCs w:val="13"/>
          <w:color w:val="231F20"/>
        </w:rPr>
        <w:t xml:space="preserve"> as such term is defined in Section 2(a)(19) of the 1940 Act (“Independent Directors"). The Investment Advisory Agreement will automatically terminate in the event of its assignment. </w:t>
      </w:r>
      <w:r>
        <w:rPr>
          <w:rFonts w:ascii="Arial" w:cs="Arial" w:eastAsia="Arial" w:hAnsi="Arial"/>
          <w:sz w:val="13"/>
          <w:szCs w:val="13"/>
          <w:color w:val="000000"/>
        </w:rPr>
        <w:t>The Investment Advisory Agreement may also be terminated by either party without penalty upon not less than</w:t>
      </w:r>
      <w:r>
        <w:rPr>
          <w:rFonts w:ascii="Arial" w:cs="Arial" w:eastAsia="Arial" w:hAnsi="Arial"/>
          <w:sz w:val="13"/>
          <w:szCs w:val="13"/>
          <w:color w:val="231F20"/>
        </w:rPr>
        <w:t xml:space="preserve"> </w:t>
      </w:r>
      <w:r>
        <w:rPr>
          <w:rFonts w:ascii="Arial" w:cs="Arial" w:eastAsia="Arial" w:hAnsi="Arial"/>
          <w:sz w:val="13"/>
          <w:szCs w:val="13"/>
          <w:color w:val="000000"/>
        </w:rPr>
        <w:t>60 days’ written notice to the other party. See “Risk Factors — Risks Relating to Our Business and Structure — Our Investment Adviser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Advisory Agreement provides that, absent willful misfeasance, bad faith or gross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the Investment Adviser’s services under the Investment Advisory Agreement or otherwise as an investment adviser of Logan Ridge.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Investment Adviser is a Delaware limited liability company. The principal executive offices of the Investment Adviser are located at 650 Madison Avenue, 23rd Floor, 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140"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BC Partners Management LLC, a Delaware limited liability company, serves as our administrator. The principal executive offices of our administrator are located at 650 Madison Avenue, 23rd Floor, New York, New York 10022.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July 1, 2021, we entered into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0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our administrator’s services under the Administration Agreement or otherwise as administrator for Logan Ridge.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Administration Agreement</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Prior Administration Agreement was initially approved by the Board on June 10, 2013 (the “Prior Administration Agreement”) and signed on September 24, 2013. The principal executive offices of our Prior Administrator, Capitala Advisors Corp., are located at 4201 Congress Street, Suite 360, Charlotte, North Carolina 28209. The Prior Administrator, pursuant to a sub-administration agreement, engaged U.S. Bank Global Fund Services to act on behalf of the Prior Administrator in its performance of certain administrative services for us. The principal office of U.S. Bank Global Fund Services is 777 East Wisconsin Avenue, Milwaukee, Wisconsin 53202. Pursuant to the Prior Administration Agreement, our prior administrator furnished us with office facilities, equipment and clerical, bookkeeping and record keeping services at such facilities. Under the Prior Administration Agreement, our Prior Administrator also performed, or oversaw the performance of, our required administrative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13"/>
          <w:szCs w:val="13"/>
          <w:color w:val="auto"/>
        </w:rPr>
        <w:t>services, which included, among other things, being responsible for the financial records that we are required to maintain and preparing reports to our stockholders. In addition, our Prior Administrator assisted us in determining and publishing our net asset value, oversaw the preparation and filing of our tax returns and the printing and dissemination of reports to our stockholders, and generally oversaw the payment of our expenses and the performance of administrative and professional services rendered to us by others. Payments under the Prior Administration Agreement were equal to an amount based upon our allocable portion of our Prior Administrator’s overhead in performing its obligations under the Prior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Prior Administration Agreement, our Prior Administrator would also provide on our behalf managerial assistance to those portfolio companies that requested such assistance. Unless terminated earlier in accordance with its terms, the Prior Administration Agreement would remain in effect if approved annually by our Board. On July 30, 2020, the Board approved the renewal of the Prior Administration Agreement. The Prior Administration Agreement could be terminated by either party without penalty upon 60 days’ written notice to the other party. To the extent that our Prior Administrator outsourced any of its functions, we would pay the fees associated with such functions on a direct basis without any incremental profit to our Prior Administrator. Stockholder approval was not required to amend the Prior Administration Agreement.</w:t>
      </w:r>
    </w:p>
    <w:p>
      <w:pPr>
        <w:spacing w:after="0" w:line="10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Our Prior Administrator also provided administrative services to our Prior Investment Adviser. As a result, the Prior Investment Adviser would also reimburse our Prior Administrator for its allocable portion of our Prior Administrator’s overhead, including rent, the fees and expenses associated with performing compliance functions for the Prior Investment Adviser, and its allocable portion of the compensation of any administrative support staff. The Prior Administration Agreement provided that, absent willful misfeasance, bad faith or negligence in the performance of its duties or by reason of the reckless disregard of its duties and obligations, our Prior Administrator and its officers, managers, partners, agents, employees, controlling persons, members and any other person or entity affiliated with it were entitled to indemnification from Logan Ridge for any damages, liabilities, costs and expenses (including reasonable attorneys’ fees and amounts reasonably paid in settlement) arising from the rendering of our Prior Administrator’s services under the Prior Administration Agreement or otherwise as administrator for Logan Ridge.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License Agreement</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entered into a license agreement with the Prior Investment Adviser pursuant to which the Prior Investment Adviser agreed to grant us a non-exclusive, royalty-free license to use the name “Capitala.” Under this agreement, we had a right to use the Capitala name for so long as the Prior Investment Advisory Agreement with the Prior Investment Adviser was in effect. Other than with respect to this limited license, we had no legal right to the “Capitala” name.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Staffing</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Logan Ridge has no employees.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Advisers Act. The Adviser is an affiliate of BC Partners Advisors L.P. for U.S. regulatory purposes. MLC is the ultimate control person of the Investment Adviser.</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1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PROCESS AND DETERMINATION OF NET ASSET VALUE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determine the net asset value of our investment portfolio each quarter by subtracting our total liabilities from the fair value of our gross assets.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conduct the valuation of our assets, pursuant to which our net asset value shall be determined, at all times consistent with U.S. generally accepted accounting principles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GAAP”) and the 1940 Act. Our valuation procedures are set forth in more detail below:</w:t>
      </w:r>
    </w:p>
    <w:p>
      <w:pPr>
        <w:spacing w:after="0" w:line="12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8" w:name="page19"/>
    <w:bookmarkEnd w:id="18"/>
    <w:p>
      <w:pPr>
        <w:spacing w:after="0" w:line="253" w:lineRule="auto"/>
        <w:rPr>
          <w:sz w:val="20"/>
          <w:szCs w:val="20"/>
          <w:color w:val="auto"/>
        </w:rPr>
      </w:pPr>
      <w:r>
        <w:rPr>
          <w:rFonts w:ascii="Arial" w:cs="Arial" w:eastAsia="Arial" w:hAnsi="Arial"/>
          <w:sz w:val="14"/>
          <w:szCs w:val="14"/>
          <w:color w:val="auto"/>
        </w:rPr>
        <w:t>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Adviser undertakes a multi-step valuation process, which includes, among other procedures, the following:</w:t>
      </w:r>
    </w:p>
    <w:p>
      <w:pPr>
        <w:spacing w:after="0" w:line="96" w:lineRule="exact"/>
        <w:rPr>
          <w:sz w:val="20"/>
          <w:szCs w:val="20"/>
          <w:color w:val="auto"/>
        </w:rPr>
      </w:pPr>
    </w:p>
    <w:p>
      <w:pPr>
        <w:jc w:val="both"/>
        <w:ind w:left="780" w:hanging="263"/>
        <w:spacing w:after="0" w:line="238"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spacing w:after="0" w:line="34" w:lineRule="exact"/>
        <w:rPr>
          <w:rFonts w:ascii="Arial" w:cs="Arial" w:eastAsia="Arial" w:hAnsi="Arial"/>
          <w:sz w:val="14"/>
          <w:szCs w:val="14"/>
          <w:color w:val="auto"/>
        </w:rPr>
      </w:pPr>
    </w:p>
    <w:p>
      <w:pPr>
        <w:ind w:left="780" w:hanging="263"/>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Preliminary valuations are reviewed and discussed with management of the Adviser and investment professionals; and</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0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the inputs used to measure these fair values into the following hierarchy as defined by current accounting guidance: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Unadjusted quoted prices in active markets for identical assets or liabilities that are accessible to the Company.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Level 2: Quoted prices for similar assets or liabilities in active markets, or quoted prices for identical or similar assets or liabilities in markets that are not active, or other observable inputs other than quoted prices.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 Significant inputs that are unobservable for an asset or liability.</w:t>
      </w:r>
    </w:p>
    <w:p>
      <w:pPr>
        <w:spacing w:after="0" w:line="12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shares of our common stock at the time at which the sale is made. Our Board, or an authorized committee thereof, will consider the following factors, among others, in making such a determination:</w:t>
      </w:r>
    </w:p>
    <w:p>
      <w:pPr>
        <w:spacing w:after="0" w:line="34" w:lineRule="exact"/>
        <w:rPr>
          <w:sz w:val="20"/>
          <w:szCs w:val="20"/>
          <w:color w:val="auto"/>
        </w:rPr>
      </w:pPr>
    </w:p>
    <w:p>
      <w:pPr>
        <w:ind w:left="780" w:hanging="263"/>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net asset value of shares of our common stock disclosed in the most recent periodic report that we filed with the SEC;</w:t>
      </w:r>
    </w:p>
    <w:p>
      <w:pPr>
        <w:spacing w:after="0" w:line="55"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management’s assessment of whether any material change in the net asset value of shares of our common stock has occurred (including through the realization of gains on the sale of our portfolio securities) during the period beginning on the date of the most recently disclosed net asset value of shares of our common stock and ending as of a time within 48 hours (excluding Sundays and holidays) of the sale of shares of our common stock; and</w:t>
      </w:r>
    </w:p>
    <w:p>
      <w:pPr>
        <w:spacing w:after="0" w:line="47" w:lineRule="exact"/>
        <w:rPr>
          <w:rFonts w:ascii="Arial" w:cs="Arial" w:eastAsia="Arial" w:hAnsi="Arial"/>
          <w:sz w:val="14"/>
          <w:szCs w:val="14"/>
          <w:color w:val="auto"/>
        </w:rPr>
      </w:pPr>
    </w:p>
    <w:p>
      <w:pPr>
        <w:jc w:val="both"/>
        <w:ind w:left="780" w:hanging="263"/>
        <w:spacing w:after="0" w:line="255" w:lineRule="auto"/>
        <w:tabs>
          <w:tab w:leader="none" w:pos="7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magnitude of the difference between (i) a value that our Board, or an authorized committee thereof, has determined reflects the current (as of a time within 48 hours, excluding Sundays and holidays) net asset value of shares of our common stock, which is based upon the net asset value of shares of our common stock disclosed in the most recent periodic report that we filed with the SEC, as adjusted to reflect our management’s assessment of any material change in the net asset value of shares of our common stock since the date of the most recently disclosed net asset value of shares of our common stock, and (ii) the offering price of the shares of our common stock in the proposed offering.</w:t>
      </w:r>
    </w:p>
    <w:p>
      <w:pPr>
        <w:spacing w:after="0" w:line="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11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COMPETITION</w:t>
      </w:r>
    </w:p>
    <w:p>
      <w:pPr>
        <w:spacing w:after="0" w:line="14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Adviser, our responsive and efficient investment analysis and decision-making processes, and the investment terms we offer.</w:t>
      </w:r>
    </w:p>
    <w:p>
      <w:pPr>
        <w:spacing w:after="0" w:line="1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14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timely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any taxable year in which we:</w:t>
      </w:r>
    </w:p>
    <w:p>
      <w:pPr>
        <w:spacing w:after="0" w:line="55" w:lineRule="exact"/>
        <w:rPr>
          <w:sz w:val="20"/>
          <w:szCs w:val="20"/>
          <w:color w:val="auto"/>
        </w:rPr>
      </w:pPr>
    </w:p>
    <w:p>
      <w:pPr>
        <w:ind w:left="780" w:hanging="263"/>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qualify as a RIC;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satisfy the Annual Distribution Requirement,</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generally will not be subject to U.S. federal income tax on the portion of our income we timely distribute to stockholders. We will be subject to U.S. federal income tax at the regular corporate rates on any income or capital gains not distributed to our stockholders.</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will be subject to a 4% nondeductible U.S. federal excise tax on certain undistributed income unless we distribute in a timely manner an amount at least equal to the sum of (1) 98% of our ordinary income for each calendar year, (2) 98.2% of our capital gain net income for the one-year period ending October 31 in that calendar year and (3) any ordinary and capital gain net income that we recognized in preceding years, but were not distributed during such years, and on which we paid no corporate-level U.S. federal income tax (the “Excise Tax Distribution Requirement”).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qualify as a RIC for U.S. federal income tax purposes, we must, among other things:</w:t>
      </w:r>
    </w:p>
    <w:p>
      <w:pPr>
        <w:spacing w:after="0" w:line="69" w:lineRule="exact"/>
        <w:rPr>
          <w:sz w:val="20"/>
          <w:szCs w:val="20"/>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continue to qualify as a BDC under the 1940 Act at all times during each taxable year;</w:t>
      </w:r>
    </w:p>
    <w:p>
      <w:pPr>
        <w:spacing w:after="0" w:line="55"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34" w:lineRule="exact"/>
        <w:rPr>
          <w:rFonts w:ascii="Arial" w:cs="Arial" w:eastAsia="Arial" w:hAnsi="Arial"/>
          <w:sz w:val="14"/>
          <w:szCs w:val="14"/>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68"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25"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11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In accordance with certain applicable Treasury regulations and other guidance issued by the Internal Revenue Service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other applicable IRS guidance.</w:t>
      </w:r>
    </w:p>
    <w:p>
      <w:pPr>
        <w:spacing w:after="0" w:line="99"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jc w:val="both"/>
        <w:ind w:firstLine="509"/>
        <w:spacing w:after="0" w:line="229"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remainder of this discussion assumes that we will qualify as a RIC and have satisfied the Annual Distribution Requirement.</w:t>
      </w:r>
    </w:p>
    <w:p>
      <w:pPr>
        <w:spacing w:after="0" w:line="136" w:lineRule="exact"/>
        <w:rPr>
          <w:sz w:val="20"/>
          <w:szCs w:val="20"/>
          <w:color w:val="auto"/>
        </w:rPr>
      </w:pPr>
    </w:p>
    <w:p>
      <w:pPr>
        <w:ind w:right="20" w:firstLine="509"/>
        <w:spacing w:after="0" w:line="233" w:lineRule="auto"/>
        <w:rPr>
          <w:sz w:val="20"/>
          <w:szCs w:val="20"/>
          <w:color w:val="auto"/>
        </w:rPr>
      </w:pPr>
      <w:r>
        <w:rPr>
          <w:rFonts w:ascii="Arial" w:cs="Arial" w:eastAsia="Arial" w:hAnsi="Arial"/>
          <w:sz w:val="14"/>
          <w:szCs w:val="14"/>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1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98"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The U.S.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11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w:t>
      </w:r>
    </w:p>
    <w:p>
      <w:pPr>
        <w:spacing w:after="0" w:line="118"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12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06"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If we were unable to qualify for treatment as a RIC and the foregoing relief provisions are not applicable, we would be subject to U.S. federal income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or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0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with other companies regulated by the 1940 Act, a BDC must adhere to certain substantive regulatory requirements. A majority of our directors must be independent directors. Additionally, we are required to provide and maintain a bond issued by a reputable fidelity insurance company to protect the BDC. Furthermore,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4"/>
          <w:szCs w:val="14"/>
          <w:color w:val="auto"/>
        </w:rPr>
        <w:t>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9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As a BDC, we are generally required to meet an asset coverage ratio, defined under the 1940 Act as the ratio of our gross assets (less all liabilities and indebtedness not represented by senior securities) to our outstanding senior securities, of at least 150%, if certain conditions are met, after each issuance of senior securities.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were changed from 200% to 150%, effective November 1, 2019.</w:t>
      </w:r>
    </w:p>
    <w:p>
      <w:pPr>
        <w:spacing w:after="0" w:line="113"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 xml:space="preserve">We may also be prohibited under the 1940 Act from knowingly participating in certain transactions with our affiliates without the prior approval of our directors who are not interested persons and, in some cases, prior approval by the SEC. </w:t>
      </w:r>
      <w:r>
        <w:rPr>
          <w:rFonts w:ascii="Arial" w:cs="Arial" w:eastAsia="Arial" w:hAnsi="Arial"/>
          <w:sz w:val="14"/>
          <w:szCs w:val="14"/>
          <w:color w:val="231F20"/>
        </w:rPr>
        <w:t>On October 23, 2018, the SEC issued an order granting an application for exemptive relief to an affiliate of our Investment Adviser that</w:t>
      </w:r>
      <w:r>
        <w:rPr>
          <w:rFonts w:ascii="Arial" w:cs="Arial" w:eastAsia="Arial" w:hAnsi="Arial"/>
          <w:sz w:val="14"/>
          <w:szCs w:val="14"/>
          <w:color w:val="auto"/>
        </w:rPr>
        <w:t xml:space="preserve"> </w:t>
      </w:r>
      <w:r>
        <w:rPr>
          <w:rFonts w:ascii="Arial" w:cs="Arial" w:eastAsia="Arial" w:hAnsi="Arial"/>
          <w:sz w:val="14"/>
          <w:szCs w:val="14"/>
          <w:color w:val="231F20"/>
        </w:rPr>
        <w:t>allows BDCs managed by the Investment Adviser, including Logan Ridge, to co-invest, subject to the satisfaction of certain conditions, in certain private placement transactions, with other funds managed by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are generally not permitted to issue and sell shares of our common stock at a price below net asset value per share.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shares of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shares of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BDC, we are subject to certain risks and uncertainties. See “Risk Factors — Risks Relating to Our Business and Structure.”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principal categories of qualifying assets relevant to our proposed business are the following:</w:t>
      </w:r>
    </w:p>
    <w:p>
      <w:pPr>
        <w:spacing w:after="0" w:line="34" w:lineRule="exact"/>
        <w:rPr>
          <w:sz w:val="20"/>
          <w:szCs w:val="20"/>
          <w:color w:val="auto"/>
        </w:rPr>
      </w:pPr>
    </w:p>
    <w:p>
      <w:pPr>
        <w:ind w:left="780" w:hanging="263"/>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the issuer of which is an eligible portfolio company;</w:t>
      </w:r>
    </w:p>
    <w:p>
      <w:pPr>
        <w:spacing w:after="0" w:line="55" w:lineRule="exact"/>
        <w:rPr>
          <w:rFonts w:ascii="Arial" w:cs="Arial" w:eastAsia="Arial" w:hAnsi="Arial"/>
          <w:sz w:val="14"/>
          <w:szCs w:val="14"/>
          <w:color w:val="auto"/>
        </w:rPr>
      </w:pPr>
    </w:p>
    <w:p>
      <w:pPr>
        <w:ind w:left="780" w:right="20" w:hanging="263"/>
        <w:spacing w:after="0" w:line="253"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with respect to securities described in the bullet above or pursuant to the exercise of options, warrants or rights relating to such securities; and</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Cash, cash items, government securities or high quality debt securities (within the meaning of the 1940 Act), maturing in one year or less from the time of investment.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 eligible portfolio company is generally a domestic company that is not an investment company (other than a SBIC wholly owned by a BDC) and that:</w:t>
      </w:r>
    </w:p>
    <w:p>
      <w:pPr>
        <w:spacing w:after="0" w:line="42" w:lineRule="exact"/>
        <w:rPr>
          <w:sz w:val="20"/>
          <w:szCs w:val="20"/>
          <w:color w:val="auto"/>
        </w:rPr>
      </w:pPr>
    </w:p>
    <w:p>
      <w:pPr>
        <w:ind w:left="780" w:hanging="263"/>
        <w:spacing w:after="0"/>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does not have a class of securities with respect to which a broker may extend margin credit at the time the acquisition is made;</w:t>
      </w:r>
    </w:p>
    <w:p>
      <w:pPr>
        <w:spacing w:after="0" w:line="41" w:lineRule="exact"/>
        <w:rPr>
          <w:rFonts w:ascii="Arial" w:cs="Arial" w:eastAsia="Arial" w:hAnsi="Arial"/>
          <w:sz w:val="14"/>
          <w:szCs w:val="14"/>
          <w:color w:val="auto"/>
        </w:rPr>
      </w:pPr>
    </w:p>
    <w:p>
      <w:pPr>
        <w:ind w:left="780" w:hanging="263"/>
        <w:spacing w:after="0"/>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is controlled by the BDC and has an affiliate of the BDC on its board;</w:t>
      </w:r>
    </w:p>
    <w:p>
      <w:pPr>
        <w:spacing w:after="0" w:line="41" w:lineRule="exact"/>
        <w:rPr>
          <w:rFonts w:ascii="Arial" w:cs="Arial" w:eastAsia="Arial" w:hAnsi="Arial"/>
          <w:sz w:val="14"/>
          <w:szCs w:val="14"/>
          <w:color w:val="auto"/>
        </w:rPr>
      </w:pPr>
    </w:p>
    <w:p>
      <w:pPr>
        <w:ind w:left="780" w:hanging="263"/>
        <w:spacing w:after="0"/>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41" w:lineRule="exact"/>
        <w:rPr>
          <w:rFonts w:ascii="Arial" w:cs="Arial" w:eastAsia="Arial" w:hAnsi="Arial"/>
          <w:sz w:val="14"/>
          <w:szCs w:val="14"/>
          <w:color w:val="auto"/>
        </w:rPr>
      </w:pPr>
    </w:p>
    <w:p>
      <w:pPr>
        <w:ind w:left="780" w:hanging="263"/>
        <w:spacing w:after="0"/>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is a public company that lists its securities on a national securities exchange with a market capitalization of less than $250 million; or</w:t>
      </w:r>
    </w:p>
    <w:p>
      <w:pPr>
        <w:spacing w:after="0" w:line="41" w:lineRule="exact"/>
        <w:rPr>
          <w:rFonts w:ascii="Arial" w:cs="Arial" w:eastAsia="Arial" w:hAnsi="Arial"/>
          <w:sz w:val="14"/>
          <w:szCs w:val="14"/>
          <w:color w:val="auto"/>
        </w:rPr>
      </w:pPr>
    </w:p>
    <w:p>
      <w:pPr>
        <w:ind w:left="780" w:hanging="263"/>
        <w:spacing w:after="0"/>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meets such other criteria as may be established by the SEC.</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Control, as defined by the 1940 Act, is presumed to exist where a BDC beneficially owns more than 25% of the outstanding voting securities of the portfolio company.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MANAGERIAL ASSISTANCE TO PORTFOLIO COMPANIES</w:t>
      </w:r>
    </w:p>
    <w:p>
      <w:pPr>
        <w:spacing w:after="0" w:line="12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2" w:name="page23"/>
    <w:bookmarkEnd w:id="22"/>
    <w:p>
      <w:pPr>
        <w:jc w:val="both"/>
        <w:ind w:firstLine="509"/>
        <w:spacing w:after="0" w:line="264" w:lineRule="auto"/>
        <w:rPr>
          <w:sz w:val="20"/>
          <w:szCs w:val="20"/>
          <w:color w:val="auto"/>
        </w:rPr>
      </w:pPr>
      <w:r>
        <w:rPr>
          <w:rFonts w:ascii="Arial" w:cs="Arial" w:eastAsia="Arial" w:hAnsi="Arial"/>
          <w:sz w:val="13"/>
          <w:szCs w:val="13"/>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REPURCHASE AGREEMENTS</w:t>
      </w:r>
    </w:p>
    <w:p>
      <w:pPr>
        <w:spacing w:after="0" w:line="127"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at least equal to 150%, if certain requirements are met,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 xml:space="preserve">We and our Investment Adviser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Our code of ethics is also available on our website at </w:t>
      </w:r>
      <w:r>
        <w:rPr>
          <w:rFonts w:ascii="Arial" w:cs="Arial" w:eastAsia="Arial" w:hAnsi="Arial"/>
          <w:sz w:val="14"/>
          <w:szCs w:val="14"/>
          <w:i w:val="1"/>
          <w:iCs w:val="1"/>
          <w:color w:val="auto"/>
        </w:rPr>
        <w:t>www.loganridgefinance.com</w:t>
      </w:r>
      <w:r>
        <w:rPr>
          <w:rFonts w:ascii="Arial" w:cs="Arial" w:eastAsia="Arial" w:hAnsi="Arial"/>
          <w:sz w:val="14"/>
          <w:szCs w:val="14"/>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 POLICIES AND PROCEDURES</w:t>
      </w:r>
    </w:p>
    <w:p>
      <w:pPr>
        <w:spacing w:after="0" w:line="12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David Held currently serves as our chief compliance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Sarbanes-Oxley Act of 2002 (the “Sarbanes-Oxley Act”) imposes a wide variety of regulatory requirements on publicly-held companies and their insiders. Many of these requirements affect us. For example:</w:t>
      </w:r>
    </w:p>
    <w:p>
      <w:pPr>
        <w:spacing w:after="0" w:line="25" w:lineRule="exact"/>
        <w:rPr>
          <w:sz w:val="20"/>
          <w:szCs w:val="20"/>
          <w:color w:val="auto"/>
        </w:rPr>
      </w:pPr>
    </w:p>
    <w:p>
      <w:pPr>
        <w:ind w:left="780" w:hanging="263"/>
        <w:spacing w:after="0"/>
        <w:tabs>
          <w:tab w:leader="none" w:pos="7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pursuant to Rule 13a-14 of the 1934 Act, our chief executive officer and chief financial officer must certify the accuracy of the financial statements contained in our periodic reports;</w:t>
      </w:r>
    </w:p>
    <w:p>
      <w:pPr>
        <w:spacing w:after="0" w:line="80" w:lineRule="exact"/>
        <w:rPr>
          <w:rFonts w:ascii="Arial" w:cs="Arial" w:eastAsia="Arial" w:hAnsi="Arial"/>
          <w:sz w:val="13"/>
          <w:szCs w:val="13"/>
          <w:color w:val="auto"/>
        </w:rPr>
      </w:pPr>
    </w:p>
    <w:p>
      <w:pPr>
        <w:ind w:left="780" w:hanging="263"/>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Rule 13a-15 of the 1934 Act, our management is required to prepare an annual report regarding its assessment of our internal control over financial reporting. As a non-accelerated filer, we are not currently required to obtain an audit of the effectiveness of internal control over financial reporting from our independent registered public accounting firm.</w:t>
      </w:r>
    </w:p>
    <w:p>
      <w:pPr>
        <w:spacing w:after="0" w:line="34" w:lineRule="exact"/>
        <w:rPr>
          <w:rFonts w:ascii="Arial" w:cs="Arial" w:eastAsia="Arial" w:hAnsi="Arial"/>
          <w:sz w:val="14"/>
          <w:szCs w:val="14"/>
          <w:color w:val="auto"/>
        </w:rPr>
      </w:pPr>
    </w:p>
    <w:p>
      <w:pPr>
        <w:jc w:val="both"/>
        <w:ind w:left="780" w:hanging="263"/>
        <w:spacing w:after="0" w:line="238"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have delegated our proxy voting responsibility to the Investment Adviser. The proxy voting policies and procedures of the Investment Adviser are set forth below. The guidelines will be reviewed periodically by the Investment Adviser and our non-interested directors, and, accordingly, are subject to change. For purposes of the proxy voting policies and procedures described below, “we,” “our” and “us” refers to the Investment Adviser.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Introduction</w:t>
      </w:r>
    </w:p>
    <w:p>
      <w:pPr>
        <w:spacing w:after="0" w:line="12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Policies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3" w:name="page24"/>
    <w:bookmarkEnd w:id="23"/>
    <w:p>
      <w:pPr>
        <w:jc w:val="both"/>
        <w:ind w:firstLine="509"/>
        <w:spacing w:after="0" w:line="238" w:lineRule="auto"/>
        <w:rPr>
          <w:sz w:val="20"/>
          <w:szCs w:val="20"/>
          <w:color w:val="auto"/>
        </w:rPr>
      </w:pPr>
      <w:r>
        <w:rPr>
          <w:rFonts w:ascii="Arial" w:cs="Arial" w:eastAsia="Arial" w:hAnsi="Arial"/>
          <w:sz w:val="14"/>
          <w:szCs w:val="14"/>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0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Records</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You may obtain information about how we voted proxies by making a written request for proxy voting information to: Mount Logan Management LLC, LLC, 650 Madison Avenue, 23rd Floor, 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PRINCIPLES</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SMALL BUSINESS INVESTMENT COMPANY REGULATIONS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231F20"/>
        </w:rPr>
        <w:t>The Company, through its wholly owned subsidiaries Fund II and Fund III, historically used debenture leverage provided through the SBA to fund a portion of its investment portfolio.</w:t>
      </w:r>
    </w:p>
    <w:p>
      <w:pPr>
        <w:spacing w:after="0" w:line="13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231F20"/>
        </w:rPr>
        <w:t>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1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231F20"/>
        </w:rPr>
        <w:t>On March 1, 2019, Fund II repaid its outstanding SBA-guaranteed debentures and relinquished its SBIC license. On June 10, 2021, Fund III repaid its SBA-guaranteed debentures and relinquished its SBIC license. As of both December 31, 2022 and 2021, there were no SBA-guaranteed debentures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GLOBAL SELECT MARKET REQUIREMENTS</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3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Our corporate headquarters are located at 650 Madison Avenue, 23</w:t>
      </w:r>
      <w:r>
        <w:rPr>
          <w:rFonts w:ascii="Arial" w:cs="Arial" w:eastAsia="Arial" w:hAnsi="Arial"/>
          <w:sz w:val="17"/>
          <w:szCs w:val="17"/>
          <w:color w:val="auto"/>
          <w:vertAlign w:val="superscript"/>
        </w:rPr>
        <w:t>rd</w:t>
      </w:r>
      <w:r>
        <w:rPr>
          <w:rFonts w:ascii="Arial" w:cs="Arial" w:eastAsia="Arial" w:hAnsi="Arial"/>
          <w:sz w:val="13"/>
          <w:szCs w:val="13"/>
          <w:color w:val="auto"/>
        </w:rPr>
        <w:t xml:space="preserve"> Floor, New York, New York 10022. We maintain a website located at </w:t>
      </w:r>
      <w:r>
        <w:rPr>
          <w:rFonts w:ascii="Arial" w:cs="Arial" w:eastAsia="Arial" w:hAnsi="Arial"/>
          <w:sz w:val="13"/>
          <w:szCs w:val="13"/>
          <w:i w:val="1"/>
          <w:iCs w:val="1"/>
          <w:color w:val="auto"/>
        </w:rPr>
        <w:t>www.loganridgefinance.com</w:t>
      </w:r>
      <w:r>
        <w:rPr>
          <w:rFonts w:ascii="Arial" w:cs="Arial" w:eastAsia="Arial" w:hAnsi="Arial"/>
          <w:sz w:val="13"/>
          <w:szCs w:val="13"/>
          <w:color w:val="auto"/>
        </w:rPr>
        <w:t xml:space="preserve"> and our phone number is (212) 891-2880. We make available free of charge on our website our proxy statement, annual 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The SEC also maintains a website that contains reports, proxy and information statements and other information we file with the SEC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ITEM 1A.  RISK FACTORS</w:t>
      </w:r>
    </w:p>
    <w:p>
      <w:pPr>
        <w:spacing w:after="0" w:line="14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i w:val="1"/>
          <w:iCs w:val="1"/>
          <w:color w:val="auto"/>
        </w:rPr>
        <w:t>Investing in our securities involves a number of significant risks. The risk factors described below are the principal risk factors associated with an investment in our securities as well as those factors generally associated with an investment company with investment objectives, investment policies, capital structure or trading markets similar to ours. You should carefully consider the risk factors described below, together with all of the other information included in this Annual Report, including our consolidated financial statements and the related notes thereto, before you decide whether to make an investment in our securities. The risks set out below are not the only risks we face. Additional risks and uncertainties not currently known to us or that we currently deem to be immaterial may also materially and adversely affect our business, financial condition and operating results. If any of the following events occur, our business, financial condition and results of operations could be materially and adversely affected. In such case, the net asset value and the trading price of our securities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600"/>
        <w:spacing w:after="0" w:line="253" w:lineRule="auto"/>
        <w:rPr>
          <w:sz w:val="20"/>
          <w:szCs w:val="20"/>
          <w:color w:val="auto"/>
        </w:rPr>
      </w:pPr>
      <w:r>
        <w:rPr>
          <w:rFonts w:ascii="Arial" w:cs="Arial" w:eastAsia="Arial" w:hAnsi="Arial"/>
          <w:sz w:val="14"/>
          <w:szCs w:val="14"/>
          <w:b w:val="1"/>
          <w:bCs w:val="1"/>
          <w:i w:val="1"/>
          <w:iCs w:val="1"/>
          <w:color w:val="auto"/>
        </w:rPr>
        <w:t>Our Board may change our investment objective, operating policies and strategies without prior notice or stockholder approval, the effects of which may be adverse to our results of operations and financial condition.</w:t>
      </w:r>
    </w:p>
    <w:p>
      <w:pPr>
        <w:spacing w:after="0" w:line="9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Our Board has the authority to modify or waive our current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securities. However, the effects might be adverse, which could negatively impact our ability to make distributions and cause you to lose all or part of your investment. Moreover, we have significant flexibility in investing our assets and may invest in ways investors may not agree with or in the future may invest in ways other than those previously disclosed or disclosed herein.</w:t>
      </w:r>
    </w:p>
    <w:p>
      <w:pPr>
        <w:spacing w:after="0" w:line="107"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Price declines in the medium- and large-sized U.S. corporate debt market may adversely affect the fair value of our portfolio, reducing our net asset value through increased net unrealized depreciation.</w:t>
      </w:r>
    </w:p>
    <w:p>
      <w:pPr>
        <w:spacing w:after="0" w:line="10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Conditions in the medium- and large-sized U.S. corporate debt market may deteriorate, as seen during the global financial crisis from 2007-2009 and to a lesser extent in recent years following the COVID-19 pandemic, which may cause pricing levels to similarly decline or be volatile. During the financial crisis, many institutions were forced to raise cash by selling their interests in performing assets in order to satisfy margin requirements or the equivalent of margin requirements imposed by their lenders and/or, in the case of hedge funds and other investment vehicles, to satisfy widespread redemption requests. This resulted in a forced deleveraging cycle of price declines, compulsory sales, and further price declines, with falling underlying credit values, and other constraints resulting from the credit crisis generating further selling pressure. If similar events occurred in the medium- and large-sized U.S. corporate debt market, our net asset value could decline through an increase in unrealized depreciation and incurrence of realized losses in connection with the sale of our investments, which could have a material adverse impact on our business, financial condition and results of operations.</w:t>
      </w:r>
    </w:p>
    <w:p>
      <w:pPr>
        <w:spacing w:after="0" w:line="11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Capital markets may experience periods of disruption and instability. These market conditions could materially adversely affect the Company’s business, financial condition and results of operations.</w:t>
      </w:r>
    </w:p>
    <w:p>
      <w:pPr>
        <w:spacing w:after="0" w:line="106"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 The U.S. and global capital markets have in the past experienced and may in the future experience periods of volatility and disruption, including during portions of the past three fiscal years, and accordingly, there has been and may continue to be uncertainty in the financial markets in general.</w:t>
      </w:r>
    </w:p>
    <w:p>
      <w:pPr>
        <w:spacing w:after="0" w:line="8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For example, the 2010 sovereign debt financial crisis in Europe and the 2011 downgrade of the U.S. credit rating by Standard &amp; Poor's had negative impacts on the global economy and may have adversely impacted the operations of BDCs such as the Company.</w:t>
      </w:r>
    </w:p>
    <w:p>
      <w:pPr>
        <w:spacing w:after="0" w:line="1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Continuing U.S. debt ceiling and budget deficit concerns, including automatic spending cuts stemming from sequestration, together with signs of deteriorating sovereign debt conditions in Europe, have increased the possibility of additional credit-rating downgrades and economic slowdowns, or a recession in the U.S.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11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Additionally, the effect of the United Kingdom (the “UK”) ending its membership in the European Union (“Brexit”) may adversely affect European or worldwide economic or market conditions and could contribute to instability in global financial and real estate markets. In addition, Brexit could lead to legal uncertainty and potentially divergent national laws and regulations as the UK determines which EU laws to replace or replicate. Any of these effects of Brexit, and others we cannot anticipate, could adversely affect our business, business opportunities, results of operations, financial condition and cash flows. Likewise, similar actions taken by other European and other countries in which we operate could have a similar or even more profound impact.</w:t>
      </w:r>
    </w:p>
    <w:p>
      <w:pPr>
        <w:spacing w:after="0" w:line="9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 recent years, the COVID-19 pandemic disrupted the global economy and its supply chains, and may have adversely impacted the operations of BDCs, such as the Company, as well as contributed to ongoing inflation in the U.S. and globally.</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Such periods of disruption may be accompanied by depressed levels of consumer and commercial spending, a lack of liquidity in debt capital markets, significant write-offs in the financial services sector and the re-pricing of credit risk. The Company and the portfolio companies in which it invests may be adversely affected by these deteriorations in the financial markets and economic conditions throughout the world.</w:t>
      </w:r>
    </w:p>
    <w:p>
      <w:pPr>
        <w:spacing w:after="0" w:line="115"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had $15.0 million and $50.0 million, respectively, of 2026 Notes and 2032 Convertible Notes outstanding as of December 31, 2022. In addition, as of December 31, 2022, we had $55.9 million outstanding under the KeyBank Credit Facility that provides for borrowings of up to $75.0 million on a revolving basis and may be increased up to $125.0 million in accordance with the terms and in the manner described in the KeyBank Credit Facility. If we are unable to secure additional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both"/>
        <w:spacing w:after="0" w:line="233" w:lineRule="auto"/>
        <w:rPr>
          <w:sz w:val="20"/>
          <w:szCs w:val="20"/>
          <w:color w:val="auto"/>
        </w:rPr>
      </w:pPr>
      <w:r>
        <w:rPr>
          <w:rFonts w:ascii="Arial" w:cs="Arial" w:eastAsia="Arial" w:hAnsi="Arial"/>
          <w:sz w:val="14"/>
          <w:szCs w:val="14"/>
          <w:color w:val="auto"/>
        </w:rPr>
        <w:t>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developments in the credit markets may impair our ability to secure debt financing.</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it may be difficult for us to obtain desired financing to finance the growth of our investments on acceptable economic terms, or at all.</w:t>
      </w:r>
    </w:p>
    <w:p>
      <w:pPr>
        <w:spacing w:after="0" w:line="1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commencement, continuation, or cessation of government and central bank policies and economic stimulus programs in response to adverse economic developments,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115"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If we are unable to consummate credit facilities on commercially reasonable terms, our liquidity may be reduced significantly. If we are unable to repay amounts outstanding under the KeyBank Credit Facility or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18" w:lineRule="exact"/>
        <w:rPr>
          <w:sz w:val="20"/>
          <w:szCs w:val="20"/>
          <w:color w:val="auto"/>
        </w:rPr>
      </w:pPr>
    </w:p>
    <w:p>
      <w:pPr>
        <w:ind w:right="400"/>
        <w:spacing w:after="0" w:line="253" w:lineRule="auto"/>
        <w:rPr>
          <w:sz w:val="20"/>
          <w:szCs w:val="20"/>
          <w:color w:val="auto"/>
        </w:rPr>
      </w:pPr>
      <w:r>
        <w:rPr>
          <w:rFonts w:ascii="Arial" w:cs="Arial" w:eastAsia="Arial" w:hAnsi="Arial"/>
          <w:sz w:val="14"/>
          <w:szCs w:val="14"/>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93"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The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recent suspensions of the federal debt ceiling and an increase in the debt ceiling signed into law by President Biden in December 2021, ratings agencies have lowered or threatened to lower the long-term sovereign credit rating on the United States.</w:t>
      </w:r>
    </w:p>
    <w:p>
      <w:pPr>
        <w:spacing w:after="0" w:line="10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impact of this or any further downgrades to the U.S. government’s sovereign credit rating or its perceived credit 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0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06"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10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0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the conflict between Russia and Ukraine,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investment originations, and limit our ability to grow and could have a material negative impact on our operating results, financial condition, results of operations and cash flows and the fair values of our debt and equity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Russian invasion of Ukraine may have a material adverse impact on us and our portfolio companies.</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February 2022, Russian President Vladimir Putin commenced a military invasion of Ukraine, which has continued into 2023, and which has had, and may continue to have, a negative impact on the economy and business activity globally (including in the countries in which the Company invests), and therefore could adversely affect the performance of the Company’s investments. Furthermore, the conflict between the two nations remains ongoing and the varying involvement of the United States and other NATO countries has had, and may continue to have, an unpredictable impact on global economic and market conditions, and, as a result, presents material uncertainty and risk with respect to the Company and the performance of its investments or operations, and the ability of the Company to achieve its investment objectives.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6" w:name="page27"/>
    <w:bookmarkEnd w:id="26"/>
    <w:p>
      <w:pPr>
        <w:jc w:val="both"/>
        <w:ind w:right="20"/>
        <w:spacing w:after="0" w:line="253" w:lineRule="auto"/>
        <w:rPr>
          <w:sz w:val="20"/>
          <w:szCs w:val="20"/>
          <w:color w:val="auto"/>
        </w:rPr>
      </w:pPr>
      <w:r>
        <w:rPr>
          <w:rFonts w:ascii="Arial" w:cs="Arial" w:eastAsia="Arial" w:hAnsi="Arial"/>
          <w:sz w:val="14"/>
          <w:szCs w:val="14"/>
          <w:color w:val="auto"/>
        </w:rPr>
        <w:t>Additionally, to the extent that third parties, investors, or related customer bases have material operations or assets in Russia or Ukraine, they may have adverse consequences related to the ongoing conflict.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7"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Major public health issues could have an adverse impact on our financial condition and results of operations and other aspects of our business.</w:t>
      </w:r>
    </w:p>
    <w:p>
      <w:pPr>
        <w:spacing w:after="0" w:line="136"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Major public health issues have impacted and, in the future, may impact our business, financial condition, results of operations, liquidity or prospects and those of our portfolio companies in a number of ways. For instance, our investment portfolio (and, specifically, the valuations of investment assets we hold) was adversely affected as a result of market developments from the COVID-19 pandemic, including disruptions to the businesses of our portfolio companies, global supply chain disruptions, and increased inflationary pressures nationally and globally.</w:t>
      </w:r>
    </w:p>
    <w:p>
      <w:pPr>
        <w:spacing w:after="0" w:line="87"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Moreover, changes in interest rates, reduced liquidity or a continued slowdown in U.S. or global economic conditions has, and may continue to, adversely affect our business, financial condition, results of operations, liquidity and/or prospects and those of our portfolio companies. Further, extreme market volatility may leave us and our portfolio companies unable to react to market events in a prudent manner consistent with our historical practices in dealing with more orderly markets.</w:t>
      </w:r>
    </w:p>
    <w:p>
      <w:pPr>
        <w:spacing w:after="0" w:line="11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will also continue to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public health emergency and the resulting measures taken in response thereto. These potential impacts, while uncertain, could adversely affect our and our portfolio companies’ operating results.</w:t>
      </w:r>
    </w:p>
    <w:p>
      <w:pPr>
        <w:spacing w:after="0" w:line="1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Even after any major public health issue subsides, the U.S. economy and most other major global economies may experience a recession, and we anticipate our business and operations could be materially adversely affected by a prolonged recession in the United States and other major markets.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U.S. capital markets have experienced extreme volatility and disruption over the past several years.</w:t>
      </w:r>
    </w:p>
    <w:p>
      <w:pPr>
        <w:spacing w:after="0" w:line="13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Disruptions in the capital markets caused by inflation and rising interest rates, the war in Ukraine and Russia, health epidemics and pandemics and other globally significant trends and events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9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Further, current market conditions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p>
    <w:p>
      <w:pPr>
        <w:spacing w:after="0" w:line="116"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i w:val="1"/>
          <w:iCs w:val="1"/>
          <w:color w:val="auto"/>
        </w:rPr>
        <w:t>Our ability to achieve our investment objective depends on the ability of the Investment Adviser to manage and support our investment process. If the Investment Adviser were to lose any members of their respective senior management teams, our ability to achieve our investment objective could be significantly harmed.</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Since we have no employees, we depend on the investment expertise, skill and network of business contacts of the broader networks of the Investment Adviser and its affiliates. The Investment Adviser evaluates, negotiates, structures, executes, monitors and services our investments. Our future success depends to a significant extent on the continued service and coordination of the Investment Adviser and its senior management team. The departure of any members of the Investment Adviser’s senior management team could have a material adverse effect on our ability to achieve our investment objective.</w:t>
      </w:r>
    </w:p>
    <w:p>
      <w:pPr>
        <w:spacing w:after="0" w:line="117"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Our ability to achieve our investment objective depends on the Investment Adviser’s ability to identify and analyze, and to invest in, finance and monitor companies that meet our investment criteria. In addition to monitoring the performance of our existing investments, our Investment Adviser’s investment team may also be called upon, from time to time, to provide managerial assistance to some of our portfolio companies as well as other funds that they manage. These demands on their time may distract them or slow our rate of investment. See also “— Risks Related to the Investment Adviser and its Affiliates—There are significant potential conflicts of interest that could negatively affect our investment returns.” 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Furthermore, if we cannot successfully operate our business or implement our investment policies and strategies, it could negatively impact our ability to make distributions.</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Investment Adviser’s capabilities in structuring the investment process, providing competent, attentive and efficient services to us, and facilitating access to financing on acceptable terms depend on the employment of investment professionals in an adequate number and of adequate sophistication to match the corresponding flow of transactions. To achieve our investment objective, the Investment Adviser may need to hire, train, supervise and manage new investment professionals to participate in our investment selection and monitoring process. The Investment Adviser may not be able to find investment professionals in a timely manner or at all. Failure to support our investment process could have a material adverse effect on our business, financial condition and results of operations.</w:t>
      </w:r>
    </w:p>
    <w:p>
      <w:pPr>
        <w:spacing w:after="0" w:line="11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Investment Advisory Agreement between the Investment Adviser and us has been approved pursuant to Section 15 of the 1940 Act. In addition, the Investment Advisory Agreement has termination provisions that allow the parties to terminate the agreement. The Investment Advisory Agreement may be terminated at any time, without penalty, by us or by the Investment Adviser, upon 60 days’ notice. If the agreement is terminated, we may not be able to find a new external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Any inability of our Investment Adviser to maintain or develop strong referral relationships, or the failure of these relationships to generate investment opportunities, could adversely affect our business.</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depend upon our Investment Adviser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Adviser fails to maintain such relationships, or to develop new relationships with other sources of investment opportunities, we will not be able to grow our investment portfolio. In addition, individuals with whom our Investment Adviser has relationships are not obligated to provide us with investment opportunities, and we can offer no assurance that these relationships will generate investment opportunities for us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 which could reduce returns and result in losses.</w:t>
      </w:r>
    </w:p>
    <w:p>
      <w:pPr>
        <w:spacing w:after="0" w:line="12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We compete for investments with other BDCs and investment funds (including private equity funds, venture lending funds, finance companies with venture lending units, banks focused on venture lending, mezzanine funds and funds that invest in CLOs, structured notes, derivatives and other types of collateralized securities and structured products), as well as traditional financial services companies such as commercial banks and other sources of funding. Moreover, alternative investment vehicles, such as hedge funds, have begun to invest in areas in which they have not traditionally invested, including making investments in small to mid-sized private U.S. companies. As a result of these new entrants, competition for investment opportunities in small and middle-market private U.S. companies may intensify.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sourcing investment opportunities.</w:t>
      </w:r>
    </w:p>
    <w:p>
      <w:pPr>
        <w:spacing w:after="0" w:line="13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cannot assure investors that we will be able to locate a sufficient number of suitable investment opportunities to allow us to deploy capital successfully. In addition, privately-negotiated investments in loans and illiquid securities of private middle market companies require substantial due diligence and structuring, and we cannot assure investors that we will achieve our anticipated investment pace. As a result, investors will be unable to evaluate any future portfolio company investments prior to purchasing shares of our common stock. Additionally, our Investment Adviser will select our investments, and our stockholders will have no input with respect to such investment decisions. These factors increase the uncertainty, and thus the risk, of investing in shares of our common stock. To the extent we are unable to deploy capital, our investment income and, in turn, our results of operations, will likely be materially adversely affected. There is no assurance that we will be able to consummate investment transactions or that such transactions will be successful. BC Partners, the Company and their affiliates may also face certain conflicts of interests in connection with any transaction, including any warehousing transaction involving an affiliate.</w:t>
      </w:r>
    </w:p>
    <w:p>
      <w:pPr>
        <w:spacing w:after="0" w:line="11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2"/>
          <w:szCs w:val="12"/>
          <w:color w:val="auto"/>
        </w:rPr>
        <w:t>Until such time we invest such capital in portfolio companies, we may invest these amounts in cash, cash equivalents, U.S. government securities and high-quality debt investments that mature in one year or less from the date of investment. We expect these temporary investments to earn yields substantially lower than the income that we expect to receive in respect of investments in secured debt (including senior secured, unitranche and second lien debt) and unsecured debt (including senior unsecured and subordinated debt), as well as related equity securities.</w:t>
      </w:r>
    </w:p>
    <w:p>
      <w:pPr>
        <w:spacing w:after="0" w:line="151"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As required by the 1940 Act, a significant portion of our investment portfolio is and will be recorded at fair value as determined by the Investment Adviser in its role as valuation designee, subject to the ultimate oversight of our Board and, as a result, there is and will be uncertainty as to the value of our portfolio investments.</w:t>
      </w:r>
    </w:p>
    <w:p>
      <w:pPr>
        <w:spacing w:after="0" w:line="9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Under the 1940 Act, we are required to carry our portfolio investments at market value or, if there is no readily available market value, at fair value as determined by the Investment Adviser in its role as valuation designee, subject to the ultimate oversight of our Board. Typically, there will not be a public market for the securities of the privately held companies in which we invest. As a result, we value these securities quarterly at fair value as determined in good faith by the Investment Adviser, based on, among other things, input of third-party independent valuation firm(s).</w:t>
      </w:r>
    </w:p>
    <w:p>
      <w:pPr>
        <w:spacing w:after="0" w:line="117"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Certain factors that may be considered in determining the fair value of our investments include external events, such as private mergers, sales and acquisitions involving comparable companies. As a result, our determinations of fair value may differ materially from the values that would have been used if a ready market for these non-traded securities existed. Due to this uncertainty, our fair value determinations may cause our net asset value on a given date to materially differ from the value that we may ultimately realize upon the sale of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The involvement of our interested directors in the valuation process may create conflicts of interest.</w:t>
      </w:r>
    </w:p>
    <w:p>
      <w:pPr>
        <w:spacing w:after="0" w:line="13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make many of our portfolio investments in the form of loans and securities that are not publicly traded and for which no market-based price quotation is available. As a result, our Investment Adviser determines the fair value of these loans and securities subject to the Board’s oversight, as described in the section titled “Valuation of Investments” in Note 2 to our consolidated financial statements. In connection with that determination, investment professionals from the Investment Adviser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Board remains ultimately responsibility for fair value determinations, including our interested directors, and not by such third-party valuation firm. The participation of the Investment Adviser’s investment professionals in our valuation process could result in conflicts of interest as the Investment Adviser’s management fee is based, in part, on the value of our gross assets, and its incentive fees will be based, in part, on realized and unrealized gains and depreciation.</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There is a risk that investors in our equity securities may not receive distributions consistent with historical levels or at all, or that our distributions may not grow over time and a portion of our distributions may be a return of capital.</w:t>
      </w:r>
    </w:p>
    <w:p>
      <w:pPr>
        <w:spacing w:after="0" w:line="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We cannot assure you that we will achieve investment results that will allow us to make a specified level of cash distributions. Our ability to pay distributions might be adversely affected by the impact of one or more of the risk factors described in this annual report or incorporated herein by reference, including recent macro-economic trends and events, such as geo-political conflicts and high levels of inflation.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1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As a RIC, if we do not distribute a certain percentage of our income annually, we may suffer adverse tax consequences, including possibly losing the U.S. federal income tax benefits allowable to RICs. We cannot assure you that you will receive distributions at a particular level or at all.</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certain cases, we may recognize income before or without receiving the accompanying cash. Depending on the amount of noncash income, this could result in difficulty satisfying the annual distribution requirement applicable to RICs. Accordingly, we may have to sell some portfolio investments at times it would not consider advantageous, raise additional debt or equity capital or reduce new investments to meet these distribution requirements.</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b w:val="1"/>
          <w:bCs w:val="1"/>
          <w:i w:val="1"/>
          <w:iCs w:val="1"/>
          <w:color w:val="auto"/>
        </w:rPr>
        <w:t>We have not established any limit on the amount of funds we may use from available sources, such as borrowings, if any, to fund distributions (which may reduce the amount of capital we ultimately invest in assets).</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Stockholders should understand that any distributions made from sources other than cash flow from operations or that are relying on fee or expense reimbursement waivers from the Investment Adviser or the Administrator are not based on our investment performance, and can only be sustained if we achieve positive investment performance in future periods and/or the Investment Adviser or the Administrator continues to make such expense reimbursements. Stockholders should also understand that our future repayments to the Investment Adviser will reduce the distributions that they would otherwise receive. There can be no assurance that we will achieve such performance in order to sustain these distributions, or be able to pay distributions at all. The Investment Adviser and the Administrator have no obligation to waive fees or receipt of expense reimbursements.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 or cause us to alter our business strategy.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and our portfolio companies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Additionally, any changes to the laws and regulations governing our operations relating to permitted investments may cause us to alter our investment strategy to avail ourselves of new or different opportunities. Such changes could result in material differences to our strategies and plans and may result in our investment focus shifting from the areas of expertise of the Investment Adviser to other types of investments in which the Investment Adviser may have less expertise or little or no experience. Thus, any such changes, if they occur, could have a material adverse effect on our financial condition and results of operations and the value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U.S. tariff and import/export regulations may have a negative effect on our portfolio companies and, in turn, harm us.</w:t>
      </w:r>
    </w:p>
    <w:p>
      <w:pPr>
        <w:spacing w:after="0" w:line="12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There has been ongoing discussion and commentary regarding further potential significant changes to U.S. trade policies, treaties and tariffs. Since 2018, the U.S. has imposed various tariffs on Chinese goods, and China has retaliated by placing tariffs on various U.S. goods. Both countries signed a phase one trade agreement in January 2020 halting further tariffs and increasing sales of U.S. goods to China. The agreement left in place most tariffs, which remained in place as of the end of 2022. It is unclear what the final outcome of the negotiations and agreements will result in. These prior tariffs have resulted in, and may continue to trigger, retaliatory actions by affected countries, including the imposition of tariffs on the U.S. by other countries. These events have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restrict our portfolio companies’ access to suppliers or customers, increase costs, decrease margins, reduce the competitiveness of products and services offered by current or future portfolio companies and have a material adverse effect on their business, financial condition and results of operations, which in turn would negatively impact us.</w:t>
      </w:r>
    </w:p>
    <w:p>
      <w:pPr>
        <w:spacing w:after="0" w:line="117"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i w:val="1"/>
          <w:iCs w:val="1"/>
          <w:color w:val="auto"/>
        </w:rPr>
        <w:t>As a publicly traded company, we are subject to increasingly complex corporate governance, public disclosure and accounting requirements that are costly and could adversely affect our business and financial results.</w:t>
      </w:r>
    </w:p>
    <w:p>
      <w:pPr>
        <w:spacing w:after="0" w:line="10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1934 Act, or the 1934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100"/>
        <w:spacing w:after="0" w:line="253"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10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9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We are required to disclose changes made in our internal controls and procedures over financial reporting on a quarterly basis and our management is required to assess the effectiveness of these controls annually.</w:t>
      </w:r>
    </w:p>
    <w:p>
      <w:pPr>
        <w:spacing w:after="0" w:line="1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Changes in federal policy, including tax policies, and at regulatory agencies may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financial reform legislation on us is uncertain.</w:t>
      </w:r>
    </w:p>
    <w:p>
      <w:pPr>
        <w:spacing w:after="0" w:line="1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and the portfolio companies in which it invests are subject to laws and regulations at the U.S. federal, state and local levels and, in some cases, foreign levels. These laws and regulations, as well as their interpretation, may change from time to time, and new laws, regulations and interpretations may come into effect. Accordingly, any change in law and regulations, changes in administration or control of U.S. Congress, changes in interpretations, or newly enacted laws or regulations could have a material adverse effect on the Company’s business or the business of the portfolio companies in which the Company invests.</w:t>
      </w:r>
    </w:p>
    <w:p>
      <w:pPr>
        <w:spacing w:after="0" w:line="117"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3"/>
          <w:szCs w:val="13"/>
          <w:color w:val="auto"/>
        </w:rPr>
        <w:t>Over the past several years, there also has been increasing regulatory attention to the extension of credit outside of the traditional banking sector, raising the possibility that some portion of the non-bank financial sector may be subject to new regulation. While it cannot be known at this time whether any regulation will be implemented or what form it will take, increased regulation of non-bank lending could be materially adverse to the Company’s business, financial conditions and results of operation. We may experience fluctuations in our quarterly results.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and annual results.</w:t>
      </w:r>
    </w:p>
    <w:p>
      <w:pPr>
        <w:spacing w:after="0" w:line="13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in a limited number of portfolio companies and industries, distributions, dispositions or liquidity events affecting a portfolio company or industry in which we own a significant position may adversely affect our net asset value and results of operations. As a result of these factors, results for any period should not be relied upon as being indicative of performance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unrealized depreciation we experience on our loan portfolio may be an indication of future realized losses, which could reduce our income available for distribution.</w:t>
      </w:r>
    </w:p>
    <w:p>
      <w:pPr>
        <w:spacing w:after="0" w:line="12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As a BDC, we are required to carry our investments at market value or, if no market value is ascertainable, at the fair value as determined in good faith by our Adviser, in its role as valuation designee.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market value or fair value of our investments will reduce our net asset value.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legislation permits the Company to incur additional leverage.</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Prior to the Small Business Credit Availability Act being signed into law, a BDC generally was not permitted to incur indebtedness unless immediately after such borrowing it had an asset coverage for total borrowings of at least 200% (i.e., a 1:1 leverage-to-equity ratio). The Small Business Credit Availability Act, signed into law on March 23, 2018, contains a provision that grants a BDC the option, subject to certain conditions and disclosure obligations, to increase the leverage of its portfolio to a maximum of 2:1. On November 1, 2018, the Board, including a “required majority” (as such term is defined in Section 57(o) of the 1940 Act) approved the application of the modified asset coverage. As a result, we are permitted to incur additional indebtedness, and, therefore, the risk of an investment in our common stock may increase.</w:t>
      </w:r>
    </w:p>
    <w:p>
      <w:pPr>
        <w:spacing w:after="0" w:line="11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06"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Our business is highly dependent on the communications and information systems of the Investment Adviser. Certain of these systems are provided to the Investment Adviser by third-party service providers. Any failure or interruption of such systems, including as a result of the termination of an agreement with any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0" w:name="page31"/>
    <w:bookmarkEnd w:id="30"/>
    <w:p>
      <w:pPr>
        <w:jc w:val="both"/>
        <w:ind w:right="20"/>
        <w:spacing w:after="0" w:line="238" w:lineRule="auto"/>
        <w:rPr>
          <w:sz w:val="20"/>
          <w:szCs w:val="20"/>
          <w:color w:val="auto"/>
        </w:rPr>
      </w:pPr>
      <w:r>
        <w:rPr>
          <w:rFonts w:ascii="Arial" w:cs="Arial" w:eastAsia="Arial" w:hAnsi="Arial"/>
          <w:sz w:val="14"/>
          <w:szCs w:val="14"/>
          <w:color w:val="auto"/>
        </w:rPr>
        <w:t>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183"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i w:val="1"/>
          <w:iCs w:val="1"/>
          <w:color w:val="auto"/>
        </w:rPr>
        <w:t>We, the Investment Adviser and our portfolio companies are subject to cybersecurity risks and cyber incidents which may adversely affect our business, financial condition and operating results.</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Cyber security incidents and cyber-attacks have been occurring globally at a more frequent and severe level and will likely continue to increase in frequency in the future. Despite careful security and controls design, implementation and updating, ours and our portfolio companies’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w:t>
      </w:r>
    </w:p>
    <w:p>
      <w:pPr>
        <w:spacing w:after="0" w:line="11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Investment Adviser, our and each of their and our affiliates and portfolio companies’ and service providers’ information and technology systems may be vulnerable to damage or interruption from cyber security breaches, computer viruses or other malicious code, network failures, computer and telecommunication failures, infiltration by unauthorized persons and other security breaches, or usage errors by their respective professionals or service providers.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w:t>
      </w:r>
    </w:p>
    <w:p>
      <w:pPr>
        <w:spacing w:after="0" w:line="10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Investment Adviser’s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Investment Adviser’s and other service providers’ increased use of mobile and cloud technologies could heighten the risk of a cyber-attack as well as other operational risks, as certain aspects of the security of such technologies may be complex, unpredictable or beyond their control. The Investment Adviser’s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1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Additionally, remote working environments may be less secure and more susceptible to cyber-attacks, including phishing and social engineering attempts. Accordingly, the risks associated with cyber-attacks are heightened under current conditions.</w:t>
      </w:r>
    </w:p>
    <w:p>
      <w:pPr>
        <w:spacing w:after="0" w:line="9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Although the Investment Adviser implemented, and portfolio companies and service providers may implement, various measures to manage risks relating to these types of events, such systems could prove to be inadequate and, if compromised, could become inoperable for extended periods of time, cease to function properly or fail to adequately secure private information. The Investment Adviser does not control the cyber security plans and systems put in place by third-party service providers, and such third-party service providers may have limited indemnification obligations to the Investment Adviser, their affiliates, the Company, the stockholders and/or a portfolio company, each of which could be negatively impacted as a result. Breaches, such as those involving covertly introduced malware, impersonation of authorized users, “phishing” attacks and industrial or other espionage may not be identified even with sophisticated prevention and detection systems, potentially resulting in further harm and preventing them from being addressed appropriately.</w:t>
      </w:r>
    </w:p>
    <w:p>
      <w:pPr>
        <w:spacing w:after="0" w:line="11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failure of these systems and/or of disaster recovery plans for any reason could cause significant interruptions in the Investment Adviser, its affiliates’, the Company’s and/or a portfolio company’s operations and result in a failure to maintain the security, confidentiality or privacy of sensitive data, including personal information relating to stockholders (and their beneficial owners), material non-public information and the intellectual property and trade secrets and other sensitive information of the Investment Adviser, us and/or portfolio companies. The Investment Adviser, the Company and/or a portfolio company could be required to make significant investments to remedy the effects of any such failures, harm to their reputations, legal claims that they and their respective affiliates may be subjected to, regulatory action or enforcement arising out of applicable privacy and other laws, adverse publicity, and other events that may affect their business and financial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and external cyber threats, as well as other disasters, could impair our ability to conduct business effectively.</w:t>
      </w:r>
    </w:p>
    <w:p>
      <w:pPr>
        <w:spacing w:after="0" w:line="13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04"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Adviser’s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1" w:name="page32"/>
    <w:bookmarkEnd w:id="31"/>
    <w:p>
      <w:pPr>
        <w:jc w:val="both"/>
        <w:ind w:firstLine="509"/>
        <w:spacing w:after="0" w:line="233" w:lineRule="auto"/>
        <w:rPr>
          <w:sz w:val="20"/>
          <w:szCs w:val="20"/>
          <w:color w:val="auto"/>
        </w:rPr>
      </w:pPr>
      <w:r>
        <w:rPr>
          <w:rFonts w:ascii="Arial" w:cs="Arial" w:eastAsia="Arial" w:hAnsi="Arial"/>
          <w:sz w:val="14"/>
          <w:szCs w:val="14"/>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04"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may adversely affect our business and operations and those of our portfolio companies.</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Economic activity has continued to accelerate across sectors and regions. Nevertheless, due to global supply chain issues, a rise in energy prices and strong consumer demand as economies continue to reopen, inflation has accelerated significantly in recent months in the U.S. and globally, and the U.S. Federal Reserve has responded by tightening monetary policy. Inflation is likely to continue in the near to medium-term, particularly in the U.S., with the possibility that monetary policy may further tighten in response. Certain of our portfolio companies may be impacted by inflation and persistent inflationary pressures could negatively affect our portfolio companies’ profit margins. Inflation could become a serious problem in the future and have an adverse impact on the Company’s returns.</w:t>
      </w:r>
    </w:p>
    <w:p>
      <w:pPr>
        <w:spacing w:after="0" w:line="116"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Certain historical data regarding our business, results of operations, financial condition and liquidity does not reflect the impact of the COVID-19 pandemic and related containment measures and therefore does not purport to be representative of our future performance.</w:t>
      </w:r>
    </w:p>
    <w:p>
      <w:pPr>
        <w:spacing w:after="0" w:line="9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information included in this Annual Report on Form 10-K and our other reports filed with the SEC includes information regarding our business, results of operations, financial condition and liquidity as of dates and for periods before and during the impact of the COVID-19 pandemic and related containment measures (including quarantines and governmental orders requiring the closure of certain businesses, limiting travel, requiring that individuals stay at home or shelter in place and closing borders). Therefore, certain historical information does not reflect the adverse impacts of the COVID-19 pandemic and the related containment measures. Accordingly, investors are cautioned not to unduly rely on such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Investment Adviser and its Affiliates</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The Investment Adviser may not be able to achieve the same or similar returns as those achieved for other funds it currently manages or by its investment team while they were employed at prior positions.</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Investment Adviser manages other funds and may manage other entities in the future. The track record and achievements of these other entities are not necessarily indicative of future results that will be achieved by the Investment Adviser because these other entities may have investment objectives and strategies that differ from ours.</w:t>
      </w:r>
    </w:p>
    <w:p>
      <w:pPr>
        <w:spacing w:after="0" w:line="10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The Investment Adviser and its affiliates, including our officers and some of our directors, face conflicts of interest caused by compensation arrangements with us and our affiliates, which could result in actions that are not in the best interests of our stockholders.</w:t>
      </w:r>
    </w:p>
    <w:p>
      <w:pPr>
        <w:spacing w:after="0" w:line="10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Investment Adviser and its affiliates will receive substantial fees from us in return for their services, including certain incentive fees based on the performance of our investments. These fees could influence the advice provided to us. Generally, the more equity we sell and the greater the risk assumed by us with respect to our investments, the greater the potential for growth in our assets and profits, and, correlatively, the fees payable by us to our Investment Adviser. These compensation arrangements could affect our Investment Adviser’s or its affiliates’ judgment with respect to offerings of equity and investments made by us, which allow our Investment Adviser to earn increased asset management fees.</w:t>
      </w:r>
    </w:p>
    <w:p>
      <w:pPr>
        <w:spacing w:after="0" w:line="9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Additionally, we pay to the Investment Adviser an incentive fee that is based on the performance of our portfolio and an annual base management fee that is based on the average value of our gross assets, which are the total assets reflected on the consolidated statements of assets and liabilities and includes any borrowings for investment purposes, at the end of the two most recently completed calendar quarters. Because the incentive fee is based on the performance of our portfolio, the Investment Adviser may be incentivized to make investments on our behalf that are riskier or more speculative than would be the case in the absence of such compensation arrangement. The way in which the incentive fee is determined may also encourage the Investment Adviser to use leverage to increase the return on our investments. In addition, because the base management fee is based on the average value of our gross assets at the end of the two most recently completed calendar quarters, which includes any borrowings for investment purposes, the Investment Adviser may be incentivized to recommend the use of leverage or the issuance of additional equity to make additional investments and increase the average value of our gross assets at the end of the two most recently completed calendar quarters. Under certain circumstances, the use of leverage may increase the likelihood of default, which could disfavor our stockholders. Our compensation arrangements could therefore result in our making riskier or more speculative investments, or relying more on leverage to make investments, than would otherwise be the case. This could result in higher investment losses, particularly during cyclical economic downturns.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that could negatively affect our investment returns.</w:t>
      </w:r>
    </w:p>
    <w:p>
      <w:pPr>
        <w:spacing w:after="0" w:line="136"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The members of the Investment Adviser’s investment team also monitor and service other affiliated investment funds. In addition, our executive officers and directors, as well as the current and future members of our Investment Adviser’s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0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the course of our investing activities, we pay management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will have interests that differ from those of our stockholders, giving rise to a conflict. The Investment Adviser will not be reimbursed for any performance-related compensation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2" w:name="page33"/>
    <w:bookmarkEnd w:id="32"/>
    <w:p>
      <w:pPr>
        <w:jc w:val="both"/>
        <w:spacing w:after="0" w:line="238" w:lineRule="auto"/>
        <w:rPr>
          <w:sz w:val="20"/>
          <w:szCs w:val="20"/>
          <w:color w:val="auto"/>
        </w:rPr>
      </w:pPr>
      <w:r>
        <w:rPr>
          <w:rFonts w:ascii="Arial" w:cs="Arial" w:eastAsia="Arial" w:hAnsi="Arial"/>
          <w:sz w:val="14"/>
          <w:szCs w:val="14"/>
          <w:color w:val="auto"/>
        </w:rPr>
        <w:t>its employees.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Investment Adviser and its affiliates may also manage other funds in the future that may have investment mandates that are similar, in whole or in part to ours. To the extent permitted by the 1940 Act and interpretation of the SEC staff, the Investment Adviser and its affiliates may determine that an investment is appropriate for us and for one or more of those other funds. In such event, depending on the availability of such investment and other appropriate factors, the Investment Adviser or its affiliates may determine that we should invest side-by-side with one or more other funds. Any such investments will be made only to the extent permitted by applicable law and interpretive positions of the SEC and its staff, and consistent with the Investment Adviser’s allocation procedures.</w:t>
      </w:r>
    </w:p>
    <w:p>
      <w:pPr>
        <w:spacing w:after="0" w:line="11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As a BDC, we are substantially limited in our ability to co-invest in privately negotiated transactions with affiliated funds unless we obtain an exemptive order from the SEC. On October 23, 2018, the SEC issued an order granting an application for exemptive relief to an affiliate of our Investment Adviser that allows BDCs managed by the Investment Adviser, including the Company, to co-invest, subject to the satisfaction of certain conditions in certain private placement transactions, with other funds managed by the Investment Adviser or its affiliates and any future funds that are advised by the Investment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17"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116"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may be obligated to pay the Investment Adviser incentive compensation even if we incur a net loss due to a decline in the value of our portfolio, and the incentive fee may be calculated using income that has not yet been received.</w:t>
      </w:r>
    </w:p>
    <w:p>
      <w:pPr>
        <w:spacing w:after="0" w:line="9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Our Investment Advisory Agreement entitles the Investment Adviser to receive incentive compensation on income regardless of any capital losses. In such case, we may be required to pay the Investment Adviser incentive compensation for a fiscal quarter even if there is a decline in the value of our portfolio or if we incur a net loss for that quarter. 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“payment-in-kind,” or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w:t>
      </w:r>
    </w:p>
    <w:p>
      <w:pPr>
        <w:spacing w:after="0" w:line="11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 basis. For example, if a portfolio company defaults on a loan that is structured to provide accrued interest, it is possible that accrued interest previously included in the calculation of the incentive fee will become uncollectible. The Investment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our paying an incentive fee on income we never received.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Investment Adviser is not obligated to reimburse us for any part of the incentive fee it receives that is based on accrued income that we never receive.</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Part of the incentive fee payable by us to our Investment Adviser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Adviser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conflicts of interest related to obligations that the Investment Adviser’s senior management and investment team has to other clients.</w:t>
      </w:r>
    </w:p>
    <w:p>
      <w:pPr>
        <w:spacing w:after="0" w:line="123"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As of April 2021, we are advised by Mount Logan Management LLC, our Investment Adviser. The members of the senior management and investment team of the Investment Adviser serve or may serve as officers, directors or principals of entities that operate in the same or a related line of business as we do, or of investment funds managed by the same personnel. In serving in these multiple capacities, they may have obligations to other clients or investors in those entities, the fulfilment of which may not be in our best interests or in the best interest of our stockholders. Our investment objective may overlap with the investment objectives of such investment funds, accounts or other investment vehicles. In particular, we rely on the Investment Adviser to manage our day-to-day activities and to implement our investment strategy. The Investment Adviser and certain of its affiliates are presently, and plan in the future to continue to be, involved with activities that are unrelated to us. As a result of these activities, the Investment Adviser, its officers and employees and certain of its affiliates will have conflicts of interest in allocating their time between us and other activities in which they are or may become involved, including the management of its affiliated funds. The Investment Adviser and its officers and employees will devote only as much of its or their time to our business as the Investment Adviser and its officers and employees, in their judgment, determine is reasonably required, which may be substantially less than their full time.</w:t>
      </w:r>
    </w:p>
    <w:p>
      <w:pPr>
        <w:spacing w:after="0" w:line="12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rely, in part, on the Investment Adviser to assist with identifying and executing upon investment opportunities and on the Board to review and approve the terms of our participation in co-investment transactions with the Investment Adviser and its affiliates. The Investment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Adviser, its affiliates and their officers and employees will not be devoted exclusively to our business but will be allocated between us and such other business activities of the Investment Adviser and its affiliates in a manner that the Investment Adviser deems necessary and appropriate.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3" w:name="page34"/>
    <w:bookmarkEnd w:id="33"/>
    <w:p>
      <w:pPr>
        <w:jc w:val="both"/>
        <w:ind w:firstLine="509"/>
        <w:spacing w:after="0" w:line="231" w:lineRule="auto"/>
        <w:rPr>
          <w:sz w:val="20"/>
          <w:szCs w:val="20"/>
          <w:color w:val="auto"/>
        </w:rPr>
      </w:pPr>
      <w:r>
        <w:rPr>
          <w:rFonts w:ascii="Arial" w:cs="Arial" w:eastAsia="Arial" w:hAnsi="Arial"/>
          <w:sz w:val="14"/>
          <w:szCs w:val="14"/>
          <w:color w:val="auto"/>
        </w:rPr>
        <w:t>An affiliate of the Investment Adviser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b w:val="1"/>
          <w:bCs w:val="1"/>
          <w:i w:val="1"/>
          <w:iCs w:val="1"/>
          <w:color w:val="auto"/>
        </w:rPr>
        <w:t>The time and resources that individuals employed by the Investment Adviser devote to us may be diverted and we may face additional competition due to the fact that individuals employed by the Investment Adviser are not prohibited from raising money for or managing other entities that make the same types of investments that we target.</w:t>
      </w:r>
    </w:p>
    <w:p>
      <w:pPr>
        <w:spacing w:after="0" w:line="7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Neither the Investment Adviser nor individuals employed by the Investment Adviser are generally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our Investment Adviser that allows BDCs managed by the Investment Adviser, including the Company, to co-invest, subject to the satisfaction of certain conditions in certain private placement transactions, with other funds managed by the Investment Adviser or its affiliates and any future funds that are advised by the Investment Adviser or its affiliated investment advisers.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base management and incentive fees may induce the Investment Adviser to make speculative investments or to incur leverage.</w:t>
      </w:r>
    </w:p>
    <w:p>
      <w:pPr>
        <w:spacing w:after="0" w:line="13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The incentive fee payable by us to the Investment Adviser may create an incentive for our Investment Adviser to make investments on our behalf that are risky or more speculative than would be the case in the absence of such compensation arrangement. The way in which the incentive fee payable to the Investment Adviser is determined may encourage our Investment Adviser to use leverage to increase the leveraged return on our investment portfolio. The part of the management and incentive fees payable to the Investment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Investment Adviser to the extent that it may encourage the Investment Adviser to favor debt financings that provide for deferred interest, rather than current cash payments of interest.</w:t>
      </w:r>
    </w:p>
    <w:p>
      <w:pPr>
        <w:spacing w:after="0" w:line="11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addition, the fact that our base management fee is payable based upon our gross assets, which would include any borrowings for investment purposes, may encourage the Investment Adviser to use leverage to make additional investments. Under certain circumstances, the use of leverage may increase the likelihood of defaulting on our borrowings, which would disfavor holders of our common stock. Such a practice could result in us investing in more speculative securities than would otherwise be in our best interests, which could result in higher investment losses, particularly during cyclical economic downturns.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may be purchased by the Investment Adviser or its affiliates.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Investment Adviser and its affiliates may purchase shares of our common stock for any reason deemed appropriate. The Investment Adviser and its affiliates will not acquire any shares of our common stock with the intention to resell or re-distribute such shares. The purchase of common stock by the Investment Adviser and its affiliates could create certain risks, including, but not limited to, the following:</w:t>
      </w:r>
    </w:p>
    <w:p>
      <w:pPr>
        <w:spacing w:after="0" w:line="48" w:lineRule="exact"/>
        <w:rPr>
          <w:sz w:val="20"/>
          <w:szCs w:val="20"/>
          <w:color w:val="auto"/>
        </w:rPr>
      </w:pPr>
    </w:p>
    <w:p>
      <w:pPr>
        <w:ind w:left="780" w:hanging="263"/>
        <w:spacing w:after="0"/>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Investment Adviser and its affiliates may have an interest in disposing of our assets at an earlier date so as to recover their investment in our common stock; and</w:t>
      </w:r>
    </w:p>
    <w:p>
      <w:pPr>
        <w:spacing w:after="0" w:line="55" w:lineRule="exact"/>
        <w:rPr>
          <w:rFonts w:ascii="Arial" w:cs="Arial" w:eastAsia="Arial" w:hAnsi="Arial"/>
          <w:sz w:val="14"/>
          <w:szCs w:val="14"/>
          <w:color w:val="auto"/>
        </w:rPr>
      </w:pPr>
    </w:p>
    <w:p>
      <w:pPr>
        <w:ind w:left="780" w:right="300" w:hanging="263"/>
        <w:spacing w:after="0" w:line="25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substantial purchases of shares by the Investment Adviser and its affiliates may limit the Investment Adviser’s ability to fulfill any financial obligations that it may have to us or incurred on our behalf.</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upon our Investment Adviser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 key personnel for our future success.</w:t>
      </w:r>
    </w:p>
    <w:p>
      <w:pPr>
        <w:spacing w:after="0" w:line="14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We depend on the diligence, skill and network of business contacts Ted Goldthorpe, Matthias Ederer, Henry Wang and Raymond Svider, each experienced members of the Investment Adviser’s investment personnel, who serve as the members of the investment committee of the Investment Adviser. Our success depends on the continued service of these individuals and the other senior investment professionals available to the Investment Adviser. We cannot assure you that unforeseen business, medical, personal or other circumstances would not lead any of these individuals to terminate his relationship with us. Additionally, we cannot assure you that a reduction in revenue to the Investment Adviser, including as a result of fee waivers or a decrease in our assets, would not lead to a loss of investment professionals in the future. Such loss of members of the Investment Adviser’s investment committee and other investment professionals could have a material adverse effect on our ability to achieve our investment objective as well as on our financial condition and results of operations. In addition, we can offer no assurance that the Investment Adviser will continue indefinitely as our investment adviser. The members of the Investment Adviser’s investment team are and may in the future become affiliated with entities engaged in business activities similar to those intended to be conducted by us and may have conflicts of interest in allocating their time.</w:t>
      </w:r>
    </w:p>
    <w:p>
      <w:pPr>
        <w:spacing w:after="0" w:line="116"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The Investment Adviser may retain additional consultants, advisers and/or operating partners to provide services to the Company, and such additional personnel will perform similar functions and duties for other organizations which may give rise to conflicts of interest.</w:t>
      </w:r>
    </w:p>
    <w:p>
      <w:pPr>
        <w:spacing w:after="0" w:line="93"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The Investment Adviser may work with or alongside one or more consultants, advisers (including senior advisers and CEOs) and/or operating partners who are retained by the Investment Adviser on a consultancy or retainer or other basis, to provide services to the Company and other entities sponsored by the Investment Adviser including the sourcing of investments and other investment-related and support services. The functions undertaken by such persons with respect to the Company and any of its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the Company or a portfolio entity of the Company. Stockholders should note that such persons may retain compensation that will not offset the base management fee payable to the Investment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the Company, which fee will be paid either by the Company or, if applicable, the relevant portfolio entity.</w:t>
      </w:r>
    </w:p>
    <w:p>
      <w:pPr>
        <w:spacing w:after="0" w:line="121" w:lineRule="exact"/>
        <w:rPr>
          <w:sz w:val="20"/>
          <w:szCs w:val="20"/>
          <w:color w:val="auto"/>
        </w:rPr>
      </w:pPr>
    </w:p>
    <w:p>
      <w:pPr>
        <w:ind w:right="740"/>
        <w:spacing w:after="0" w:line="253" w:lineRule="auto"/>
        <w:rPr>
          <w:sz w:val="20"/>
          <w:szCs w:val="20"/>
          <w:color w:val="auto"/>
        </w:rPr>
      </w:pPr>
      <w:r>
        <w:rPr>
          <w:rFonts w:ascii="Arial" w:cs="Arial" w:eastAsia="Arial" w:hAnsi="Arial"/>
          <w:sz w:val="14"/>
          <w:szCs w:val="14"/>
          <w:b w:val="1"/>
          <w:bCs w:val="1"/>
          <w:i w:val="1"/>
          <w:iCs w:val="1"/>
          <w:color w:val="auto"/>
        </w:rPr>
        <w:t>The terms of the Investment Advisory Agreement and the Administration Agreement were determined without independent assessment on our behalf, and these terms may be less advantageous to us than if such terms had been the subject of arm’s-length negotiations.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4" w:name="page35"/>
    <w:bookmarkEnd w:id="34"/>
    <w:p>
      <w:pPr>
        <w:jc w:val="both"/>
        <w:ind w:right="20" w:firstLine="509"/>
        <w:spacing w:after="0" w:line="253" w:lineRule="auto"/>
        <w:rPr>
          <w:sz w:val="20"/>
          <w:szCs w:val="20"/>
          <w:color w:val="auto"/>
        </w:rPr>
      </w:pPr>
      <w:r>
        <w:rPr>
          <w:rFonts w:ascii="Arial" w:cs="Arial" w:eastAsia="Arial" w:hAnsi="Arial"/>
          <w:sz w:val="14"/>
          <w:szCs w:val="14"/>
          <w:color w:val="auto"/>
        </w:rPr>
        <w:t>The Investment Advisory Agreement and the Administration Agreement were negotiated between related parties. Consequently, their terms, including fees payable to the Investment Adviser and the Administrator, may not be as favorable to us as if they had been negotiated with an unaffiliated third-party.</w:t>
      </w:r>
    </w:p>
    <w:p>
      <w:pPr>
        <w:spacing w:after="0" w:line="106" w:lineRule="exact"/>
        <w:rPr>
          <w:sz w:val="20"/>
          <w:szCs w:val="20"/>
          <w:color w:val="auto"/>
        </w:rPr>
      </w:pPr>
    </w:p>
    <w:p>
      <w:pPr>
        <w:ind w:right="640"/>
        <w:spacing w:after="0" w:line="253" w:lineRule="auto"/>
        <w:rPr>
          <w:sz w:val="20"/>
          <w:szCs w:val="20"/>
          <w:color w:val="auto"/>
        </w:rPr>
      </w:pPr>
      <w:r>
        <w:rPr>
          <w:rFonts w:ascii="Arial" w:cs="Arial" w:eastAsia="Arial" w:hAnsi="Arial"/>
          <w:sz w:val="14"/>
          <w:szCs w:val="14"/>
          <w:b w:val="1"/>
          <w:bCs w:val="1"/>
          <w:i w:val="1"/>
          <w:iCs w:val="1"/>
          <w:color w:val="auto"/>
        </w:rPr>
        <w:t>The Investment Adviser’s influence on conducting our operations gives it the ability to increase its fees, which may reduce the amount of cash flow available for distribution to our stockholders.</w:t>
      </w:r>
    </w:p>
    <w:p>
      <w:pPr>
        <w:spacing w:after="0" w:line="9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Adviser is paid a base management fee calculated as a percentage of our gross assets and unrelated to net income or any other performance base or measure. The Investment Adviser may advise us to consummate transactions or conduct our operations in a manner that, in the Investment Adviser’s reasonable discretion, is in the best interests of our stockholders. These transactions, however, may increase the amount of fees paid to the Investment Adviser. The Investment Adviser’s ability to influence the base management fee paid to it by us could reduce the amount of cash flow available for distribution to our stockholders.</w:t>
      </w:r>
    </w:p>
    <w:p>
      <w:pPr>
        <w:spacing w:after="0" w:line="18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Our Investment Adviser’s liability is limited under the Investment Advisory Agreement, and we have agreed to indemnify the Investment Adviser against certain liabilities, which may lead the Investment Adviser to act in a riskier manner on our behalf than it would when acting for its own account.</w:t>
      </w:r>
    </w:p>
    <w:p>
      <w:pPr>
        <w:spacing w:after="0" w:line="10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Under the Investment Advisory Agreement, the Investment Adviser has not assumed any responsibility to us other than to render the services called for under that agreement. It is not responsible for any action of our Board in following or declining to follow the Investment Adviser’s advice or recommendations. Under the Investment Advisory Agreement, the Investment Adviser, its officers, members and personnel, and any person controlling or controlled by the Investment Adviser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Adviser owes to us under the Investment Advisory Agreement. In addition, as part of the Investment Advisory Agreement, we have agreed to indemnify the Investment Adviser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Adviser to act in a riskier manner when acting on our behalf than it would when acting for its own account.</w:t>
      </w:r>
    </w:p>
    <w:p>
      <w:pPr>
        <w:spacing w:after="0" w:line="117"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i w:val="1"/>
          <w:iCs w:val="1"/>
          <w:color w:val="auto"/>
        </w:rPr>
        <w:t>Our Investment Adviser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1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Our Investment Adviser has the right, under the Investment Advisory Agreement, to resign at any time on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11"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b w:val="1"/>
          <w:bCs w:val="1"/>
          <w:i w:val="1"/>
          <w:iCs w:val="1"/>
          <w:color w:val="auto"/>
        </w:rPr>
        <w:t>The investment committee and other investment professionals of the Investment Adviser may, from time to time, possess material non-public information about or related to our portfolio companies, limiting our investment discretion.</w:t>
      </w:r>
    </w:p>
    <w:p>
      <w:pPr>
        <w:spacing w:after="0" w:line="9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Members of our Investment Adviser’s investment committee and other investment professionals of the Investment Adviser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Business Development Companies</w:t>
      </w:r>
    </w:p>
    <w:p>
      <w:pPr>
        <w:spacing w:after="0" w:line="140" w:lineRule="exact"/>
        <w:rPr>
          <w:sz w:val="20"/>
          <w:szCs w:val="20"/>
          <w:color w:val="auto"/>
        </w:rPr>
      </w:pPr>
    </w:p>
    <w:p>
      <w:pPr>
        <w:ind w:right="400"/>
        <w:spacing w:after="0" w:line="253" w:lineRule="auto"/>
        <w:rPr>
          <w:sz w:val="20"/>
          <w:szCs w:val="20"/>
          <w:color w:val="auto"/>
        </w:rPr>
      </w:pPr>
      <w:r>
        <w:rPr>
          <w:rFonts w:ascii="Arial" w:cs="Arial" w:eastAsia="Arial" w:hAnsi="Arial"/>
          <w:sz w:val="14"/>
          <w:szCs w:val="14"/>
          <w:b w:val="1"/>
          <w:bCs w:val="1"/>
          <w:i w:val="1"/>
          <w:iCs w:val="1"/>
          <w:color w:val="auto"/>
        </w:rPr>
        <w:t>The requirement that we invest a sufficient portion of our assets in qualifying assets could preclude us from investing in accordance with our current business strategy; conversely, the failure to invest a sufficient portion of our assets in qualifying assets could result in our failure to maintain our status as a BDC.</w:t>
      </w:r>
    </w:p>
    <w:p>
      <w:pPr>
        <w:spacing w:after="0" w:line="10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As a BDC, we may not acquire any assets other than “qualifying assets” unless, at the time of and after giving effect to such acquisition, at least 70% of our total assets are qualifying assets.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rules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maintain our status as a BDC would reduce our operating flexibility.</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If we do not remain a BDC, whether because we withdrew our election or failed to maintain our status as a BDC, we might be regulated as a registered closed-end investment company under the 1940 Act, which would subject us to substantially more regulatory restrictions under the 1940 Act and correspondingly decrease our operating flexibility and potentially significantly increase our costs of doing business.</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150%, if certain conditions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4"/>
          <w:szCs w:val="14"/>
          <w:color w:val="auto"/>
        </w:rPr>
        <w:t>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9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As of December 31, 2022, we had $15.0 million of 5.25% fixed rate convertible notes due April 1, 2032 (the “2032 Convertible Notes”) and $50.0 million of 5.25% fixed rate notes due October 30, 2026 (the “2026 Notes”) outstanding.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interests.</w:t>
      </w:r>
    </w:p>
    <w:p>
      <w:pPr>
        <w:spacing w:after="0" w:line="10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09"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200" w:lineRule="exact"/>
        <w:rPr>
          <w:sz w:val="20"/>
          <w:szCs w:val="20"/>
          <w:color w:val="auto"/>
        </w:rPr>
      </w:pPr>
    </w:p>
    <w:p>
      <w:pPr>
        <w:spacing w:after="0" w:line="213"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9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Similar restrictions limit our ability to transact business with our officers, directors, investment advisers, sub-advisers or their affiliates. As a result of these restrictions, we may be prohibited from buying or selling any security (other than any security of which we are the issuer) from or to any company that is advised or managed by our Investment Adviser or its affiliates without the prior approval of the SEC, which may limit the scope of investment opportunities that would otherwise be available to us.</w:t>
      </w:r>
    </w:p>
    <w:p>
      <w:pPr>
        <w:spacing w:after="0" w:line="116"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In the future, we may co-invest with investment funds, accounts and vehicles managed by our Investment Adviser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October 23, 2018, the SEC issued an order granting an application for exemptive relief to an affiliate of our Investment Adviser that allows BDCs managed by the Investment Adviser, including the Company, to co-invest, subject to the satisfaction of certain conditions, in certain private placement transactions, with other funds managed by the Investment Adviser or its affiliates and any future funds that are advised by the Investment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2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Adviser because such a transaction could be considered a joint transaction prohibited by the 1940 Act in the absence of our receipt of relief from the SEC in connection with such transaction. For example, if an affiliate of our Investment Adviser were required to approve a restructuring of an investment in the portfolio and the affiliate of our Investment Adviser was deemed to be our affiliate, such a restructuring transaction may constitute a prohibited joint transaction under the 1940 Act.</w:t>
      </w:r>
    </w:p>
    <w:p>
      <w:pPr>
        <w:spacing w:after="0" w:line="11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We are uncertain of our sources for funding our future capital needs; if we cannot obtain debt or equity financing on acceptable terms, our ability to acquire investments and to expand our operations will be adversely affected.</w:t>
      </w:r>
    </w:p>
    <w:p>
      <w:pPr>
        <w:spacing w:after="0" w:line="9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net proceeds from the sale of common stock or other securities will be used for our investment opportunities, operating expenses and for payment of various fees and expenses such as base management fees, incentive fees and other expenses. Any working capital reserves we maintain may not be sufficient for investment purposes, and we may require debt or equity financing to operate. Accordingly, in the event that we develop a need for additional capital in the future for investments or for any other reason, these sources of funding may not be available to us. Consequently, if we cannot obtain debt or equity financing on acceptable terms, our ability to acquire investments and to expand our operations will be adversely affected. As a result, we would be less able to create and maintain a broad portfolio of investments and achieve our investment objective, which may negatively impact our results of operations and reduce our ability to make distributions to our stockholders.</w:t>
      </w:r>
    </w:p>
    <w:p>
      <w:pPr>
        <w:spacing w:after="0" w:line="118"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6" w:name="page37"/>
    <w:bookmarkEnd w:id="36"/>
    <w:p>
      <w:pPr>
        <w:jc w:val="both"/>
        <w:spacing w:after="0" w:line="238" w:lineRule="auto"/>
        <w:rPr>
          <w:sz w:val="20"/>
          <w:szCs w:val="20"/>
          <w:color w:val="auto"/>
        </w:rPr>
      </w:pPr>
      <w:r>
        <w:rPr>
          <w:rFonts w:ascii="Arial" w:cs="Arial" w:eastAsia="Arial" w:hAnsi="Arial"/>
          <w:sz w:val="14"/>
          <w:szCs w:val="14"/>
          <w:color w:val="auto"/>
        </w:rPr>
        <w:t>changes in the financial condition or the market’s assessment of the issuer. For the same reason, we may be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24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15" w:lineRule="exact"/>
        <w:rPr>
          <w:sz w:val="20"/>
          <w:szCs w:val="20"/>
          <w:color w:val="auto"/>
        </w:rPr>
      </w:pPr>
    </w:p>
    <w:p>
      <w:pPr>
        <w:ind w:right="640"/>
        <w:spacing w:after="0" w:line="290" w:lineRule="auto"/>
        <w:rPr>
          <w:sz w:val="20"/>
          <w:szCs w:val="20"/>
          <w:color w:val="auto"/>
        </w:rPr>
      </w:pPr>
      <w:r>
        <w:rPr>
          <w:rFonts w:ascii="Arial" w:cs="Arial" w:eastAsia="Arial" w:hAnsi="Arial"/>
          <w:sz w:val="13"/>
          <w:szCs w:val="13"/>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3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Biden signed an executive order to rejoin the Paris Agreement. As a result, some of our portfolio companies may become subject to new or strengthened regulations or legislation, which could increase their operating costs and/or decrease their revenues.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we could lose all or part of our investment.</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Our strategy focuses primarily on originating and making loans to, and making debt and equity investments in, U.S. middle market companies, with a focus on originated transactions sourced through the networks of our Investment Adviser.</w:t>
      </w:r>
    </w:p>
    <w:p>
      <w:pPr>
        <w:spacing w:after="0" w:line="106" w:lineRule="exact"/>
        <w:rPr>
          <w:sz w:val="20"/>
          <w:szCs w:val="20"/>
          <w:color w:val="auto"/>
        </w:rPr>
      </w:pPr>
    </w:p>
    <w:p>
      <w:pPr>
        <w:ind w:right="40" w:firstLine="509"/>
        <w:spacing w:after="0" w:line="244" w:lineRule="auto"/>
        <w:rPr>
          <w:sz w:val="20"/>
          <w:szCs w:val="20"/>
          <w:color w:val="auto"/>
        </w:rPr>
      </w:pPr>
      <w:r>
        <w:rPr>
          <w:rFonts w:ascii="Arial" w:cs="Arial" w:eastAsia="Arial" w:hAnsi="Arial"/>
          <w:sz w:val="13"/>
          <w:szCs w:val="13"/>
          <w:i w:val="1"/>
          <w:iCs w:val="1"/>
          <w:color w:val="auto"/>
        </w:rPr>
        <w:t xml:space="preserve">First Lien Loans and Second Lien Loans. </w:t>
      </w:r>
      <w:r>
        <w:rPr>
          <w:rFonts w:ascii="Arial" w:cs="Arial" w:eastAsia="Arial" w:hAnsi="Arial"/>
          <w:sz w:val="13"/>
          <w:szCs w:val="13"/>
          <w:color w:val="auto"/>
        </w:rPr>
        <w:t>When we invest in senior secured term debt, including first lien loans and second lien loans, we generally take a security interest in the</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assets of these portfolio companies, including the equity interests of their subsidiaries. We expect this security interest to help mitigate the risk that we will not be repaid. However, there is a risk that the collateral securing our loans may decrease in value over time or lose its entire value,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security interest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 Further, in connection with any “last out” first-lien loans in which we may invest,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04" w:lineRule="exact"/>
        <w:rPr>
          <w:sz w:val="20"/>
          <w:szCs w:val="20"/>
          <w:color w:val="auto"/>
        </w:rPr>
      </w:pPr>
    </w:p>
    <w:p>
      <w:pPr>
        <w:ind w:right="20" w:firstLine="509"/>
        <w:spacing w:after="0" w:line="226" w:lineRule="auto"/>
        <w:rPr>
          <w:sz w:val="20"/>
          <w:szCs w:val="20"/>
          <w:color w:val="auto"/>
        </w:rPr>
      </w:pPr>
      <w:r>
        <w:rPr>
          <w:rFonts w:ascii="Arial" w:cs="Arial" w:eastAsia="Arial" w:hAnsi="Arial"/>
          <w:sz w:val="14"/>
          <w:szCs w:val="14"/>
          <w:i w:val="1"/>
          <w:iCs w:val="1"/>
          <w:color w:val="auto"/>
        </w:rPr>
        <w:t xml:space="preserve">Unitranche Loans. </w:t>
      </w:r>
      <w:r>
        <w:rPr>
          <w:rFonts w:ascii="Arial" w:cs="Arial" w:eastAsia="Arial" w:hAnsi="Arial"/>
          <w:sz w:val="14"/>
          <w:szCs w:val="14"/>
          <w:color w:val="auto"/>
        </w:rPr>
        <w:t>We also invest in unitranche loans, which are loans that combine both senior and subordinated financing, generally in a first-lien position. Unitranche loans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all of the debt needed to finance a leveraged buyout or other corporate transaction, both senior and subordinated, but generally in a first lien position, while the borrower generally pays a blended, uniform interest rate rather than different rates for different tranches. Unitranche debt generally requires payments of both principal and interest throughout the life of the loan. Unitranche debt generally has contractual maturities of five to six years and interest is typically paid quarterly. Generally, we expect these securities to carry a blended yield that is between senior secured and subordinated debt interest rates. Unitranche loans provide a number of advantages for borrowers, including the following: simplified documentation, greater certainty of execution and reduced decision-making complexity throughout the life of the loan. In addition, we may receive additional returns from any warrants we may receive in connection with these investments. In some cases, a portion of the total interest may accrue or be paid in kind. Because unitranche loans combine characteristics of senior and subordinated financing, unitranche loans have risks similar to the risks associated with senior secured debt, including first lien loans and second lien loans, and subordinated debt in varying degrees according to the combination of loan characteristics of the unitranche loan.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7" w:name="page38"/>
    <w:bookmarkEnd w:id="37"/>
    <w:p>
      <w:pPr>
        <w:ind w:right="20" w:firstLine="509"/>
        <w:spacing w:after="0" w:line="229" w:lineRule="auto"/>
        <w:rPr>
          <w:sz w:val="20"/>
          <w:szCs w:val="20"/>
          <w:color w:val="auto"/>
        </w:rPr>
      </w:pPr>
      <w:r>
        <w:rPr>
          <w:rFonts w:ascii="Arial" w:cs="Arial" w:eastAsia="Arial" w:hAnsi="Arial"/>
          <w:sz w:val="14"/>
          <w:szCs w:val="14"/>
          <w:i w:val="1"/>
          <w:iCs w:val="1"/>
          <w:color w:val="auto"/>
        </w:rPr>
        <w:t xml:space="preserve">Unsecured Debt. </w:t>
      </w:r>
      <w:r>
        <w:rPr>
          <w:rFonts w:ascii="Arial" w:cs="Arial" w:eastAsia="Arial" w:hAnsi="Arial"/>
          <w:sz w:val="14"/>
          <w:szCs w:val="14"/>
          <w:color w:val="auto"/>
        </w:rPr>
        <w:t>Our unsecured debt, including corporate bonds and subordinated, or mezzanine, investments generally rank junior in priority of payment to senior debt. This may result</w:t>
      </w:r>
      <w:r>
        <w:rPr>
          <w:rFonts w:ascii="Arial" w:cs="Arial" w:eastAsia="Arial" w:hAnsi="Arial"/>
          <w:sz w:val="14"/>
          <w:szCs w:val="14"/>
          <w:i w:val="1"/>
          <w:iCs w:val="1"/>
          <w:color w:val="auto"/>
        </w:rPr>
        <w:t xml:space="preserve"> </w:t>
      </w:r>
      <w:r>
        <w:rPr>
          <w:rFonts w:ascii="Arial" w:cs="Arial" w:eastAsia="Arial" w:hAnsi="Arial"/>
          <w:sz w:val="14"/>
          <w:szCs w:val="14"/>
          <w:color w:val="auto"/>
        </w:rPr>
        <w:t>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including PIK interest and original issue discount. Loans structured with these features may represent a higher level of credit risk than loans that require interest to be paid in cash at regular intervals during the term of the loan. Since we generally will not receive any principal repayments prior to the maturity of some of our unsecured debt investments, such investments will have greater risk and may result in loss of principal.</w:t>
      </w:r>
    </w:p>
    <w:p>
      <w:pPr>
        <w:spacing w:after="0" w:line="104" w:lineRule="exact"/>
        <w:rPr>
          <w:sz w:val="20"/>
          <w:szCs w:val="20"/>
          <w:color w:val="auto"/>
        </w:rPr>
      </w:pPr>
    </w:p>
    <w:p>
      <w:pPr>
        <w:ind w:right="20" w:firstLine="509"/>
        <w:spacing w:after="0" w:line="233" w:lineRule="auto"/>
        <w:rPr>
          <w:sz w:val="20"/>
          <w:szCs w:val="20"/>
          <w:color w:val="auto"/>
        </w:rPr>
      </w:pPr>
      <w:r>
        <w:rPr>
          <w:rFonts w:ascii="Arial" w:cs="Arial" w:eastAsia="Arial" w:hAnsi="Arial"/>
          <w:sz w:val="14"/>
          <w:szCs w:val="14"/>
          <w:i w:val="1"/>
          <w:iCs w:val="1"/>
          <w:color w:val="auto"/>
        </w:rPr>
        <w:t xml:space="preserve">Equity Investments. </w:t>
      </w:r>
      <w:r>
        <w:rPr>
          <w:rFonts w:ascii="Arial" w:cs="Arial" w:eastAsia="Arial" w:hAnsi="Arial"/>
          <w:sz w:val="14"/>
          <w:szCs w:val="14"/>
          <w:color w:val="auto"/>
        </w:rPr>
        <w:t>To a limited extent, we make selected equity investments. In addition, when we invest in senior secured debt, including first lien loans and second lien loans, or</w:t>
      </w:r>
      <w:r>
        <w:rPr>
          <w:rFonts w:ascii="Arial" w:cs="Arial" w:eastAsia="Arial" w:hAnsi="Arial"/>
          <w:sz w:val="14"/>
          <w:szCs w:val="14"/>
          <w:i w:val="1"/>
          <w:iCs w:val="1"/>
          <w:color w:val="auto"/>
        </w:rPr>
        <w:t xml:space="preserve"> </w:t>
      </w:r>
      <w:r>
        <w:rPr>
          <w:rFonts w:ascii="Arial" w:cs="Arial" w:eastAsia="Arial" w:hAnsi="Arial"/>
          <w:sz w:val="14"/>
          <w:szCs w:val="14"/>
          <w:color w:val="auto"/>
        </w:rPr>
        <w:t>unsecured debt, we may acquire warrants to purchase equity securities. Our goal is 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17" w:lineRule="exact"/>
        <w:rPr>
          <w:sz w:val="20"/>
          <w:szCs w:val="20"/>
          <w:color w:val="auto"/>
        </w:rPr>
      </w:pPr>
    </w:p>
    <w:p>
      <w:pPr>
        <w:ind w:firstLine="509"/>
        <w:spacing w:after="0" w:line="227" w:lineRule="auto"/>
        <w:rPr>
          <w:sz w:val="20"/>
          <w:szCs w:val="20"/>
          <w:color w:val="auto"/>
        </w:rPr>
      </w:pPr>
      <w:r>
        <w:rPr>
          <w:rFonts w:ascii="Arial" w:cs="Arial" w:eastAsia="Arial" w:hAnsi="Arial"/>
          <w:sz w:val="14"/>
          <w:szCs w:val="14"/>
          <w:i w:val="1"/>
          <w:iCs w:val="1"/>
          <w:color w:val="auto"/>
        </w:rPr>
        <w:t xml:space="preserve">Collateralized Securities, Structured Products and Other. </w:t>
      </w:r>
      <w:r>
        <w:rPr>
          <w:rFonts w:ascii="Arial" w:cs="Arial" w:eastAsia="Arial" w:hAnsi="Arial"/>
          <w:sz w:val="14"/>
          <w:szCs w:val="14"/>
          <w:color w:val="auto"/>
        </w:rPr>
        <w:t>To a limited extent, we invest in collateralized securities, structured products and other similar securities, which may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CDOs, CBOs, CLOs, structured notes and credit-linked notes. Investments in such securities and products involve risks, including, without limitation, credit risk and market risk. Certain of these securities and products may be thinly traded or have a limited trading market. Where our investments in collateralized securities, structured products and other similar securities are based upon the movement of one or more factors, including currency exchange rates, interest rates, reference bonds (or loans) and stock indices, depending on the factor used and the use of multipliers or deflators, changes in interest rates and movement of any factor may cause significant price fluctuations. Additionally, changes in the reference instrument or security may cause the interest rate on such a security or product to be reduced to zero, and any further changes in the reference instrument may then reduce the principal amount payable on maturity of the security or product. Collateralized securities, structured products and other similar securities may be less liquid than other types of securities and more volatile than the reference instrument or security underlying the product.</w:t>
      </w:r>
    </w:p>
    <w:p>
      <w:pPr>
        <w:spacing w:after="0" w:line="118" w:lineRule="exact"/>
        <w:rPr>
          <w:sz w:val="20"/>
          <w:szCs w:val="20"/>
          <w:color w:val="auto"/>
        </w:rPr>
      </w:pPr>
    </w:p>
    <w:p>
      <w:pPr>
        <w:ind w:right="100" w:firstLine="509"/>
        <w:spacing w:after="0" w:line="251" w:lineRule="auto"/>
        <w:rPr>
          <w:sz w:val="20"/>
          <w:szCs w:val="20"/>
          <w:color w:val="auto"/>
        </w:rPr>
      </w:pPr>
      <w:r>
        <w:rPr>
          <w:rFonts w:ascii="Arial" w:cs="Arial" w:eastAsia="Arial" w:hAnsi="Arial"/>
          <w:sz w:val="13"/>
          <w:szCs w:val="13"/>
          <w:i w:val="1"/>
          <w:iCs w:val="1"/>
          <w:color w:val="auto"/>
        </w:rPr>
        <w:t xml:space="preserve">Non-U.S. Securities. </w:t>
      </w:r>
      <w:r>
        <w:rPr>
          <w:rFonts w:ascii="Arial" w:cs="Arial" w:eastAsia="Arial" w:hAnsi="Arial"/>
          <w:sz w:val="13"/>
          <w:szCs w:val="13"/>
          <w:color w:val="auto"/>
        </w:rPr>
        <w:t>We may invest in non-U.S. securities, which may include securities denominated in U.S. dollars or in non-U.S. currencies, to the extent permitted by the 1940 Act.</w:t>
      </w:r>
      <w:r>
        <w:rPr>
          <w:rFonts w:ascii="Arial" w:cs="Arial" w:eastAsia="Arial" w:hAnsi="Arial"/>
          <w:sz w:val="13"/>
          <w:szCs w:val="13"/>
          <w:i w:val="1"/>
          <w:iCs w:val="1"/>
          <w:color w:val="auto"/>
        </w:rPr>
        <w:t xml:space="preserve"> </w:t>
      </w:r>
      <w:r>
        <w:rPr>
          <w:rFonts w:ascii="Arial" w:cs="Arial" w:eastAsia="Arial" w:hAnsi="Arial"/>
          <w:sz w:val="13"/>
          <w:szCs w:val="13"/>
          <w:color w:val="auto"/>
        </w:rPr>
        <w:t>Because evidence of ownership of such securities usually are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investors located outside the country of the issuer, whether from currency blockage or otherwise. Since non-U.S. securities may be purchased with and payable in foreign currencies, the value of these assets as measured in U.S. dollars may be affected unfavorably by changes in current rates and exchange control regulations.</w:t>
      </w:r>
    </w:p>
    <w:p>
      <w:pPr>
        <w:spacing w:after="0" w:line="96" w:lineRule="exact"/>
        <w:rPr>
          <w:sz w:val="20"/>
          <w:szCs w:val="20"/>
          <w:color w:val="auto"/>
        </w:rPr>
      </w:pPr>
    </w:p>
    <w:p>
      <w:pPr>
        <w:jc w:val="both"/>
        <w:ind w:right="180" w:firstLine="509"/>
        <w:spacing w:after="0" w:line="238" w:lineRule="auto"/>
        <w:rPr>
          <w:sz w:val="20"/>
          <w:szCs w:val="20"/>
          <w:color w:val="auto"/>
        </w:rPr>
      </w:pPr>
      <w:r>
        <w:rPr>
          <w:rFonts w:ascii="Arial" w:cs="Arial" w:eastAsia="Arial" w:hAnsi="Arial"/>
          <w:sz w:val="14"/>
          <w:szCs w:val="14"/>
          <w:color w:val="auto"/>
        </w:rPr>
        <w:t>In addition, we invest in debt securities that are rated below investment grade by rating agencies or that would be rated below investment grade if they were rated. Debt securities rated below investment grade quality are generally regarded as having predominantly speculative characteristics and may carry a greater risk with respect to a borrower’s capacity to pay interest and repay principal. They may also be difficult to value and illiquid.</w:t>
      </w:r>
    </w:p>
    <w:p>
      <w:pPr>
        <w:spacing w:after="0" w:line="115" w:lineRule="exact"/>
        <w:rPr>
          <w:sz w:val="20"/>
          <w:szCs w:val="20"/>
          <w:color w:val="auto"/>
        </w:rPr>
      </w:pPr>
    </w:p>
    <w:p>
      <w:pPr>
        <w:ind w:right="580" w:firstLine="509"/>
        <w:spacing w:after="0" w:line="253" w:lineRule="auto"/>
        <w:rPr>
          <w:sz w:val="20"/>
          <w:szCs w:val="20"/>
          <w:color w:val="auto"/>
        </w:rPr>
      </w:pPr>
      <w:r>
        <w:rPr>
          <w:rFonts w:ascii="Arial" w:cs="Arial" w:eastAsia="Arial" w:hAnsi="Arial"/>
          <w:sz w:val="14"/>
          <w:szCs w:val="14"/>
          <w:color w:val="auto"/>
        </w:rPr>
        <w:t>Further, investing in lower middle-market and traditional middle-market companies involves a number of significant risks. See also “—Investment in private and middle market companies involves a number of significant risks.”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make subordinated investments, the obligors or the portfolio companies may not generate sufficient cash flow to service their debt obligations to us.</w:t>
      </w:r>
    </w:p>
    <w:p>
      <w:pPr>
        <w:spacing w:after="0" w:line="13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 assets securing the loans that we make decrease in value, then we may lack sufficient collateral to cover losses.</w:t>
      </w:r>
    </w:p>
    <w:p>
      <w:pPr>
        <w:spacing w:after="0" w:line="12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To attempt to mitigate credit risks, we will typically take a security interest in the available assets of our portfolio companies. There is no assurance that we will obtain or properly perfect our liens.</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117"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1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1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0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8" w:name="page39"/>
    <w:bookmarkEnd w:id="38"/>
    <w:p>
      <w:pPr>
        <w:ind w:right="320"/>
        <w:spacing w:after="0" w:line="253" w:lineRule="auto"/>
        <w:rPr>
          <w:sz w:val="20"/>
          <w:szCs w:val="20"/>
          <w:color w:val="auto"/>
        </w:rPr>
      </w:pPr>
      <w:r>
        <w:rPr>
          <w:rFonts w:ascii="Arial" w:cs="Arial" w:eastAsia="Arial" w:hAnsi="Arial"/>
          <w:sz w:val="14"/>
          <w:szCs w:val="14"/>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Our investments may include original issue discount instruments and contractual PIK interest, which represents contractual interest added to a loan balance and due at the end of such loan’s term. To the extent original issue discount or PIK interest constitute a portion of our income, we are exposed to typical risks associated with such income being required to be included in taxable and accounting income prior to receipt of cash, including the following:</w:t>
      </w:r>
    </w:p>
    <w:p>
      <w:pPr>
        <w:spacing w:after="0" w:line="34" w:lineRule="exact"/>
        <w:rPr>
          <w:sz w:val="20"/>
          <w:szCs w:val="20"/>
          <w:color w:val="auto"/>
        </w:rPr>
      </w:pPr>
    </w:p>
    <w:p>
      <w:pPr>
        <w:ind w:left="780" w:right="440" w:hanging="263"/>
        <w:spacing w:after="0" w:line="253"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higher interest rates on PIK instruments reflect the payment deferral and increased credit risk associated with these instruments, and PIK instruments generally represent a significantly higher credit risk than coupon loans;</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original issue discount and PIK instruments may have unreliable valuations because the accruals require judgments about collectability of the deferred payments and the value of any associated collateral;</w:t>
      </w:r>
    </w:p>
    <w:p>
      <w:pPr>
        <w:spacing w:after="0" w:line="38" w:lineRule="exact"/>
        <w:rPr>
          <w:rFonts w:ascii="Arial" w:cs="Arial" w:eastAsia="Arial" w:hAnsi="Arial"/>
          <w:sz w:val="14"/>
          <w:szCs w:val="14"/>
          <w:color w:val="auto"/>
        </w:rPr>
      </w:pPr>
    </w:p>
    <w:p>
      <w:pPr>
        <w:ind w:left="780" w:right="60" w:hanging="263"/>
        <w:spacing w:after="0" w:line="290" w:lineRule="auto"/>
        <w:tabs>
          <w:tab w:leader="none" w:pos="7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election to defer PIK interest payments by adding them to the principal on such instruments increases our future investment income which increases our gross assets and, as such, increases the Investment Adviser’s future base management fees which, thus, increases the Investment Adviser’s future income incentive fees at a compounding rate;</w:t>
      </w:r>
    </w:p>
    <w:p>
      <w:pPr>
        <w:spacing w:after="0" w:line="3" w:lineRule="exact"/>
        <w:rPr>
          <w:rFonts w:ascii="Arial" w:cs="Arial" w:eastAsia="Arial" w:hAnsi="Arial"/>
          <w:sz w:val="13"/>
          <w:szCs w:val="13"/>
          <w:color w:val="auto"/>
        </w:rPr>
      </w:pPr>
    </w:p>
    <w:p>
      <w:pPr>
        <w:ind w:left="780" w:right="40" w:hanging="263"/>
        <w:spacing w:after="0" w:line="290" w:lineRule="auto"/>
        <w:tabs>
          <w:tab w:leader="none" w:pos="7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market prices of PIK instruments and other zero coupon instruments are affected to a greater extent by interest rate changes, and may be more volatile than instruments that pay interest periodically in cash. While PIK instruments are usually less volatile than zero coupon debt instruments, PIK instruments are generally more volatile than cash pay securities;</w:t>
      </w:r>
    </w:p>
    <w:p>
      <w:pPr>
        <w:spacing w:after="0" w:line="3" w:lineRule="exact"/>
        <w:rPr>
          <w:rFonts w:ascii="Arial" w:cs="Arial" w:eastAsia="Arial" w:hAnsi="Arial"/>
          <w:sz w:val="13"/>
          <w:szCs w:val="13"/>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deferral of PIK interest on an instrument increases the loan-to-value ratio, which is a measure of the riskiness of a loan, with respect to such instrument;</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even if the conditions for income accrual under U.S. GAAP are satisfied, a borrower could still default when actual payment is due upon the maturity of such loan;</w:t>
      </w:r>
    </w:p>
    <w:p>
      <w:pPr>
        <w:spacing w:after="0" w:line="55" w:lineRule="exact"/>
        <w:rPr>
          <w:rFonts w:ascii="Arial" w:cs="Arial" w:eastAsia="Arial" w:hAnsi="Arial"/>
          <w:sz w:val="14"/>
          <w:szCs w:val="14"/>
          <w:color w:val="auto"/>
        </w:rPr>
      </w:pPr>
    </w:p>
    <w:p>
      <w:pPr>
        <w:ind w:left="780" w:right="60" w:hanging="263"/>
        <w:spacing w:after="0" w:line="238"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accounting purposes, cash distributions to investors representing original issue discount income do not come from paid-in capital, although they may be paid from the offering proceeds. Thus, although a distribution of original issue discount income may come from the cash invested by investors, the 1940 Act does not require that investors be given notice of this fact;</w:t>
      </w:r>
    </w:p>
    <w:p>
      <w:pPr>
        <w:spacing w:after="0" w:line="34" w:lineRule="exact"/>
        <w:rPr>
          <w:rFonts w:ascii="Arial" w:cs="Arial" w:eastAsia="Arial" w:hAnsi="Arial"/>
          <w:sz w:val="14"/>
          <w:szCs w:val="14"/>
          <w:color w:val="auto"/>
        </w:rPr>
      </w:pPr>
    </w:p>
    <w:p>
      <w:pPr>
        <w:jc w:val="both"/>
        <w:ind w:left="780" w:right="600" w:hanging="263"/>
        <w:spacing w:after="0" w:line="290" w:lineRule="auto"/>
        <w:tabs>
          <w:tab w:leader="none" w:pos="7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required recognition of original issue discount or PIK interest for U.S. federal income tax purposes may have a negative impact on liquidity, as it represents a non-cash component of our investment company taxable income that may require cash distributions to shareholders in order to maintain our ability to be subject to tax as a RIC; and</w:t>
      </w:r>
    </w:p>
    <w:p>
      <w:pPr>
        <w:spacing w:after="0" w:line="16" w:lineRule="exact"/>
        <w:rPr>
          <w:rFonts w:ascii="Arial" w:cs="Arial" w:eastAsia="Arial" w:hAnsi="Arial"/>
          <w:sz w:val="13"/>
          <w:szCs w:val="13"/>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original issue discount may create a risk of non-refundable cash payments to the Investment Adviser based on non-cash accruals that may never be realized.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leveraged portfolio companies may be risky, and we could lose all or part of our investment.</w:t>
      </w:r>
    </w:p>
    <w:p>
      <w:pPr>
        <w:spacing w:after="0" w:line="1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13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 private and middle market companies involves a number of significant risks.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 in private and middle market companies involves a number of significant risks including:</w:t>
      </w:r>
    </w:p>
    <w:p>
      <w:pPr>
        <w:spacing w:after="0" w:line="55" w:lineRule="exact"/>
        <w:rPr>
          <w:sz w:val="20"/>
          <w:szCs w:val="20"/>
          <w:color w:val="auto"/>
        </w:rPr>
      </w:pPr>
    </w:p>
    <w:p>
      <w:pPr>
        <w:ind w:left="780" w:right="600" w:hanging="263"/>
        <w:spacing w:after="0" w:line="290" w:lineRule="auto"/>
        <w:tabs>
          <w:tab w:leader="none" w:pos="7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its investment;</w:t>
      </w:r>
    </w:p>
    <w:p>
      <w:pPr>
        <w:spacing w:after="0" w:line="3" w:lineRule="exact"/>
        <w:rPr>
          <w:rFonts w:ascii="Arial" w:cs="Arial" w:eastAsia="Arial" w:hAnsi="Arial"/>
          <w:sz w:val="13"/>
          <w:szCs w:val="13"/>
          <w:color w:val="auto"/>
        </w:rPr>
      </w:pPr>
    </w:p>
    <w:p>
      <w:pPr>
        <w:ind w:left="780" w:right="240" w:hanging="263"/>
        <w:spacing w:after="0" w:line="253"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companies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38" w:lineRule="exact"/>
        <w:rPr>
          <w:rFonts w:ascii="Arial" w:cs="Arial" w:eastAsia="Arial" w:hAnsi="Arial"/>
          <w:sz w:val="14"/>
          <w:szCs w:val="14"/>
          <w:color w:val="auto"/>
        </w:rPr>
      </w:pPr>
    </w:p>
    <w:p>
      <w:pPr>
        <w:ind w:left="780" w:right="300" w:hanging="263"/>
        <w:spacing w:after="0" w:line="253"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companies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2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companies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25" w:lineRule="exact"/>
        <w:rPr>
          <w:rFonts w:ascii="Arial" w:cs="Arial" w:eastAsia="Arial" w:hAnsi="Arial"/>
          <w:sz w:val="14"/>
          <w:szCs w:val="14"/>
          <w:color w:val="auto"/>
        </w:rPr>
      </w:pPr>
    </w:p>
    <w:p>
      <w:pPr>
        <w:ind w:left="780" w:right="100" w:hanging="263"/>
        <w:spacing w:after="0" w:line="253"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debt investments in such companies generally may have a significant portion of principal due at the maturity of the investment, which would result in a substantial loss to us if such borrowers are unable to refinance or repay their debt at maturity;</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our executive officers, directors and the Adviser may, in the ordinary course of business, be named as defendants in litigation arising from our investments in such companies;</w:t>
      </w:r>
    </w:p>
    <w:p>
      <w:pPr>
        <w:spacing w:after="0" w:line="66" w:lineRule="exact"/>
        <w:rPr>
          <w:rFonts w:ascii="Arial" w:cs="Arial" w:eastAsia="Arial" w:hAnsi="Arial"/>
          <w:sz w:val="13"/>
          <w:szCs w:val="13"/>
          <w:color w:val="auto"/>
        </w:rPr>
      </w:pPr>
    </w:p>
    <w:p>
      <w:pPr>
        <w:ind w:left="780" w:right="20" w:hanging="263"/>
        <w:spacing w:after="0" w:line="253" w:lineRule="auto"/>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such companies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9" w:name="page40"/>
    <w:bookmarkEnd w:id="39"/>
    <w:p>
      <w:pPr>
        <w:ind w:left="780" w:right="80" w:hanging="263"/>
        <w:spacing w:after="0" w:line="253"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such companies may have difficulty accessing the capital markets to meet future capital needs, which may limit their ability to grow or to repay their outstanding indebtedness upon maturity.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may be in portfolio companies which may have limited operating histories and financial resources.</w:t>
      </w:r>
    </w:p>
    <w:p>
      <w:pPr>
        <w:spacing w:after="0" w:line="13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We expect that our portfolio will continue to consist of investments that may have relatively limited operating histories. These companies may be particularly vulnerable to U.S. and foreign economic downturns such as the U.S. recession that began in mid-2007, the European financial crisis, and the COVID-19 related economic downturn,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circumstances where our debt investments could be subordinated to claims of other creditors or we could be subject to lender liability claims.</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If one of our portfolio companies were to file for bankruptcy,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generally will not control our portfolio companies.</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Although we may do so in the future, we do not expect to control most of our portfolio companies, even though we may have board representation or board observation rights, and our debt agreements with such portfolio companies may contain certain restrictive covenants.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159"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We periodically invest through joint ventures, partnerships or other special purpose vehicles and investments through these vehicles may entail greater risks, or risks that we otherwise would not incur, if we otherwise made such investments directly.</w:t>
      </w:r>
    </w:p>
    <w:p>
      <w:pPr>
        <w:spacing w:after="0" w:line="10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We periodically co-invest with third parties through funds, joint ventures or other entities. Such investments may involve risks not present in investments where a third party is not involved, including the possibility that our co-venturer or partner may at any time have other business interests and investments other than the joint venture with us, or may have different economic or business goals. In addition, we may be liable for actions of our co-venturers or partners. Our ability to exercise control or significant influence over management in these cooperative efforts will depend upon the nature of the joint venture arrangement. In addition, such arrangements are likely to involve restrictions on the resale of our interest in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be exposed to risks associated with changes in interest rates.</w:t>
      </w:r>
    </w:p>
    <w:p>
      <w:pPr>
        <w:spacing w:after="0" w:line="1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are subject to financial market risks, including changes in interest rates. General interest rate fluctuations may have a substantial negative impact on our investments and investment opportunities and, accordingly, have a material adverse effect on our ability to achieve our investment objective and our target rate of return on invested capital. In addition, an increase in interest rates would make it more expensive to use debt for our financing needs, if any. See also “—To the extent we borrow money to finance our investments, changes in interest rates will affect our cost of capital and net investment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2022, the U.S. Federal Reserve tightened monetary policy by increasing interest rates aggressively to combat inflation.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interest rates of some of our floating-rate loans to our portfolio companies may be priced using a spread over LIBOR, which is being phased out.</w:t>
      </w:r>
    </w:p>
    <w:p>
      <w:pPr>
        <w:spacing w:after="0" w:line="136"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4"/>
          <w:szCs w:val="14"/>
          <w:color w:val="auto"/>
        </w:rPr>
        <w:t>We historically used LIBOR as a reference for setting the interest rates on our loans, including floating rate loans that we extend to portfolio companies. Certain LIBOR rates were generally phased out by the end of 2021, and some regulated entities have ceased to enter into new LIBOR-based contracts beginning January 1, 2022. However, it is expected that the most widely used tenors of USD LIBOR may continue to be provided on a representative basis until mid-2023. As such, the potential effect of a transition away from LIBOR on the Company or the LIBOR-based instruments in which the Company invests cannot yet be determined. The transition process away from LIBOR may involve, among other things, increased volatility or illiquidity in markets for instruments that currently rely on LIBOR. The transition process may also result in a reduction in the value of certain instruments held by the Company or reduce the effectiveness of related Company transactions, such as hedges. Any potential effects of the transition away from LIBOR on the Company or on financial instruments in which the Company invests, as well as other unforeseen effects, could result in losses to the Company. Since the usefulness of LIBOR as a benchmark or reference rate could deteriorate during the transition period, these effects could occur prior to and/or subsequent to mid-2023.</w:t>
      </w:r>
    </w:p>
    <w:p>
      <w:pPr>
        <w:spacing w:after="0" w:line="10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On July 27, 2017, the U.K Financial Conduct Authority (“FCA”) announced that it would phase out LIBOR as a benchmark by the end of 2021. As of December 31, 2021, all non-U.S. dollar LIBOR publications have been phased out. The phase out of a majority of the U.S. dollar publications is delayed until June 30, 2023. The Alternative Reference Rates Committee (“ARRC”) of the Federal Reserve Bank of New York previously confirm that this constitutes a “benchmark transition event” and established “benchmark replacement dates” in ARRC standard LIBOR transition provisions that exist in many U.S. law contracts using LIBOR.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0" w:name="page41"/>
    <w:bookmarkEnd w:id="40"/>
    <w:p>
      <w:pPr>
        <w:jc w:val="both"/>
        <w:ind w:firstLine="509"/>
        <w:spacing w:after="0" w:line="229" w:lineRule="auto"/>
        <w:rPr>
          <w:sz w:val="20"/>
          <w:szCs w:val="20"/>
          <w:color w:val="auto"/>
        </w:rPr>
      </w:pPr>
      <w:r>
        <w:rPr>
          <w:rFonts w:ascii="Arial" w:cs="Arial" w:eastAsia="Arial" w:hAnsi="Arial"/>
          <w:sz w:val="14"/>
          <w:szCs w:val="14"/>
          <w:color w:val="auto"/>
        </w:rPr>
        <w:t>The publication of all EUR and CHF LIBOR settings, the Spot Next/Overnight, 1 week, 2 month and 12 month JPY and GBP LIBOR settings, and the 1 week and 2 months USD LIBOR settings has ceased. The publication of the overnight, 1 month, 3 month, 6 month, and 12 months USD LIBOR settings will cease after June 30, 2023. The FCA plans to consult the market on creating “synthetic” 1 month, 3 month and 6 month rates for GBP and JPY LIBOR, to be published for a limited time. The New York State legislation was signed into law to aid “tough legacy” LIBOR contracts. Other legislative solutions are being pursued at the Federal level, in the U.K. and in Europe. The U.S. Federal banking agencies have also issued guidance encouraging banking and global organizations to cease reference to USD LIBOR as soon as practicable and, in any event, by December 31, 2021. The E.U. Benchmarks Regulation imposed conditions under which only compliant benchmarks may be used in new contracts after 2021.</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ARRC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plans, or other reforms to LIBOR that may be enacted in the United States, United Kingdom or elsewhere.</w:t>
      </w:r>
    </w:p>
    <w:p>
      <w:pPr>
        <w:spacing w:after="0" w:line="107"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The discontinuation of LIBOR could have a significant impact on our business. We anticipate significant operational challenges for the transition away from LIBOR, including, but not limited to, amending existing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we will need to identify and evaluate. Due to the uncertainty of the replacement for LIBOR, the potential effect of any such event on our cost of capital and net investment income cannot yet be determined. In addition, any further changes or reforms to the determination or supervision of LIBOR may result in a sudden or prolonged increase or decrease in reported LIBOR, which could have an adverse impact on the market value of any LIBOR-linked securities, loans and other financial obligations or extensions of credit held by or due to us and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health and performance of our portfolio companies could be adversely affected by political and economic conditions in the countries in which they conduct business.</w:t>
      </w:r>
    </w:p>
    <w:p>
      <w:pPr>
        <w:spacing w:after="0" w:line="148"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Some of the products of our portfolio companies are developed, manufactured, assembled, tested or marketed outside the U.S. Any conflict or uncertainty in these countries, including due to natural disasters, public health concerns (including the COVID-19 pandemic or a similar infectious disease outbreak),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may seek to hedge against interest rate and currency exchange rate fluctuations and credit risk by using financial instruments such as futures, options, swaps, forward contracts, caps, collars and floors, subject to the requirements of the 1940 Act. These financial instruments may be purchased on exchanges or may be individually negotiated and traded in over-the-counter markets. Use of such financial instruments for hedging purposes may present significant risks, including the risk of loss of the amounts invested. Defaults by the other party to a hedging transaction can result in losses in the hedging transaction.</w:t>
      </w:r>
    </w:p>
    <w:p>
      <w:pPr>
        <w:spacing w:after="0" w:line="11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Hedging activities also involve the risk of an imperfect correlation between the hedging instrument and the asset being hedged, which could result in losses both on the hedging transaction and on the instrument being hedged.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Further, hedging transactions may reduce cash available to pay distributions to our shareholders.</w:t>
      </w:r>
    </w:p>
    <w:p>
      <w:pPr>
        <w:spacing w:after="0" w:line="12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A derivative transaction is also subject to the risk that a counterparty will default on its payment obligations thereunder or that we will not be able to meet our obligations to the counterparty. In some cases, we may post collateral to secure our obligations to the counterparty, and we may be required to post additional collateral upon the occurrence of certain events such as a decrease in the value of the reference security or other asset. In some cases, the counterparty may not collateralize any of its obligations to us. Derivative investments effectively add leverage to a portfolio by providing investment exposure to a security or market without owning or taking physical custody of such security or investing directly in such market. In addition to the risks described above, such arrangements are subject to risks similar to those associated with the use of leverage. See “Risk Factors — Risks Related to Debt Financing.”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enter into transactions involving derivatives and financial commitment transactions may be limited.</w:t>
      </w:r>
    </w:p>
    <w:p>
      <w:pPr>
        <w:spacing w:after="0" w:line="13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Through comprehensive new global regulatory regimes impacting derivatives (e.g.,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1" w:name="page42"/>
    <w:bookmarkEnd w:id="41"/>
    <w:p>
      <w:pPr>
        <w:jc w:val="both"/>
        <w:spacing w:after="0" w:line="227" w:lineRule="auto"/>
        <w:rPr>
          <w:sz w:val="20"/>
          <w:szCs w:val="20"/>
          <w:color w:val="auto"/>
        </w:rPr>
      </w:pPr>
      <w:r>
        <w:rPr>
          <w:rFonts w:ascii="Arial" w:cs="Arial" w:eastAsia="Arial" w:hAnsi="Arial"/>
          <w:sz w:val="14"/>
          <w:szCs w:val="14"/>
          <w:color w:val="auto"/>
        </w:rPr>
        <w:t>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0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In August 2022, new Rule 18f-4 under the 1940 Act became effective. This rule relates to the ability of a BDC (or a registered investment company) to use derivatives and other transactions that create future payment or delivery obligations. Under the new rule, BDCs that make significant use of derivatives are required to operate subject to a value-at-risk leverage limit, adopt a derivatives risk management program and appoint a derivatives risk manager, and comply with various testing and board reporting requirements. These new requirements apply unless the BDC qualifies as a “limited derivatives user,” as defined in the rule. Under an exemption included in the rule, a BDC may enter into an unfunded commitment agreement, such as an agreement to provide financing to a portfolio company, without treating the transaction as an derivatives transaction, provided that the BDC has, among other things, a reasonable belief, at the time it enters into such an agreement, that it will have sufficient cash and cash equivalents to meet its obligations with respect to all of its unfunded commitment agreements, in each case as the obligation becomes due. We currently operate and intend to continue to operate as a “limited derivatives user,” which may limit our ability to use derivatives and/or enter into certain other financial contracts. The Company intends to limit its engagement in derivative transactions such that it will qualify as a “limited derivatives user” for purposes of Rule 18f-4 such that the Company will be subject to substantially fewer substantive requirements under that rule than would be the case if it did not so qualify. However, there is no guarantee that the Company will meet or continue to meet such qualifications, and, as a result, there is a risk that the Company may become subject to more onerous requirements under Rule 18f-4 than currently intended.</w:t>
      </w:r>
    </w:p>
    <w:p>
      <w:pPr>
        <w:spacing w:after="0" w:line="114"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06"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Many of our loans are not fully amortizing and if a borrower cannot repay or refinance such loans at maturity, our results will suffer.</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Most of the loans in which we invest are not structured to fully amortize during their lifetime. Accordingly, a significant portion of the principal amount of such a loan may be due at maturity. As of December 31, 2022, generally all debt instruments in our portfolio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the Company from immediately obtaining full recovery on the loan and prevent or delay the reinvestment of the loan proceeds in other, more profitable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covenant breach or other defaults by our portfolio companies may adversely affect our operating results.</w:t>
      </w:r>
    </w:p>
    <w:p>
      <w:pPr>
        <w:spacing w:after="0" w:line="12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the portfolio company’s ability to meet its obligations under the debt securities that we hold. We may incur expenses to the extent necessary to seek recovery upon default or to negotiate new terms, which may include the waiver of certain financial covenants, with a defaulting portfolio company. See also “—We may choose to waive or defer enforcement of covenants in the debt securities held in our portfolio, which may cause us to lose all or part of our investment in these companies.”</w:t>
      </w:r>
    </w:p>
    <w:p>
      <w:pPr>
        <w:spacing w:after="0" w:line="10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48"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the Company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realize gains from our equity investments.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Certain investments that we may make include warrants or other equity securities. In addition, we may from time to time make non-control, equity investments in portfolio companies.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2" w:name="page43"/>
    <w:bookmarkEnd w:id="42"/>
    <w:p>
      <w:pPr>
        <w:jc w:val="both"/>
        <w:spacing w:after="0" w:line="251" w:lineRule="auto"/>
        <w:rPr>
          <w:sz w:val="20"/>
          <w:szCs w:val="20"/>
          <w:color w:val="auto"/>
        </w:rPr>
      </w:pPr>
      <w:r>
        <w:rPr>
          <w:rFonts w:ascii="Arial" w:cs="Arial" w:eastAsia="Arial" w:hAnsi="Arial"/>
          <w:sz w:val="13"/>
          <w:szCs w:val="13"/>
          <w:color w:val="auto"/>
        </w:rPr>
        <w:t>credit risk, illiquidity and limited voting rights.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09"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7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3"/>
          <w:szCs w:val="13"/>
          <w:color w:val="auto"/>
        </w:rPr>
        <w:t>We intend to invest primarily in privately held companies. Investments in private companies pose significantly greater risks than investments in public companies. These companies often face intense competition from larger companies with greater financial, technical and marketing resources. Privately held companies also frequently have less diverse product lines and smaller market presence than larger competitors. Private companies have reduced access to the capital markets, resulting in diminished capital resources and the ability to withstand financial distress. The depth and breadth of experience of management in private companies tend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Also, the investments themselves tend to be less liquid. As such, we may have difficulty exiting an investment promptly or at a desired price prior to maturity or outside of a normal amortization schedule. As a result, the relative lack of liquidity and the potential diminished capital resources of our target portfolio companies may affect our investment returns.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 Additionally,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These companies and their financial information will generally not be subject to the Sarbanes-Oxley Act and other rules that govern public companies. If we are unable to uncover all material information about these companies, we may not make a fully informed investment decision, and we may lose money on our investments. These factors could adversely affect our investment returns as compared to companies investing primarily in the securities of public companies.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have the funds or ability to make additional investments in our portfolio companies or to fund our unfunded debt commitments which may impair the value of our portfolio.</w:t>
      </w:r>
    </w:p>
    <w:p>
      <w:pPr>
        <w:spacing w:after="0" w:line="159"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After our initial investment in a portfolio company, we may be called upon from time to time to provide additional funds to such company or have the opportunity to increase our investment through the exercise of a warrant to purchase common stock.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return on the investment.</w:t>
      </w:r>
    </w:p>
    <w:p>
      <w:pPr>
        <w:spacing w:after="0" w:line="1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Adviser are also invested.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Prepayments of our debt investments by our portfolio companies could adversely impact our results of operations and reduce our return on equity.</w:t>
      </w:r>
    </w:p>
    <w:p>
      <w:pPr>
        <w:spacing w:after="0" w:line="13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disposition of our investments may result in contingent liabilities.</w:t>
      </w:r>
    </w:p>
    <w:p>
      <w:pPr>
        <w:spacing w:after="0" w:line="13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to the global supply chain may have adverse impact on our portfolio companies and, in turn, harm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3" w:name="page44"/>
    <w:bookmarkEnd w:id="43"/>
    <w:p>
      <w:pPr>
        <w:jc w:val="both"/>
        <w:ind w:right="20" w:firstLine="509"/>
        <w:spacing w:after="0" w:line="290" w:lineRule="auto"/>
        <w:rPr>
          <w:sz w:val="20"/>
          <w:szCs w:val="20"/>
          <w:color w:val="auto"/>
        </w:rPr>
      </w:pPr>
      <w:r>
        <w:rPr>
          <w:rFonts w:ascii="Arial" w:cs="Arial" w:eastAsia="Arial" w:hAnsi="Arial"/>
          <w:sz w:val="13"/>
          <w:szCs w:val="13"/>
          <w:color w:val="auto"/>
        </w:rPr>
        <w:t>Recent supply chain disruptions, including the global microchip shortage, may have an adverse impact on the business of our portfolio companies. Potential adverse impacts to certain of our portfolio companies may include, among others, increased costs, inventory shortages, shipping and project completion delays, and inability to meet customer demand.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Debt Financing</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We borrow money, which magnifies the potential for gain or loss on amounts invested and may increase the risk of investing in us. Borrowed money may also adversely affect the return on our assets, reduce cash available for distribution to our stockholders, and result in losses.</w:t>
      </w:r>
    </w:p>
    <w:p>
      <w:pPr>
        <w:spacing w:after="0" w:line="9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Leverage is generally considered a speculative investment technique. Our ability to service any debt that we incur will depend largely on our financial performance and will be subject to prevailing economic conditions and competitive pressures.</w:t>
      </w:r>
    </w:p>
    <w:p>
      <w:pPr>
        <w:spacing w:after="0" w:line="10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use of leverage magnifies the potential for gain or loss on amounts invested and, therefore, increases the risks associated with investing in our securities.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distributions to our stockholders. In addition, our stockholders will bear the burden of any increase in our expenses as a result of our use of leverage, including interest expenses and any increase in the management or incentive fees payable to the Investment Adviser. See also “—Our base management and incentive fees may induce the Investment Adviser to make speculative investments or to incur leverage.”</w:t>
      </w:r>
    </w:p>
    <w:p>
      <w:pPr>
        <w:spacing w:after="0" w:line="109"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may use leverage to finance our investments. The amount of leverage that we employ will depend on the Investment Adviser’s and our Board’s assessment of market and other factors at the time of any proposed borrowing. There can be no assurance that leveraged financing will be available to us on favorable terms or at all. However, to the extent that we use leverage to finance our assets, our financing costs will reduce cash available for distributions to stockholders. Moreover, we may not be able to meet our financing obligations and, to the extent that we cannot, we risk the loss of some or all of our assets to liquidation or sale to satisfy the obligations. In such an event, we may be forced to sell assets at significantly depressed prices due to market conditions or otherwise, which may result in losses.</w:t>
      </w:r>
    </w:p>
    <w:p>
      <w:pPr>
        <w:spacing w:after="0" w:line="1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addition to the 2032 Convertible Notes, the 2026 Notes and the KeyBank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w:t>
      </w:r>
    </w:p>
    <w:p>
      <w:pPr>
        <w:spacing w:after="0" w:line="1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KeyBank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contractual leverage limitations under our existing KeyBank Credit Facility or future borrowings may limit our ability to incur additional indebtedness.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60" w:type="dxa"/>
            <w:vAlign w:val="bottom"/>
            <w:gridSpan w:val="2"/>
          </w:tcPr>
          <w:p>
            <w:pPr>
              <w:ind w:left="1140"/>
              <w:spacing w:after="0"/>
              <w:rPr>
                <w:sz w:val="20"/>
                <w:szCs w:val="20"/>
                <w:color w:val="auto"/>
              </w:rPr>
            </w:pPr>
            <w:r>
              <w:rPr>
                <w:rFonts w:ascii="Arial" w:cs="Arial" w:eastAsia="Arial" w:hAnsi="Arial"/>
                <w:sz w:val="14"/>
                <w:szCs w:val="14"/>
                <w:b w:val="1"/>
                <w:bCs w:val="1"/>
                <w:color w:val="auto"/>
              </w:rPr>
              <w:t xml:space="preserve">Assumed Return on Our Portfolio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(net of expenses)</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(10.0)%</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(5.0)%</w:t>
            </w:r>
          </w:p>
        </w:tc>
        <w:tc>
          <w:tcPr>
            <w:tcW w:w="1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0.0%</w:t>
            </w:r>
          </w:p>
        </w:tc>
        <w:tc>
          <w:tcPr>
            <w:tcW w:w="11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5.0%</w:t>
            </w:r>
          </w:p>
        </w:tc>
        <w:tc>
          <w:tcPr>
            <w:tcW w:w="11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10.0%</w:t>
            </w:r>
          </w:p>
        </w:tc>
      </w:tr>
      <w:tr>
        <w:trPr>
          <w:trHeight w:val="169"/>
        </w:trPr>
        <w:tc>
          <w:tcPr>
            <w:tcW w:w="556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Corresponding net return to common stockholder</w:t>
            </w:r>
          </w:p>
        </w:tc>
        <w:tc>
          <w:tcPr>
            <w:tcW w:w="1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-30.3%</w:t>
            </w: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-19.0%</w:t>
            </w: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14.9%</w:t>
            </w:r>
          </w:p>
        </w:tc>
      </w:tr>
      <w:tr>
        <w:trPr>
          <w:trHeight w:val="54"/>
        </w:trPr>
        <w:tc>
          <w:tcPr>
            <w:tcW w:w="1500" w:type="dxa"/>
            <w:vAlign w:val="bottom"/>
            <w:tcBorders>
              <w:bottom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r>
    </w:tbl>
    <w:p>
      <w:pPr>
        <w:ind w:left="420" w:right="20" w:hanging="412"/>
        <w:spacing w:after="0" w:line="206" w:lineRule="auto"/>
        <w:tabs>
          <w:tab w:leader="none" w:pos="420" w:val="left"/>
        </w:tabs>
        <w:numPr>
          <w:ilvl w:val="0"/>
          <w:numId w:val="48"/>
        </w:numPr>
        <w:rPr>
          <w:rFonts w:ascii="Arial" w:cs="Arial" w:eastAsia="Arial" w:hAnsi="Arial"/>
          <w:sz w:val="16"/>
          <w:szCs w:val="16"/>
          <w:b w:val="1"/>
          <w:bCs w:val="1"/>
          <w:color w:val="auto"/>
          <w:vertAlign w:val="superscript"/>
        </w:rPr>
      </w:pPr>
      <w:r>
        <w:rPr>
          <w:rFonts w:ascii="Arial" w:cs="Arial" w:eastAsia="Arial" w:hAnsi="Arial"/>
          <w:sz w:val="12"/>
          <w:szCs w:val="12"/>
          <w:color w:val="auto"/>
        </w:rPr>
        <w:t>Assumes $214.7 million in total assets, $120.9 million in debt outstanding and $95.0 million in net assets as of December 31, 2022. Assumes an average cost of funds of 6.1% which includes the stated interest rate. Actual interest payments may be different.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default under our credit facilities.</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the event we default under our credit facilities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in a credit facility may limit our investment discretion.</w:t>
      </w:r>
    </w:p>
    <w:p>
      <w:pPr>
        <w:spacing w:after="0" w:line="123"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4"/>
          <w:szCs w:val="14"/>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 In connection with one or more credit facilities entered into by the Company, distributions to stockholders may be subordinated to payments required in connection with any indebtedness contemplated thereby.</w:t>
      </w:r>
    </w:p>
    <w:p>
      <w:pPr>
        <w:spacing w:after="0" w:line="118"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1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auto"/>
        </w:rPr>
        <w:t>To the extent we borrow money to finance our investments, changes in interest rates will affect our cost of capital and net investment income.</w:t>
      </w:r>
    </w:p>
    <w:p>
      <w:pPr>
        <w:spacing w:after="0" w:line="13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Adviser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A general increase in interest rates will likely have the effect of making it easier for our Investment Adviser to receive incentive fees, without necessarily resulting in an increase in our net earnings.</w:t>
      </w:r>
    </w:p>
    <w:p>
      <w:pPr>
        <w:spacing w:after="0" w:line="9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Under the structure of our Investment Advisory Agreement with our Investment Advisor, any general increase in interest rates will likely have the effect of making it easier for our Investment Adviser to meet the quarterly hurdle rate for payment of income incentive fees under the Investment Advisory Agreement without any additional increase in relative performance on the part of our Investment Adviser. In addition, in view of the catch-up provision applicable to income incentive fees under the Investment Advisory Agreement, our Investment Adviser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Adviser’s income incentive fee resulting from such a general increase in interest rates.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common stockholders will bear the expenses associated with our borrowings, and the holders of our debt securities will have certain rights senior to our common stockholders.</w:t>
      </w:r>
    </w:p>
    <w:p>
      <w:pPr>
        <w:spacing w:after="0" w:line="148"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Federal Income Tax Risks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be subject to corporate-level U.S. federal income tax if we are unable to qualify or maintain our RIC tax treatment under the Code.</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Although we have elected to be treated as a RIC beginning with our taxable year ended August 31, 2014, no assurance can be given that we will be able to continue to qualify for and maintain our RIC tax treatment under the Code. To continue to maintain our RIC tax treatment under the Code, we must meet the following source-of-asset diversification, and distribution requirements.</w:t>
      </w:r>
    </w:p>
    <w:p>
      <w:pPr>
        <w:spacing w:after="0" w:line="10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w:t>
      </w:r>
    </w:p>
    <w:p>
      <w:pPr>
        <w:spacing w:after="0" w:line="10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annual distribution requirement for a RIC will be satisfied if we distribute to our stockholders on an annual basis at least 90% of our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06"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b w:val="1"/>
          <w:bCs w:val="1"/>
          <w:i w:val="1"/>
          <w:iCs w:val="1"/>
          <w:color w:val="auto"/>
        </w:rPr>
        <w:t>Due to potential disruptions in the economy, we may not be able to increase our dividends and may reduce or defer our dividends and choose to incur U.S. federal excise tax in order to preserve cash and maintain flexibility.</w:t>
      </w:r>
    </w:p>
    <w:p>
      <w:pPr>
        <w:spacing w:after="0" w:line="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non-deductible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capital gain net income that we recognized for preceding years, but were not distributed during such years, and on which we paid no U.S. federal income tax.</w:t>
      </w:r>
    </w:p>
    <w:p>
      <w:pPr>
        <w:spacing w:after="0" w:line="11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2022 until as late as December 31, 2023. If we choose to pay a spillover dividend, we will incur the 4.0% U.S. federal excise tax on some or all of the distribution.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5" w:name="page46"/>
    <w:bookmarkEnd w:id="45"/>
    <w:p>
      <w:pPr>
        <w:jc w:val="both"/>
        <w:ind w:firstLine="509"/>
        <w:spacing w:after="0" w:line="231" w:lineRule="auto"/>
        <w:rPr>
          <w:sz w:val="20"/>
          <w:szCs w:val="20"/>
          <w:color w:val="auto"/>
        </w:rPr>
      </w:pPr>
      <w:r>
        <w:rPr>
          <w:rFonts w:ascii="Arial" w:cs="Arial" w:eastAsia="Arial" w:hAnsi="Arial"/>
          <w:sz w:val="14"/>
          <w:szCs w:val="14"/>
          <w:color w:val="auto"/>
        </w:rPr>
        <w:t>Due to disruptions in the economy, we may take certain actions with respect to the timing and amounts of our distributions in order to preserve cash and maintain flexibility. For example, the COVID-19 pandemic had an impact on our ability to declare distributions.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t>
      </w:r>
      <w:r>
        <w:rPr>
          <w:rFonts w:ascii="Arial" w:cs="Arial" w:eastAsia="Arial" w:hAnsi="Arial"/>
          <w:sz w:val="14"/>
          <w:szCs w:val="14"/>
          <w:i w:val="1"/>
          <w:iCs w:val="1"/>
          <w:color w:val="auto"/>
        </w:rPr>
        <w:t>We may in the future choose to pay dividends in our</w:t>
      </w:r>
      <w:r>
        <w:rPr>
          <w:rFonts w:ascii="Arial" w:cs="Arial" w:eastAsia="Arial" w:hAnsi="Arial"/>
          <w:sz w:val="14"/>
          <w:szCs w:val="14"/>
          <w:color w:val="auto"/>
        </w:rPr>
        <w:t xml:space="preserve"> </w:t>
      </w:r>
      <w:r>
        <w:rPr>
          <w:rFonts w:ascii="Arial" w:cs="Arial" w:eastAsia="Arial" w:hAnsi="Arial"/>
          <w:sz w:val="14"/>
          <w:szCs w:val="14"/>
          <w:i w:val="1"/>
          <w:iCs w:val="1"/>
          <w:color w:val="auto"/>
        </w:rPr>
        <w:t>own common stock, in which case you may be required to pay tax in excess of the cash you receive.</w:t>
      </w:r>
      <w:r>
        <w:rPr>
          <w:rFonts w:ascii="Arial" w:cs="Arial" w:eastAsia="Arial" w:hAnsi="Arial"/>
          <w:sz w:val="14"/>
          <w:szCs w:val="14"/>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123"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Furthermore, we may invest in non-U.S. corporations (or other non-U.S. entities treated as corporations for U.S. federal income tax purposes) that could be treated under the Code and U.S. Treasury regulations as “passive foreign investment companies” and/or “controlled foreign corporations.” The rules relating to investment in these types of non-U.S. entities are designed to ensure that U.S. taxpayers are either, in effect, taxed currently (or on an accelerated basis with respect to corporate-level events) or taxed at increased tax rates at distribution or disposition. In certain circumstances this could require us to recognize income where we do not receive a corresponding payment in cash.</w:t>
      </w:r>
    </w:p>
    <w:p>
      <w:pPr>
        <w:spacing w:after="0" w:line="121"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Unrealized appreciation on derivatives, such as foreign currency forward contracts, may be included in taxable income while the receipt of cash may occur in a subsequent period when the related contract expires. Any unrealized depreciation on investments that the foreign currency forward contracts are designed to hedge are not currently deductible for tax purposes. This can result in increased taxable income whereby we may not have sufficient cash to pay distributions or we may opt to retain such taxable income and pay a 4% excise tax. In such cases we could still rely upon the “spillback provisions” to maintain RIC tax treatment.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a portion of our income may constitute original issue discount or other income required to be included in taxable income prior to receipt of cash.</w:t>
      </w:r>
    </w:p>
    <w:p>
      <w:pPr>
        <w:spacing w:after="0" w:line="124"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Further, we may elect to accrue market discount with respect to debt securities acquired in the secondary market and include such amounts in our taxable income in the current year, instead of upon disposition, as an election not to do so would limit our ability to deduct interest expenses for tax purposes. Because any original issue discount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qualify for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or maintain RIC tax treatment and thus become subject to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choose to pay dividends in our own common stock, in which case you may be required to pay tax in excess of the cash you receive.</w:t>
      </w:r>
    </w:p>
    <w:p>
      <w:pPr>
        <w:spacing w:after="0" w:line="12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3"/>
          <w:szCs w:val="13"/>
          <w:color w:val="auto"/>
        </w:rPr>
        <w:t>We may distribute taxable dividends that are payable in part in our common stock. In accordance with certain applicable U.S. Department of Treasury regulations and published guidance issued by the Internal Revenue Service, a publicly offered RIC may treat a distribution of its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or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 stockholders may be subject to withholding of U.S. federal income tax on distributions we pay.</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Distributions of our “investment company taxable income” to a non-U.S. stockholder that are not effectively connected with the non-U.S. stockholder’s conduct of a trade or business within the United States will generally be subject to withholding of U.S. federal income tax at a 30% rate (or lower rate provided by an applicable income tax treaty) to the extent of our current or accumulated earnings and profits.</w:t>
      </w:r>
    </w:p>
    <w:p>
      <w:pPr>
        <w:spacing w:after="0" w:line="1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Certain properly reported distributions are generally exempt from withholding of U.S. federal income tax where they are paid in respect of our (i) “qualified net interest income” (generally, our U.S.-source interest income, other than certain contingent interest and interest from obligations of a corporation or partnership in which we or the non-U.S. stockholder are at least a 10% stockholder, reduced by expenses that are allocable to such income) or (ii) “qualified short-term gains” (generally, the excess of our net short-term capital gain over our net long-term capital loss for such taxable year), and certain other requirements are satisfied.</w:t>
      </w:r>
    </w:p>
    <w:p>
      <w:pPr>
        <w:spacing w:after="0" w:line="113"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b w:val="1"/>
          <w:bCs w:val="1"/>
          <w:color w:val="auto"/>
        </w:rPr>
        <w:t>NO ASSURANCE CAN BE GIVEN AS TO WHETHER ANY OF OUR DISTRIBUTIONS WILL BE ELIGIBLE FOR THIS EXEMPTION FROM WITHHOLDING OF U.S. FEDERAL INCOME TAX OR, IF ELIGIBLE, WILL BE REPORTED AS SUCH BY US. IN PARTICULAR, THIS EXEMPTION WILL NOT APPLY TO OUR DISTRIBUTIONS PAID IN RESPECT OF OUR NON-U.S. SOURCE INTEREST INCOME OR OUR DISTRIBUTION INCOME (OR ANY OTHER TYPE OF INCOME OTHER THAN GENERALLY OUR NON-CONTINGENT U.S. SOURCE INTEREST INCOME RECEIVED FROM UNRELATED OBLIGORS AND OUR QUALIFIED SHORT-TERM CAPITAL GAINS). IN THE CASE OF OUR COMMON STOCK HELD THROUGH AN INTERMEDIARY, THE INTERMEDIARY MAY WITHHOLD U.S. FEDERAL INCOME TAX EVEN IF WE REPORT THE PAYMENT AS QUALIFIED NET INTEREST INCOME OR QUALIFIED SHORT-TERM CAPITAL GAIN.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other actions relating to taxes could have a negative effect on us.</w:t>
      </w:r>
    </w:p>
    <w:p>
      <w:pPr>
        <w:spacing w:after="0" w:line="123"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The rules dealing with U.S. federal income taxation are constantly under review by persons involved in the legislative process and by the IRS and the U.S. Treasury Department. New legislation and any U.S. Treasury regulations, administrative interpretations or court decisions interpreting such legislation could significantly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6" w:name="page47"/>
    <w:bookmarkEnd w:id="46"/>
    <w:p>
      <w:pPr>
        <w:jc w:val="both"/>
        <w:spacing w:after="0" w:line="238" w:lineRule="auto"/>
        <w:rPr>
          <w:sz w:val="20"/>
          <w:szCs w:val="20"/>
          <w:color w:val="auto"/>
        </w:rPr>
      </w:pPr>
      <w:r>
        <w:rPr>
          <w:rFonts w:ascii="Arial" w:cs="Arial" w:eastAsia="Arial" w:hAnsi="Arial"/>
          <w:sz w:val="14"/>
          <w:szCs w:val="14"/>
          <w:color w:val="auto"/>
        </w:rPr>
        <w:t>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have broad discretion over the use of proceeds of any successful offering of securities.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w:t>
      </w:r>
    </w:p>
    <w:p>
      <w:pPr>
        <w:spacing w:after="0" w:line="1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addition, we can provide you no assurance that any offering will be successful, or that by increasing the size of our available equity capital, our aggregate expenses, and correspondingly, our expense ratio, will be lowered. Delays in investing the net proceeds raised in an offering of our securities may impair our performance. We cannot assure you that we will be able to identify any investments that meet our investment objective or that any investment that we make will produce a positive return. We may be unable to invest the net proceeds of any offering on acceptable terms within the time period that we anticipate or at all, which could adversely affect our financial condition and operating results.</w:t>
      </w:r>
    </w:p>
    <w:p>
      <w:pPr>
        <w:spacing w:after="0" w:line="1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Even if we are able to raise significant proceeds, we will not be permitted to use such proceeds to co-invest with certain entities affiliated with the Investment Adviser in transactions originated by the Investment Adviser or their respective affiliates except pursuant to the exemptive order granted by the SEC or co-invest alongside the Investment Adviser or its respective affiliates in accordance with existing regulatory guidance. However, we will be permitted to and may co-invest in syndicated deals and secondary loan market transactions where price is the only negotiated point. Before making investments, we will invest the net proceeds of this offering primarily in cash, cash equivalents, U.S. government securities, repurchase agreements and high-quality debt instruments maturing in one year or less from the time of investment, which may produce returns that are significantly lower than the returns that we expect to achieve when our portfolio is fully invested in securities meeting our investment objective. As a result, any distributions that we pay while our portfolio is not fully invested in securities meeting our investment objective may be lower than the distributions that we may be able to pay when our portfolio is fully invested in securities meeting our investment objective.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stockholder’s interest in us will be diluted if we issue additional shares of common stock, which could reduce the overall value of an investment in us.</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Potential investors will not have preemptive rights to purchase any common stock we issue in the future. Our charter authorizes us to issue 100,000,000 shares of common stock. Pursuant to our charter, a majority of our entire Board may amend our charter to increase or decrease the number of authorized shares of common stock without stockholder approval. We intend to sell additional shares of common stock from time to time. To the extent that we issue additional shares of common stock at or below net asset value after an investor purchases shares of our common stock, an investor’s percentage ownership interest in us will be diluted. In addition, depending upon the terms and pricing of any additional offerings and the value of our investments, an investor may also experience dilution in the book value and fair value of his or her shares of common stock.</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have adopted a dividend reinvestment plan pursuant to which we reinvest all cash distributions declared by the Board on behalf of investors who do not elect to receive their distributions in cash. As a result, if the Board declares a cash distribution, then our stockholders who have not opted out of our dividend reinvestment plan will have their cash distributions automatically reinvested in additional shares of our common stock, rather than receiving the cash distribution. As a result, our stockholders that do not participate in our dividend reinvestment plan will experience dilution in their ownership percentage of our common stock over time.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Your interest in the Company may be diluted if you do not fully exercise your subscription rights in any rights offering.</w:t>
      </w:r>
    </w:p>
    <w:p>
      <w:pPr>
        <w:spacing w:after="0" w:line="136"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4"/>
          <w:szCs w:val="14"/>
          <w:color w:val="auto"/>
        </w:rPr>
        <w:t>In the event we issue subscription rights to purchase shares of our common stock, stockholders who do not fully exercise their rights should expect that they will, at the completion of the offer, own a smaller proportional interest in the Company than would otherwise be the case if they fully exercised their rights.</w:t>
      </w:r>
    </w:p>
    <w:p>
      <w:pPr>
        <w:jc w:val="both"/>
        <w:spacing w:after="0" w:line="237" w:lineRule="auto"/>
        <w:rPr>
          <w:sz w:val="20"/>
          <w:szCs w:val="20"/>
          <w:color w:val="auto"/>
        </w:rPr>
      </w:pPr>
      <w:r>
        <w:rPr>
          <w:rFonts w:ascii="Arial" w:cs="Arial" w:eastAsia="Arial" w:hAnsi="Arial"/>
          <w:sz w:val="14"/>
          <w:szCs w:val="14"/>
          <w:color w:val="auto"/>
        </w:rPr>
        <w:t>We cannot state precisely the amount of any such dilution in share ownership because we do not know at this time what proportion of the shares would be purchased as a result of a rights offering.</w:t>
      </w:r>
    </w:p>
    <w:p>
      <w:pPr>
        <w:spacing w:after="0" w:line="102"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159"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Under Maryland General Corporation Law (the “MGCL”)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the net asset value and market value of our common stock will likely become more volatile.</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7" w:name="page48"/>
    <w:bookmarkEnd w:id="47"/>
    <w:p>
      <w:pPr>
        <w:jc w:val="both"/>
        <w:spacing w:after="0" w:line="245" w:lineRule="auto"/>
        <w:rPr>
          <w:sz w:val="20"/>
          <w:szCs w:val="20"/>
          <w:color w:val="auto"/>
        </w:rPr>
      </w:pPr>
      <w:r>
        <w:rPr>
          <w:rFonts w:ascii="Arial" w:cs="Arial" w:eastAsia="Arial" w:hAnsi="Arial"/>
          <w:sz w:val="13"/>
          <w:szCs w:val="13"/>
          <w:color w:val="auto"/>
        </w:rPr>
        <w:t>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we might issue would have the right to elect members of our Board and class voting rights on certain matters.</w:t>
      </w:r>
    </w:p>
    <w:p>
      <w:pPr>
        <w:spacing w:after="0" w:line="123"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The Maryland General Corporation Law and our charter and bylaws contain provisions that may discourage, delay or make more difficult a change in control of the Company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Maryland Control Share Acquisition Act also may make it more difficult for a third-party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determines that it would be in our best interests.</w:t>
      </w:r>
    </w:p>
    <w:p>
      <w:pPr>
        <w:spacing w:after="0" w:line="12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common stock involves a high degree of risk.</w:t>
      </w:r>
    </w:p>
    <w:p>
      <w:pPr>
        <w:spacing w:after="0" w:line="13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investors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25" w:lineRule="exact"/>
        <w:rPr>
          <w:sz w:val="20"/>
          <w:szCs w:val="20"/>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investor demand for our shares;</w:t>
      </w:r>
    </w:p>
    <w:p>
      <w:pPr>
        <w:spacing w:after="0" w:line="68" w:lineRule="exact"/>
        <w:rPr>
          <w:rFonts w:ascii="Arial" w:cs="Arial" w:eastAsia="Arial" w:hAnsi="Arial"/>
          <w:sz w:val="14"/>
          <w:szCs w:val="14"/>
          <w:color w:val="auto"/>
        </w:rPr>
      </w:pPr>
    </w:p>
    <w:p>
      <w:pPr>
        <w:ind w:left="780" w:right="40" w:hanging="263"/>
        <w:spacing w:after="0" w:line="253" w:lineRule="auto"/>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in regulatory policies or tax guidelines with respect to RICs, BDCs or SBICs;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failure to qualify as a RIC, or the loss of RIC tax treatment;</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in accounting guidelines governing valuation of our investments;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or perceived changes, in the value of our portfolio investments;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departure of either of our adviser or certain of its respective key personnel;</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8" w:name="page49"/>
    <w:bookmarkEnd w:id="48"/>
    <w:p>
      <w:pPr>
        <w:ind w:left="780" w:hanging="263"/>
        <w:spacing w:after="0"/>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general economic conditions and trends and other external factors.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assure you that the market price of shares of our common stock will not decline.</w:t>
      </w:r>
    </w:p>
    <w:p>
      <w:pPr>
        <w:spacing w:after="0" w:line="136"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14"/>
          <w:szCs w:val="14"/>
          <w:color w:val="auto"/>
        </w:rPr>
        <w:t>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common stock in the public market may have an adverse effect on the market price of our common stock.</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have traded at a discount from net asset value and may do so in the future.</w:t>
      </w:r>
    </w:p>
    <w:p>
      <w:pPr>
        <w:spacing w:after="0" w:line="12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Shares of BDC’s have frequently traded at a market price that is less than the net asset value that is attributable to those shares. For example, as a result of the COVID-19 pandemic, the stocks of BDCs as an industry, including shares of our common stock, traded below their NAV, at or near historic lows as a result of concerns over liquidity, leverage restrictions and distribution requirements.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16"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p>
    <w:p>
      <w:pPr>
        <w:spacing w:after="0" w:line="8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0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6" w:lineRule="exact"/>
        <w:rPr>
          <w:sz w:val="20"/>
          <w:szCs w:val="20"/>
          <w:color w:val="auto"/>
        </w:rPr>
      </w:pPr>
    </w:p>
    <w:p>
      <w:pPr>
        <w:jc w:val="both"/>
        <w:ind w:right="20" w:firstLine="509"/>
        <w:spacing w:after="0" w:line="222" w:lineRule="auto"/>
        <w:rPr>
          <w:sz w:val="20"/>
          <w:szCs w:val="20"/>
          <w:color w:val="auto"/>
        </w:rPr>
      </w:pPr>
      <w:r>
        <w:rPr>
          <w:rFonts w:ascii="Arial" w:cs="Arial" w:eastAsia="Arial" w:hAnsi="Arial"/>
          <w:sz w:val="14"/>
          <w:szCs w:val="14"/>
          <w:color w:val="auto"/>
        </w:rPr>
        <w:t xml:space="preserve">Our corporate headquarters are located at 650 </w:t>
      </w:r>
      <w:r>
        <w:rPr>
          <w:rFonts w:ascii="Arial" w:cs="Arial" w:eastAsia="Arial" w:hAnsi="Arial"/>
          <w:sz w:val="14"/>
          <w:szCs w:val="14"/>
          <w:color w:val="231F20"/>
        </w:rPr>
        <w:t>Madison Avenue</w:t>
      </w:r>
      <w:r>
        <w:rPr>
          <w:rFonts w:ascii="Arial" w:cs="Arial" w:eastAsia="Arial" w:hAnsi="Arial"/>
          <w:sz w:val="14"/>
          <w:szCs w:val="14"/>
          <w:color w:val="auto"/>
        </w:rPr>
        <w:t xml:space="preserve">, </w:t>
      </w:r>
      <w:r>
        <w:rPr>
          <w:rFonts w:ascii="Arial" w:cs="Arial" w:eastAsia="Arial" w:hAnsi="Arial"/>
          <w:sz w:val="14"/>
          <w:szCs w:val="14"/>
          <w:color w:val="231F20"/>
        </w:rPr>
        <w:t>23</w:t>
      </w:r>
      <w:r>
        <w:rPr>
          <w:rFonts w:ascii="Arial" w:cs="Arial" w:eastAsia="Arial" w:hAnsi="Arial"/>
          <w:sz w:val="19"/>
          <w:szCs w:val="19"/>
          <w:color w:val="231F20"/>
          <w:vertAlign w:val="superscript"/>
        </w:rPr>
        <w:t>rd</w:t>
      </w:r>
      <w:r>
        <w:rPr>
          <w:rFonts w:ascii="Arial" w:cs="Arial" w:eastAsia="Arial" w:hAnsi="Arial"/>
          <w:sz w:val="14"/>
          <w:szCs w:val="14"/>
          <w:color w:val="auto"/>
        </w:rPr>
        <w:t xml:space="preserve"> </w:t>
      </w:r>
      <w:r>
        <w:rPr>
          <w:rFonts w:ascii="Arial" w:cs="Arial" w:eastAsia="Arial" w:hAnsi="Arial"/>
          <w:sz w:val="14"/>
          <w:szCs w:val="14"/>
          <w:color w:val="231F20"/>
        </w:rPr>
        <w:t>Floor</w:t>
      </w:r>
      <w:r>
        <w:rPr>
          <w:rFonts w:ascii="Arial" w:cs="Arial" w:eastAsia="Arial" w:hAnsi="Arial"/>
          <w:sz w:val="14"/>
          <w:szCs w:val="14"/>
          <w:color w:val="auto"/>
        </w:rPr>
        <w:t xml:space="preserve">, </w:t>
      </w:r>
      <w:r>
        <w:rPr>
          <w:rFonts w:ascii="Arial" w:cs="Arial" w:eastAsia="Arial" w:hAnsi="Arial"/>
          <w:sz w:val="14"/>
          <w:szCs w:val="14"/>
          <w:color w:val="231F20"/>
        </w:rPr>
        <w:t>New York</w:t>
      </w:r>
      <w:r>
        <w:rPr>
          <w:rFonts w:ascii="Arial" w:cs="Arial" w:eastAsia="Arial" w:hAnsi="Arial"/>
          <w:sz w:val="14"/>
          <w:szCs w:val="14"/>
          <w:color w:val="auto"/>
        </w:rPr>
        <w:t xml:space="preserve">, </w:t>
      </w:r>
      <w:r>
        <w:rPr>
          <w:rFonts w:ascii="Arial" w:cs="Arial" w:eastAsia="Arial" w:hAnsi="Arial"/>
          <w:sz w:val="14"/>
          <w:szCs w:val="14"/>
          <w:color w:val="231F20"/>
        </w:rPr>
        <w:t>New York</w:t>
      </w:r>
      <w:r>
        <w:rPr>
          <w:rFonts w:ascii="Arial" w:cs="Arial" w:eastAsia="Arial" w:hAnsi="Arial"/>
          <w:sz w:val="14"/>
          <w:szCs w:val="14"/>
          <w:color w:val="auto"/>
        </w:rPr>
        <w:t xml:space="preserve"> 10022, and are provided by our Administrator in accordance with the terms of the Administration Agreement. We believe that our office facilities are suitable and adequate for our business as it is contemplated to be conducted.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2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if any, cannot be predicted with certainty, we do not expect that these proceedings will have a material effect upon our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49" w:name="page50"/>
    <w:bookmarkEnd w:id="49"/>
    <w:p>
      <w:pPr>
        <w:ind w:left="5620"/>
        <w:spacing w:after="0"/>
        <w:rPr>
          <w:sz w:val="20"/>
          <w:szCs w:val="20"/>
          <w:color w:val="auto"/>
        </w:rPr>
      </w:pPr>
      <w:r>
        <w:rPr>
          <w:rFonts w:ascii="Arial" w:cs="Arial" w:eastAsia="Arial" w:hAnsi="Arial"/>
          <w:sz w:val="14"/>
          <w:szCs w:val="14"/>
          <w:b w:val="1"/>
          <w:bCs w:val="1"/>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Shares of our common stock are traded on the NASDAQ Global Select Market under the symbol “</w:t>
      </w:r>
      <w:r>
        <w:rPr>
          <w:rFonts w:ascii="Arial" w:cs="Arial" w:eastAsia="Arial" w:hAnsi="Arial"/>
          <w:sz w:val="14"/>
          <w:szCs w:val="14"/>
          <w:color w:val="231F20"/>
        </w:rPr>
        <w:t>LRFC</w:t>
      </w:r>
      <w:r>
        <w:rPr>
          <w:rFonts w:ascii="Arial" w:cs="Arial" w:eastAsia="Arial" w:hAnsi="Arial"/>
          <w:sz w:val="14"/>
          <w:szCs w:val="14"/>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last reported price for shares of our common stock on March 3, 2023 was $24.17 per share. As of March 3, 2023, there were 24 holders of record of shares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RANGE OF COMMON STOCK AND DISTRIBUTIONS</w:t>
      </w:r>
    </w:p>
    <w:p>
      <w:pPr>
        <w:spacing w:after="0" w:line="127" w:lineRule="exact"/>
        <w:rPr>
          <w:sz w:val="20"/>
          <w:szCs w:val="20"/>
          <w:color w:val="auto"/>
        </w:rPr>
      </w:pPr>
    </w:p>
    <w:p>
      <w:pPr>
        <w:ind w:firstLine="509"/>
        <w:spacing w:after="0" w:line="290" w:lineRule="auto"/>
        <w:rPr>
          <w:sz w:val="20"/>
          <w:szCs w:val="20"/>
          <w:color w:val="auto"/>
        </w:rPr>
      </w:pPr>
      <w:r>
        <w:rPr>
          <w:rFonts w:ascii="Arial" w:cs="Arial" w:eastAsia="Arial" w:hAnsi="Arial"/>
          <w:sz w:val="13"/>
          <w:szCs w:val="13"/>
          <w:color w:val="auto"/>
        </w:rPr>
        <w:t>The following table sets forth, for each fiscal quarter within the two most recent fiscal years, and the current fiscal quarter, the range of high and low intraday sales prices of our common stock as reported on the Nasdaq Global Select Market, the premium (discount) of sales price to our net asset value and the distributions declared by us for each fiscal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Premium or</w:t>
            </w: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Premium 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Sales Price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right"/>
              <w:ind w:right="320"/>
              <w:spacing w:after="0" w:line="145" w:lineRule="exact"/>
              <w:rPr>
                <w:sz w:val="20"/>
                <w:szCs w:val="20"/>
                <w:color w:val="auto"/>
              </w:rPr>
            </w:pPr>
            <w:r>
              <w:rPr>
                <w:rFonts w:ascii="Arial" w:cs="Arial" w:eastAsia="Arial" w:hAnsi="Arial"/>
                <w:sz w:val="14"/>
                <w:szCs w:val="14"/>
                <w:b w:val="1"/>
                <w:bCs w:val="1"/>
                <w:color w:val="auto"/>
              </w:rPr>
              <w:t>(Discount) of High</w:t>
            </w:r>
          </w:p>
        </w:tc>
        <w:tc>
          <w:tcPr>
            <w:tcW w:w="124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auto"/>
                <w:w w:val="93"/>
              </w:rPr>
              <w:t>(Discount) of Low</w:t>
            </w:r>
          </w:p>
        </w:tc>
        <w:tc>
          <w:tcPr>
            <w:tcW w:w="100" w:type="dxa"/>
            <w:vAlign w:val="bottom"/>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Distributions 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NAV Per Share</w:t>
            </w:r>
            <w:r>
              <w:rPr>
                <w:rFonts w:ascii="Arial" w:cs="Arial" w:eastAsia="Arial" w:hAnsi="Arial"/>
                <w:sz w:val="19"/>
                <w:szCs w:val="19"/>
                <w:b w:val="1"/>
                <w:bCs w:val="1"/>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4"/>
          </w:tcPr>
          <w:p>
            <w:pPr>
              <w:jc w:val="right"/>
              <w:spacing w:after="0" w:line="175" w:lineRule="exact"/>
              <w:rPr>
                <w:sz w:val="20"/>
                <w:szCs w:val="20"/>
                <w:color w:val="auto"/>
              </w:rPr>
            </w:pPr>
            <w:r>
              <w:rPr>
                <w:rFonts w:ascii="Arial" w:cs="Arial" w:eastAsia="Arial" w:hAnsi="Arial"/>
                <w:sz w:val="14"/>
                <w:szCs w:val="14"/>
                <w:b w:val="1"/>
                <w:bCs w:val="1"/>
                <w:color w:val="auto"/>
                <w:w w:val="92"/>
              </w:rPr>
              <w:t>Sales Price to NAV</w:t>
            </w:r>
            <w:r>
              <w:rPr>
                <w:rFonts w:ascii="Arial" w:cs="Arial" w:eastAsia="Arial" w:hAnsi="Arial"/>
                <w:sz w:val="19"/>
                <w:szCs w:val="19"/>
                <w:b w:val="1"/>
                <w:bCs w:val="1"/>
                <w:color w:val="auto"/>
                <w:w w:val="92"/>
                <w:vertAlign w:val="superscript"/>
              </w:rPr>
              <w:t>(2)</w:t>
            </w:r>
            <w:r>
              <w:rPr>
                <w:rFonts w:ascii="Arial" w:cs="Arial" w:eastAsia="Arial" w:hAnsi="Arial"/>
                <w:sz w:val="14"/>
                <w:szCs w:val="14"/>
                <w:b w:val="1"/>
                <w:bCs w:val="1"/>
                <w:color w:val="auto"/>
                <w:w w:val="92"/>
              </w:rPr>
              <w:t xml:space="preserve">    Sales Price to NAV</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48"/>
              <w:spacing w:after="0" w:line="175" w:lineRule="exact"/>
              <w:rPr>
                <w:sz w:val="20"/>
                <w:szCs w:val="20"/>
                <w:color w:val="auto"/>
              </w:rPr>
            </w:pPr>
            <w:r>
              <w:rPr>
                <w:rFonts w:ascii="Arial" w:cs="Arial" w:eastAsia="Arial" w:hAnsi="Arial"/>
                <w:sz w:val="14"/>
                <w:szCs w:val="14"/>
                <w:b w:val="1"/>
                <w:bCs w:val="1"/>
                <w:color w:val="auto"/>
                <w:w w:val="84"/>
              </w:rPr>
              <w:t>Share</w:t>
            </w:r>
            <w:r>
              <w:rPr>
                <w:rFonts w:ascii="Arial" w:cs="Arial" w:eastAsia="Arial" w:hAnsi="Arial"/>
                <w:sz w:val="19"/>
                <w:szCs w:val="19"/>
                <w:b w:val="1"/>
                <w:bCs w:val="1"/>
                <w:color w:val="auto"/>
                <w:w w:val="84"/>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tcBorders>
              <w:top w:val="single" w:sz="8" w:color="auto"/>
            </w:tcBorders>
            <w:shd w:val="clear" w:color="auto" w:fill="CFF0FC"/>
          </w:tcPr>
          <w:p>
            <w:pPr>
              <w:ind w:left="1480"/>
              <w:spacing w:after="0"/>
              <w:rPr>
                <w:sz w:val="20"/>
                <w:szCs w:val="20"/>
                <w:color w:val="auto"/>
              </w:rPr>
            </w:pPr>
            <w:r>
              <w:rPr>
                <w:rFonts w:ascii="Arial" w:cs="Arial" w:eastAsia="Arial" w:hAnsi="Arial"/>
                <w:sz w:val="14"/>
                <w:szCs w:val="14"/>
                <w:b w:val="1"/>
                <w:bCs w:val="1"/>
                <w:color w:val="auto"/>
                <w:w w:val="91"/>
              </w:rPr>
              <w:t>December 31, 2023</w:t>
            </w:r>
          </w:p>
        </w:tc>
        <w:tc>
          <w:tcPr>
            <w:tcW w:w="10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rPr>
              <w:t>First Quarter (through March 3, 2023)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20"/>
              <w:spacing w:after="0"/>
              <w:rPr>
                <w:sz w:val="20"/>
                <w:szCs w:val="20"/>
                <w:color w:val="auto"/>
              </w:rPr>
            </w:pPr>
            <w:r>
              <w:rPr>
                <w:rFonts w:ascii="Arial" w:cs="Arial" w:eastAsia="Arial" w:hAnsi="Arial"/>
                <w:sz w:val="14"/>
                <w:szCs w:val="14"/>
                <w:color w:val="auto"/>
                <w:w w:val="91"/>
              </w:rPr>
              <w:t>24.50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21.62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148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Fourth Quarter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35.04</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20"/>
              <w:spacing w:after="0"/>
              <w:rPr>
                <w:sz w:val="20"/>
                <w:szCs w:val="20"/>
                <w:color w:val="auto"/>
              </w:rPr>
            </w:pPr>
            <w:r>
              <w:rPr>
                <w:rFonts w:ascii="Arial" w:cs="Arial" w:eastAsia="Arial" w:hAnsi="Arial"/>
                <w:sz w:val="14"/>
                <w:szCs w:val="14"/>
                <w:color w:val="auto"/>
                <w:w w:val="91"/>
              </w:rPr>
              <w:t>22.75</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17.61</w:t>
            </w: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(35.1 )%</w:t>
            </w:r>
          </w:p>
        </w:tc>
        <w:tc>
          <w:tcPr>
            <w:tcW w:w="1560" w:type="dxa"/>
            <w:vAlign w:val="bottom"/>
            <w:gridSpan w:val="3"/>
          </w:tcPr>
          <w:p>
            <w:pPr>
              <w:jc w:val="right"/>
              <w:ind w:right="48"/>
              <w:spacing w:after="0"/>
              <w:rPr>
                <w:sz w:val="20"/>
                <w:szCs w:val="20"/>
                <w:color w:val="auto"/>
              </w:rPr>
            </w:pPr>
            <w:r>
              <w:rPr>
                <w:rFonts w:ascii="Arial" w:cs="Arial" w:eastAsia="Arial" w:hAnsi="Arial"/>
                <w:sz w:val="14"/>
                <w:szCs w:val="14"/>
                <w:color w:val="auto"/>
              </w:rPr>
              <w:t>(49.7 )%$</w:t>
            </w: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Third Quarter</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1"/>
              </w:rPr>
              <w:t>21.04</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14.85</w:t>
            </w: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(41.9 )%</w:t>
            </w:r>
          </w:p>
        </w:tc>
        <w:tc>
          <w:tcPr>
            <w:tcW w:w="1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(59.0 )%$</w:t>
            </w: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color w:val="auto"/>
              </w:rPr>
              <w:t>Second Quarter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37.31</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20"/>
              <w:spacing w:after="0"/>
              <w:rPr>
                <w:sz w:val="20"/>
                <w:szCs w:val="20"/>
                <w:color w:val="auto"/>
              </w:rPr>
            </w:pPr>
            <w:r>
              <w:rPr>
                <w:rFonts w:ascii="Arial" w:cs="Arial" w:eastAsia="Arial" w:hAnsi="Arial"/>
                <w:sz w:val="14"/>
                <w:szCs w:val="14"/>
                <w:color w:val="auto"/>
                <w:w w:val="91"/>
              </w:rPr>
              <w:t>23.05</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14.43</w:t>
            </w: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(38.2 )%</w:t>
            </w:r>
          </w:p>
        </w:tc>
        <w:tc>
          <w:tcPr>
            <w:tcW w:w="1560" w:type="dxa"/>
            <w:vAlign w:val="bottom"/>
            <w:gridSpan w:val="3"/>
          </w:tcPr>
          <w:p>
            <w:pPr>
              <w:jc w:val="right"/>
              <w:ind w:right="48"/>
              <w:spacing w:after="0"/>
              <w:rPr>
                <w:sz w:val="20"/>
                <w:szCs w:val="20"/>
                <w:color w:val="auto"/>
              </w:rPr>
            </w:pPr>
            <w:r>
              <w:rPr>
                <w:rFonts w:ascii="Arial" w:cs="Arial" w:eastAsia="Arial" w:hAnsi="Arial"/>
                <w:sz w:val="14"/>
                <w:szCs w:val="14"/>
                <w:color w:val="auto"/>
              </w:rPr>
              <w:t>(61.3 )%$</w:t>
            </w: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Quarter</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1"/>
              </w:rPr>
              <w:t>26.48</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w:t>
            </w: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(32.4 )%</w:t>
            </w:r>
          </w:p>
        </w:tc>
        <w:tc>
          <w:tcPr>
            <w:tcW w:w="1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(44.8 )%$</w:t>
            </w: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480"/>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Fourth Quarter</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1"/>
              </w:rPr>
              <w:t>26.50</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w:t>
            </w: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(32.9 )%</w:t>
            </w:r>
          </w:p>
        </w:tc>
        <w:tc>
          <w:tcPr>
            <w:tcW w:w="1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(46.9 )%$</w:t>
            </w: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4"/>
                <w:szCs w:val="14"/>
                <w:color w:val="auto"/>
              </w:rPr>
              <w:t>Third Quarter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40.67</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20"/>
              <w:spacing w:after="0"/>
              <w:rPr>
                <w:sz w:val="20"/>
                <w:szCs w:val="20"/>
                <w:color w:val="auto"/>
              </w:rPr>
            </w:pPr>
            <w:r>
              <w:rPr>
                <w:rFonts w:ascii="Arial" w:cs="Arial" w:eastAsia="Arial" w:hAnsi="Arial"/>
                <w:sz w:val="14"/>
                <w:szCs w:val="14"/>
                <w:color w:val="auto"/>
                <w:w w:val="91"/>
              </w:rPr>
              <w:t>28.90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24.50</w:t>
            </w: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(28.9 )%</w:t>
            </w:r>
          </w:p>
        </w:tc>
        <w:tc>
          <w:tcPr>
            <w:tcW w:w="1560" w:type="dxa"/>
            <w:vAlign w:val="bottom"/>
            <w:gridSpan w:val="3"/>
          </w:tcPr>
          <w:p>
            <w:pPr>
              <w:jc w:val="right"/>
              <w:ind w:right="48"/>
              <w:spacing w:after="0"/>
              <w:rPr>
                <w:sz w:val="20"/>
                <w:szCs w:val="20"/>
                <w:color w:val="auto"/>
              </w:rPr>
            </w:pPr>
            <w:r>
              <w:rPr>
                <w:rFonts w:ascii="Arial" w:cs="Arial" w:eastAsia="Arial" w:hAnsi="Arial"/>
                <w:sz w:val="14"/>
                <w:szCs w:val="14"/>
                <w:color w:val="auto"/>
              </w:rPr>
              <w:t>(39.8 )%$</w:t>
            </w: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Quarter</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ind w:left="720"/>
              <w:spacing w:after="0"/>
              <w:rPr>
                <w:sz w:val="20"/>
                <w:szCs w:val="20"/>
                <w:color w:val="auto"/>
              </w:rPr>
            </w:pPr>
            <w:r>
              <w:rPr>
                <w:rFonts w:ascii="Arial" w:cs="Arial" w:eastAsia="Arial" w:hAnsi="Arial"/>
                <w:sz w:val="14"/>
                <w:szCs w:val="14"/>
                <w:color w:val="auto"/>
                <w:w w:val="91"/>
              </w:rPr>
              <w:t>26.77</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15.22</w:t>
            </w: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(36.2 )%</w:t>
            </w:r>
          </w:p>
        </w:tc>
        <w:tc>
          <w:tcPr>
            <w:tcW w:w="1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(63.7 )%$</w:t>
            </w:r>
          </w:p>
        </w:tc>
        <w:tc>
          <w:tcPr>
            <w:tcW w:w="1040" w:type="dxa"/>
            <w:vAlign w:val="bottom"/>
            <w:shd w:val="clear" w:color="auto" w:fill="CFF0FC"/>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rPr>
                <w:sz w:val="20"/>
                <w:szCs w:val="20"/>
                <w:color w:val="auto"/>
              </w:rPr>
            </w:pPr>
            <w:r>
              <w:rPr>
                <w:rFonts w:ascii="Arial" w:cs="Arial" w:eastAsia="Arial" w:hAnsi="Arial"/>
                <w:sz w:val="14"/>
                <w:szCs w:val="14"/>
                <w:color w:val="auto"/>
              </w:rPr>
              <w:t>First Quarter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44.74</w:t>
            </w:r>
          </w:p>
        </w:tc>
        <w:tc>
          <w:tcPr>
            <w:tcW w:w="16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20"/>
              <w:spacing w:after="0"/>
              <w:rPr>
                <w:sz w:val="20"/>
                <w:szCs w:val="20"/>
                <w:color w:val="auto"/>
              </w:rPr>
            </w:pPr>
            <w:r>
              <w:rPr>
                <w:rFonts w:ascii="Arial" w:cs="Arial" w:eastAsia="Arial" w:hAnsi="Arial"/>
                <w:sz w:val="14"/>
                <w:szCs w:val="14"/>
                <w:color w:val="auto"/>
                <w:w w:val="91"/>
              </w:rPr>
              <w:t>17.24</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14.04</w:t>
            </w: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(61.5 )%</w:t>
            </w:r>
          </w:p>
        </w:tc>
        <w:tc>
          <w:tcPr>
            <w:tcW w:w="1560" w:type="dxa"/>
            <w:vAlign w:val="bottom"/>
            <w:gridSpan w:val="3"/>
          </w:tcPr>
          <w:p>
            <w:pPr>
              <w:jc w:val="right"/>
              <w:ind w:right="48"/>
              <w:spacing w:after="0"/>
              <w:rPr>
                <w:sz w:val="20"/>
                <w:szCs w:val="20"/>
                <w:color w:val="auto"/>
              </w:rPr>
            </w:pPr>
            <w:r>
              <w:rPr>
                <w:rFonts w:ascii="Arial" w:cs="Arial" w:eastAsia="Arial" w:hAnsi="Arial"/>
                <w:sz w:val="14"/>
                <w:szCs w:val="14"/>
                <w:color w:val="auto"/>
              </w:rPr>
              <w:t>(68.6 )%$</w:t>
            </w:r>
          </w:p>
        </w:tc>
        <w:tc>
          <w:tcPr>
            <w:tcW w:w="1040" w:type="dxa"/>
            <w:vAlign w:val="bottom"/>
          </w:tcPr>
          <w:p>
            <w:pPr>
              <w:ind w:left="8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9512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48" w:lineRule="exact"/>
        <w:rPr>
          <w:sz w:val="20"/>
          <w:szCs w:val="20"/>
          <w:color w:val="auto"/>
        </w:rPr>
      </w:pPr>
    </w:p>
    <w:p>
      <w:pPr>
        <w:ind w:left="520" w:hanging="512"/>
        <w:spacing w:after="0" w:line="208" w:lineRule="auto"/>
        <w:tabs>
          <w:tab w:leader="none" w:pos="520" w:val="left"/>
        </w:tabs>
        <w:numPr>
          <w:ilvl w:val="0"/>
          <w:numId w:val="51"/>
        </w:numPr>
        <w:rPr>
          <w:rFonts w:ascii="Arial" w:cs="Arial" w:eastAsia="Arial" w:hAnsi="Arial"/>
          <w:sz w:val="16"/>
          <w:szCs w:val="16"/>
          <w:b w:val="1"/>
          <w:bCs w:val="1"/>
          <w:color w:val="auto"/>
          <w:vertAlign w:val="superscript"/>
        </w:rPr>
      </w:pPr>
      <w:r>
        <w:rPr>
          <w:rFonts w:ascii="Arial" w:cs="Arial" w:eastAsia="Arial" w:hAnsi="Arial"/>
          <w:sz w:val="12"/>
          <w:szCs w:val="12"/>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520" w:hanging="512"/>
        <w:spacing w:after="0" w:line="187" w:lineRule="auto"/>
        <w:tabs>
          <w:tab w:leader="none" w:pos="520" w:val="left"/>
        </w:tabs>
        <w:numPr>
          <w:ilvl w:val="0"/>
          <w:numId w:val="51"/>
        </w:numPr>
        <w:rPr>
          <w:rFonts w:ascii="Arial" w:cs="Arial" w:eastAsia="Arial" w:hAnsi="Arial"/>
          <w:sz w:val="15"/>
          <w:szCs w:val="15"/>
          <w:b w:val="1"/>
          <w:bCs w:val="1"/>
          <w:color w:val="auto"/>
          <w:vertAlign w:val="superscript"/>
        </w:rPr>
      </w:pPr>
      <w:r>
        <w:rPr>
          <w:rFonts w:ascii="Arial" w:cs="Arial" w:eastAsia="Arial" w:hAnsi="Arial"/>
          <w:sz w:val="11"/>
          <w:szCs w:val="11"/>
          <w:color w:val="auto"/>
        </w:rPr>
        <w:t>Calculated as of the respective high or low intraday sales price divided by the quarter end NAV and subtracting 1.</w:t>
      </w:r>
    </w:p>
    <w:p>
      <w:pPr>
        <w:ind w:left="520" w:hanging="512"/>
        <w:spacing w:after="0" w:line="187" w:lineRule="auto"/>
        <w:tabs>
          <w:tab w:leader="none" w:pos="520" w:val="left"/>
        </w:tabs>
        <w:numPr>
          <w:ilvl w:val="0"/>
          <w:numId w:val="51"/>
        </w:numPr>
        <w:rPr>
          <w:rFonts w:ascii="Arial" w:cs="Arial" w:eastAsia="Arial" w:hAnsi="Arial"/>
          <w:sz w:val="15"/>
          <w:szCs w:val="15"/>
          <w:b w:val="1"/>
          <w:bCs w:val="1"/>
          <w:color w:val="auto"/>
          <w:vertAlign w:val="superscript"/>
        </w:rPr>
      </w:pPr>
      <w:r>
        <w:rPr>
          <w:rFonts w:ascii="Arial" w:cs="Arial" w:eastAsia="Arial" w:hAnsi="Arial"/>
          <w:sz w:val="11"/>
          <w:szCs w:val="11"/>
          <w:color w:val="auto"/>
        </w:rPr>
        <w:t>Unless otherwise noted, represents the distribution paid or to be paid in the specified quarter. See “Distributions” for detail related to tax characteristics of distributions paid.</w:t>
      </w:r>
    </w:p>
    <w:p>
      <w:pPr>
        <w:spacing w:after="0" w:line="1"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Not determinable at the time of filing</w:t>
      </w:r>
    </w:p>
    <w:p>
      <w:pPr>
        <w:spacing w:after="0" w:line="109"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2"/>
          <w:szCs w:val="12"/>
          <w:color w:val="auto"/>
        </w:rPr>
        <w:t>Shares of BDCs may trade at a market price that is less than the value of the net assets attributable to those shares. The possibility that our shares of common stock will trade at a discount from NAV or at premiums that are unsustainable over the long term are separate and distinct from the risk that our NAV will decrease. Since our initial public offering on September 25, 2013, our shares of common stock have traded at times at both a discount and a premium to the net assets attributable to those shares. As of March 3, 2023, shares of our common stock traded at a discount of approximately 69.0% of the NAV attributable to those shares as of December 31, 2022. It is not possible to predict whether shares of our common stock will trade at, above, or below NAV.</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In order to qualify as a RIC and to avoid corporate-level U.S. federal income tax on the income we timely distribute to our stockholders, we are required to distribute at least 90% of our ordinary income and our net short-term capital gains in excess of net long-term capital losses, if any, to our stockholders on an annual basis. Additionally, we must distribute an amount at least equal to the sum of 98% of our ordinary income (during the calendar year) plus 98.2% of our capital gain net income (during each 12-month period ending on October 31) plus any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any distributions during the years ended December 31, 2022 and 2021.</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14"/>
          <w:szCs w:val="14"/>
          <w:color w:val="auto"/>
        </w:rPr>
        <w:t>U.S. federal, state and local taxes in the same manner as cash distributions, stockholders participating in our DRIP will not receive any corresponding cash distributions with which to pay any such applicable taxes.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2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following graph compares the cumulative return on shares of our common stock with that of the Standard &amp; Poor’s 500 Stock Index and the NASDAQ Financial 100 index, as we do not believe there is an appropriate index of companies with an investment strategy similar to our own with which to compare the return on shares of our common stock, for the period from December 31, 2017 through December 31, 2022. The graph assumes that on December 31, 2017, a person invested $100 in each share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81280</wp:posOffset>
            </wp:positionV>
            <wp:extent cx="6172200" cy="2708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EXPENSES</w:t>
      </w:r>
    </w:p>
    <w:p>
      <w:pPr>
        <w:spacing w:after="0" w:line="14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“you”, “</w:t>
      </w:r>
      <w:r>
        <w:rPr>
          <w:rFonts w:ascii="Arial" w:cs="Arial" w:eastAsia="Arial" w:hAnsi="Arial"/>
          <w:sz w:val="13"/>
          <w:szCs w:val="13"/>
          <w:color w:val="231F20"/>
        </w:rPr>
        <w:t>Logan Ridge</w:t>
      </w:r>
      <w:r>
        <w:rPr>
          <w:rFonts w:ascii="Arial" w:cs="Arial" w:eastAsia="Arial" w:hAnsi="Arial"/>
          <w:sz w:val="13"/>
          <w:szCs w:val="13"/>
          <w:color w:val="auto"/>
        </w:rPr>
        <w:t>”, or “us” or that “we” or “</w:t>
      </w:r>
      <w:r>
        <w:rPr>
          <w:rFonts w:ascii="Arial" w:cs="Arial" w:eastAsia="Arial" w:hAnsi="Arial"/>
          <w:sz w:val="13"/>
          <w:szCs w:val="13"/>
          <w:color w:val="231F20"/>
        </w:rPr>
        <w:t>Logan Ridge</w:t>
      </w:r>
      <w:r>
        <w:rPr>
          <w:rFonts w:ascii="Arial" w:cs="Arial" w:eastAsia="Arial" w:hAnsi="Arial"/>
          <w:sz w:val="13"/>
          <w:szCs w:val="13"/>
          <w:color w:val="auto"/>
        </w:rPr>
        <w:t xml:space="preserve">” will pay fees or expenses, </w:t>
      </w:r>
      <w:r>
        <w:rPr>
          <w:rFonts w:ascii="Arial" w:cs="Arial" w:eastAsia="Arial" w:hAnsi="Arial"/>
          <w:sz w:val="13"/>
          <w:szCs w:val="13"/>
          <w:color w:val="231F20"/>
        </w:rPr>
        <w:t>Logan Ridge</w:t>
      </w:r>
      <w:r>
        <w:rPr>
          <w:rFonts w:ascii="Arial" w:cs="Arial" w:eastAsia="Arial" w:hAnsi="Arial"/>
          <w:sz w:val="13"/>
          <w:szCs w:val="13"/>
          <w:color w:val="auto"/>
        </w:rPr>
        <w:t xml:space="preserve"> will pay such fees and expenses out of our net assets and, consequently, you will indirectly bear such fees or expenses as an investor in </w:t>
      </w:r>
      <w:r>
        <w:rPr>
          <w:rFonts w:ascii="Arial" w:cs="Arial" w:eastAsia="Arial" w:hAnsi="Arial"/>
          <w:sz w:val="13"/>
          <w:szCs w:val="13"/>
          <w:color w:val="231F20"/>
        </w:rPr>
        <w:t>Logan Ridge</w:t>
      </w:r>
      <w:r>
        <w:rPr>
          <w:rFonts w:ascii="Arial" w:cs="Arial" w:eastAsia="Arial" w:hAnsi="Arial"/>
          <w:sz w:val="13"/>
          <w:szCs w:val="13"/>
          <w:color w:val="auto"/>
        </w:rPr>
        <w:t>. However, you will not be required to deliver any money or otherwise bear personal liability or responsibility for such fees or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 transaction expenses:</w:t>
            </w:r>
          </w:p>
        </w:tc>
        <w:tc>
          <w:tcPr>
            <w:tcW w:w="3520" w:type="dxa"/>
            <w:vAlign w:val="bottom"/>
            <w:shd w:val="clear" w:color="auto" w:fill="CFF0FC"/>
          </w:tcPr>
          <w:p>
            <w:pPr>
              <w:spacing w:after="0"/>
              <w:rPr>
                <w:sz w:val="15"/>
                <w:szCs w:val="15"/>
                <w:color w:val="auto"/>
              </w:rPr>
            </w:pP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Sales load (as a percentage of offering price)</w:t>
            </w:r>
          </w:p>
        </w:tc>
        <w:tc>
          <w:tcPr>
            <w:tcW w:w="3520" w:type="dxa"/>
            <w:vAlign w:val="bottom"/>
          </w:tcPr>
          <w:p>
            <w:pPr>
              <w:jc w:val="right"/>
              <w:spacing w:after="0" w:line="175" w:lineRule="exact"/>
              <w:rPr>
                <w:sz w:val="20"/>
                <w:szCs w:val="20"/>
                <w:color w:val="auto"/>
              </w:rPr>
            </w:pPr>
            <w:r>
              <w:rPr>
                <w:rFonts w:ascii="Arial" w:cs="Arial" w:eastAsia="Arial" w:hAnsi="Arial"/>
                <w:sz w:val="14"/>
                <w:szCs w:val="14"/>
                <w:color w:val="auto"/>
              </w:rPr>
              <w:t>N/A</w:t>
            </w:r>
            <w:r>
              <w:rPr>
                <w:rFonts w:ascii="Arial" w:cs="Arial" w:eastAsia="Arial" w:hAnsi="Arial"/>
                <w:sz w:val="19"/>
                <w:szCs w:val="19"/>
                <w:color w:val="auto"/>
                <w:vertAlign w:val="superscript"/>
              </w:rPr>
              <w:t>(1)</w:t>
            </w:r>
          </w:p>
        </w:tc>
      </w:tr>
      <w:tr>
        <w:trPr>
          <w:trHeight w:val="17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Offering expenses borne by us (as a percentage of offering price)</w:t>
            </w:r>
          </w:p>
        </w:tc>
        <w:tc>
          <w:tcPr>
            <w:tcW w:w="3520" w:type="dxa"/>
            <w:vAlign w:val="bottom"/>
            <w:shd w:val="clear" w:color="auto" w:fill="CFF0FC"/>
          </w:tcPr>
          <w:p>
            <w:pPr>
              <w:jc w:val="right"/>
              <w:spacing w:after="0" w:line="175" w:lineRule="exact"/>
              <w:rPr>
                <w:sz w:val="20"/>
                <w:szCs w:val="20"/>
                <w:color w:val="auto"/>
              </w:rPr>
            </w:pPr>
            <w:r>
              <w:rPr>
                <w:rFonts w:ascii="Arial" w:cs="Arial" w:eastAsia="Arial" w:hAnsi="Arial"/>
                <w:sz w:val="14"/>
                <w:szCs w:val="14"/>
                <w:color w:val="auto"/>
              </w:rPr>
              <w:t>N/A</w:t>
            </w:r>
            <w:r>
              <w:rPr>
                <w:rFonts w:ascii="Arial" w:cs="Arial" w:eastAsia="Arial" w:hAnsi="Arial"/>
                <w:sz w:val="19"/>
                <w:szCs w:val="19"/>
                <w:color w:val="auto"/>
                <w:vertAlign w:val="superscript"/>
              </w:rPr>
              <w:t>(2)</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Dividend reinvestment plan fees (per sales transaction fee)</w:t>
            </w:r>
          </w:p>
        </w:tc>
        <w:tc>
          <w:tcPr>
            <w:tcW w:w="3520" w:type="dxa"/>
            <w:vAlign w:val="bottom"/>
          </w:tcPr>
          <w:p>
            <w:pPr>
              <w:jc w:val="right"/>
              <w:spacing w:after="0" w:line="175" w:lineRule="exact"/>
              <w:rPr>
                <w:sz w:val="20"/>
                <w:szCs w:val="20"/>
                <w:color w:val="auto"/>
              </w:rPr>
            </w:pPr>
            <w:r>
              <w:rPr>
                <w:rFonts w:ascii="Arial" w:cs="Arial" w:eastAsia="Arial" w:hAnsi="Arial"/>
                <w:sz w:val="14"/>
                <w:szCs w:val="14"/>
                <w:color w:val="auto"/>
              </w:rPr>
              <w:t>$15.00</w:t>
            </w:r>
            <w:r>
              <w:rPr>
                <w:rFonts w:ascii="Arial" w:cs="Arial" w:eastAsia="Arial" w:hAnsi="Arial"/>
                <w:sz w:val="19"/>
                <w:szCs w:val="19"/>
                <w:color w:val="auto"/>
                <w:vertAlign w:val="superscript"/>
              </w:rPr>
              <w:t>(3)</w:t>
            </w:r>
          </w:p>
        </w:tc>
      </w:tr>
      <w:tr>
        <w:trPr>
          <w:trHeight w:val="175"/>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Total stockholder transaction expenses (as a percentage of offering price)</w:t>
            </w:r>
          </w:p>
        </w:tc>
        <w:tc>
          <w:tcPr>
            <w:tcW w:w="3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 expenses (as a percentage of net assets attributable to common stock):</w:t>
            </w:r>
          </w:p>
        </w:tc>
        <w:tc>
          <w:tcPr>
            <w:tcW w:w="3520" w:type="dxa"/>
            <w:vAlign w:val="bottom"/>
          </w:tcPr>
          <w:p>
            <w:pPr>
              <w:spacing w:after="0"/>
              <w:rPr>
                <w:sz w:val="15"/>
                <w:szCs w:val="15"/>
                <w:color w:val="auto"/>
              </w:rPr>
            </w:pPr>
          </w:p>
        </w:tc>
      </w:tr>
      <w:tr>
        <w:trPr>
          <w:trHeight w:val="175"/>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Base management fee</w:t>
            </w:r>
          </w:p>
        </w:tc>
        <w:tc>
          <w:tcPr>
            <w:tcW w:w="3520" w:type="dxa"/>
            <w:vAlign w:val="bottom"/>
            <w:shd w:val="clear" w:color="auto" w:fill="CFF0FC"/>
          </w:tcPr>
          <w:p>
            <w:pPr>
              <w:jc w:val="right"/>
              <w:spacing w:after="0" w:line="175" w:lineRule="exact"/>
              <w:rPr>
                <w:sz w:val="20"/>
                <w:szCs w:val="20"/>
                <w:color w:val="auto"/>
              </w:rPr>
            </w:pPr>
            <w:r>
              <w:rPr>
                <w:rFonts w:ascii="Arial" w:cs="Arial" w:eastAsia="Arial" w:hAnsi="Arial"/>
                <w:sz w:val="14"/>
                <w:szCs w:val="14"/>
                <w:color w:val="auto"/>
              </w:rPr>
              <w:t>3.80%</w:t>
            </w:r>
            <w:r>
              <w:rPr>
                <w:rFonts w:ascii="Arial" w:cs="Arial" w:eastAsia="Arial" w:hAnsi="Arial"/>
                <w:sz w:val="19"/>
                <w:szCs w:val="19"/>
                <w:color w:val="auto"/>
                <w:vertAlign w:val="superscript"/>
              </w:rPr>
              <w:t>(4)</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Incentive fees payable from Net Investment Income</w:t>
            </w:r>
          </w:p>
        </w:tc>
        <w:tc>
          <w:tcPr>
            <w:tcW w:w="3520" w:type="dxa"/>
            <w:vAlign w:val="bottom"/>
          </w:tcPr>
          <w:p>
            <w:pPr>
              <w:jc w:val="right"/>
              <w:spacing w:after="0" w:line="175" w:lineRule="exact"/>
              <w:rPr>
                <w:sz w:val="20"/>
                <w:szCs w:val="20"/>
                <w:color w:val="auto"/>
              </w:rPr>
            </w:pPr>
            <w:r>
              <w:rPr>
                <w:rFonts w:ascii="Arial" w:cs="Arial" w:eastAsia="Arial" w:hAnsi="Arial"/>
                <w:sz w:val="14"/>
                <w:szCs w:val="14"/>
                <w:color w:val="auto"/>
              </w:rPr>
              <w:t>0.00%</w:t>
            </w:r>
            <w:r>
              <w:rPr>
                <w:rFonts w:ascii="Arial" w:cs="Arial" w:eastAsia="Arial" w:hAnsi="Arial"/>
                <w:sz w:val="19"/>
                <w:szCs w:val="19"/>
                <w:color w:val="auto"/>
                <w:vertAlign w:val="superscript"/>
              </w:rPr>
              <w:t>(5)</w:t>
            </w:r>
          </w:p>
        </w:tc>
      </w:tr>
      <w:tr>
        <w:trPr>
          <w:trHeight w:val="17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Incentive fee payable from Capital Gains</w:t>
            </w:r>
          </w:p>
        </w:tc>
        <w:tc>
          <w:tcPr>
            <w:tcW w:w="3520" w:type="dxa"/>
            <w:vAlign w:val="bottom"/>
            <w:shd w:val="clear" w:color="auto" w:fill="CFF0FC"/>
          </w:tcPr>
          <w:p>
            <w:pPr>
              <w:jc w:val="right"/>
              <w:spacing w:after="0" w:line="175" w:lineRule="exact"/>
              <w:rPr>
                <w:sz w:val="20"/>
                <w:szCs w:val="20"/>
                <w:color w:val="auto"/>
              </w:rPr>
            </w:pPr>
            <w:r>
              <w:rPr>
                <w:rFonts w:ascii="Arial" w:cs="Arial" w:eastAsia="Arial" w:hAnsi="Arial"/>
                <w:sz w:val="14"/>
                <w:szCs w:val="14"/>
                <w:color w:val="auto"/>
              </w:rPr>
              <w:t>0.00%</w:t>
            </w:r>
            <w:r>
              <w:rPr>
                <w:rFonts w:ascii="Arial" w:cs="Arial" w:eastAsia="Arial" w:hAnsi="Arial"/>
                <w:sz w:val="19"/>
                <w:szCs w:val="19"/>
                <w:color w:val="auto"/>
                <w:vertAlign w:val="superscript"/>
              </w:rPr>
              <w:t>(5)</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Interest payments on borrowed funds</w:t>
            </w:r>
          </w:p>
        </w:tc>
        <w:tc>
          <w:tcPr>
            <w:tcW w:w="3520" w:type="dxa"/>
            <w:vAlign w:val="bottom"/>
          </w:tcPr>
          <w:p>
            <w:pPr>
              <w:jc w:val="right"/>
              <w:spacing w:after="0" w:line="175" w:lineRule="exact"/>
              <w:rPr>
                <w:sz w:val="20"/>
                <w:szCs w:val="20"/>
                <w:color w:val="auto"/>
              </w:rPr>
            </w:pPr>
            <w:r>
              <w:rPr>
                <w:rFonts w:ascii="Arial" w:cs="Arial" w:eastAsia="Arial" w:hAnsi="Arial"/>
                <w:sz w:val="14"/>
                <w:szCs w:val="14"/>
                <w:color w:val="auto"/>
              </w:rPr>
              <w:t>8.03%</w:t>
            </w:r>
            <w:r>
              <w:rPr>
                <w:rFonts w:ascii="Arial" w:cs="Arial" w:eastAsia="Arial" w:hAnsi="Arial"/>
                <w:sz w:val="19"/>
                <w:szCs w:val="19"/>
                <w:color w:val="auto"/>
                <w:vertAlign w:val="superscript"/>
              </w:rPr>
              <w:t>(6)</w:t>
            </w:r>
          </w:p>
        </w:tc>
      </w:tr>
      <w:tr>
        <w:trPr>
          <w:trHeight w:val="175"/>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520" w:type="dxa"/>
            <w:vAlign w:val="bottom"/>
            <w:shd w:val="clear" w:color="auto" w:fill="CFF0FC"/>
          </w:tcPr>
          <w:p>
            <w:pPr>
              <w:jc w:val="right"/>
              <w:spacing w:after="0" w:line="175" w:lineRule="exact"/>
              <w:rPr>
                <w:sz w:val="20"/>
                <w:szCs w:val="20"/>
                <w:color w:val="auto"/>
              </w:rPr>
            </w:pPr>
            <w:r>
              <w:rPr>
                <w:rFonts w:ascii="Arial" w:cs="Arial" w:eastAsia="Arial" w:hAnsi="Arial"/>
                <w:sz w:val="14"/>
                <w:szCs w:val="14"/>
                <w:color w:val="auto"/>
              </w:rPr>
              <w:t>4.34%</w:t>
            </w:r>
            <w:r>
              <w:rPr>
                <w:rFonts w:ascii="Arial" w:cs="Arial" w:eastAsia="Arial" w:hAnsi="Arial"/>
                <w:sz w:val="19"/>
                <w:szCs w:val="19"/>
                <w:color w:val="auto"/>
                <w:vertAlign w:val="superscript"/>
              </w:rPr>
              <w:t>(7)</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Acquired fund fees and expenses</w:t>
            </w:r>
          </w:p>
        </w:tc>
        <w:tc>
          <w:tcPr>
            <w:tcW w:w="3520" w:type="dxa"/>
            <w:vAlign w:val="bottom"/>
          </w:tcPr>
          <w:p>
            <w:pPr>
              <w:jc w:val="right"/>
              <w:spacing w:after="0" w:line="175" w:lineRule="exact"/>
              <w:rPr>
                <w:sz w:val="20"/>
                <w:szCs w:val="20"/>
                <w:color w:val="auto"/>
              </w:rPr>
            </w:pPr>
            <w:r>
              <w:rPr>
                <w:rFonts w:ascii="Arial" w:cs="Arial" w:eastAsia="Arial" w:hAnsi="Arial"/>
                <w:sz w:val="14"/>
                <w:szCs w:val="14"/>
                <w:color w:val="auto"/>
              </w:rPr>
              <w:t>0.05%</w:t>
            </w:r>
            <w:r>
              <w:rPr>
                <w:rFonts w:ascii="Arial" w:cs="Arial" w:eastAsia="Arial" w:hAnsi="Arial"/>
                <w:sz w:val="19"/>
                <w:szCs w:val="19"/>
                <w:color w:val="auto"/>
                <w:vertAlign w:val="superscript"/>
              </w:rPr>
              <w:t>(8)</w:t>
            </w:r>
          </w:p>
        </w:tc>
      </w:tr>
      <w:tr>
        <w:trPr>
          <w:trHeight w:val="175"/>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Total stockholder transaction expenses (as a percentage of offering price)</w:t>
            </w:r>
          </w:p>
        </w:tc>
        <w:tc>
          <w:tcPr>
            <w:tcW w:w="3520" w:type="dxa"/>
            <w:vAlign w:val="bottom"/>
            <w:shd w:val="clear" w:color="auto" w:fill="CFF0FC"/>
          </w:tcPr>
          <w:p>
            <w:pPr>
              <w:jc w:val="right"/>
              <w:spacing w:after="0" w:line="175" w:lineRule="exact"/>
              <w:rPr>
                <w:sz w:val="20"/>
                <w:szCs w:val="20"/>
                <w:color w:val="auto"/>
              </w:rPr>
            </w:pPr>
            <w:r>
              <w:rPr>
                <w:rFonts w:ascii="Arial" w:cs="Arial" w:eastAsia="Arial" w:hAnsi="Arial"/>
                <w:sz w:val="14"/>
                <w:szCs w:val="14"/>
                <w:color w:val="auto"/>
              </w:rPr>
              <w:t>16.22%</w:t>
            </w:r>
            <w:r>
              <w:rPr>
                <w:rFonts w:ascii="Arial" w:cs="Arial" w:eastAsia="Arial" w:hAnsi="Arial"/>
                <w:sz w:val="19"/>
                <w:szCs w:val="19"/>
                <w:color w:val="auto"/>
                <w:vertAlign w:val="superscript"/>
              </w:rPr>
              <w:t>(9)</w:t>
            </w:r>
          </w:p>
        </w:tc>
      </w:tr>
      <w:tr>
        <w:trPr>
          <w:trHeight w:val="54"/>
        </w:trPr>
        <w:tc>
          <w:tcPr>
            <w:tcW w:w="1500" w:type="dxa"/>
            <w:vAlign w:val="bottom"/>
            <w:tcBorders>
              <w:bottom w:val="single" w:sz="8" w:color="auto"/>
            </w:tcBorders>
          </w:tcPr>
          <w:p>
            <w:pPr>
              <w:spacing w:after="0"/>
              <w:rPr>
                <w:sz w:val="4"/>
                <w:szCs w:val="4"/>
                <w:color w:val="auto"/>
              </w:rPr>
            </w:pPr>
          </w:p>
        </w:tc>
        <w:tc>
          <w:tcPr>
            <w:tcW w:w="6220" w:type="dxa"/>
            <w:vAlign w:val="bottom"/>
          </w:tcPr>
          <w:p>
            <w:pPr>
              <w:spacing w:after="0"/>
              <w:rPr>
                <w:sz w:val="4"/>
                <w:szCs w:val="4"/>
                <w:color w:val="auto"/>
              </w:rPr>
            </w:pPr>
          </w:p>
        </w:tc>
        <w:tc>
          <w:tcPr>
            <w:tcW w:w="3520" w:type="dxa"/>
            <w:vAlign w:val="bottom"/>
          </w:tcPr>
          <w:p>
            <w:pPr>
              <w:spacing w:after="0"/>
              <w:rPr>
                <w:sz w:val="4"/>
                <w:szCs w:val="4"/>
                <w:color w:val="auto"/>
              </w:rPr>
            </w:pPr>
          </w:p>
        </w:tc>
      </w:tr>
    </w:tbl>
    <w:p>
      <w:pPr>
        <w:ind w:left="520" w:hanging="512"/>
        <w:spacing w:after="0" w:line="181" w:lineRule="auto"/>
        <w:tabs>
          <w:tab w:leader="none" w:pos="520" w:val="left"/>
        </w:tabs>
        <w:numPr>
          <w:ilvl w:val="0"/>
          <w:numId w:val="53"/>
        </w:numPr>
        <w:rPr>
          <w:rFonts w:ascii="Arial" w:cs="Arial" w:eastAsia="Arial" w:hAnsi="Arial"/>
          <w:sz w:val="16"/>
          <w:szCs w:val="16"/>
          <w:b w:val="1"/>
          <w:bCs w:val="1"/>
          <w:color w:val="auto"/>
          <w:vertAlign w:val="superscript"/>
        </w:rPr>
      </w:pPr>
      <w:r>
        <w:rPr>
          <w:rFonts w:ascii="Arial" w:cs="Arial" w:eastAsia="Arial" w:hAnsi="Arial"/>
          <w:sz w:val="12"/>
          <w:szCs w:val="12"/>
          <w:color w:val="auto"/>
        </w:rPr>
        <w:t>In the event that any shares are sold to or through underwriters, a prospectus supplement will disclose the applicable sales load.</w:t>
      </w:r>
    </w:p>
    <w:p>
      <w:pPr>
        <w:ind w:left="520" w:hanging="512"/>
        <w:spacing w:after="0" w:line="187" w:lineRule="auto"/>
        <w:tabs>
          <w:tab w:leader="none" w:pos="520" w:val="left"/>
        </w:tabs>
        <w:numPr>
          <w:ilvl w:val="0"/>
          <w:numId w:val="53"/>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prospectus supplement corresponding to each offering will disclose the applicable estimated amount of offering expenses of the offering and the offering expenses borne by us as a percentage of the offering price.</w:t>
      </w:r>
    </w:p>
    <w:p>
      <w:pPr>
        <w:jc w:val="both"/>
        <w:ind w:left="520" w:hanging="512"/>
        <w:spacing w:after="0" w:line="211" w:lineRule="auto"/>
        <w:tabs>
          <w:tab w:leader="none" w:pos="520" w:val="left"/>
        </w:tabs>
        <w:numPr>
          <w:ilvl w:val="0"/>
          <w:numId w:val="53"/>
        </w:numPr>
        <w:rPr>
          <w:rFonts w:ascii="Arial" w:cs="Arial" w:eastAsia="Arial" w:hAnsi="Arial"/>
          <w:sz w:val="16"/>
          <w:szCs w:val="16"/>
          <w:b w:val="1"/>
          <w:bCs w:val="1"/>
          <w:color w:val="auto"/>
          <w:vertAlign w:val="superscript"/>
        </w:rPr>
      </w:pPr>
      <w:r>
        <w:rPr>
          <w:rFonts w:ascii="Arial" w:cs="Arial" w:eastAsia="Arial" w:hAnsi="Arial"/>
          <w:sz w:val="12"/>
          <w:szCs w:val="12"/>
          <w:color w:val="auto"/>
        </w:rPr>
        <w:t>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p>
    <w:p>
      <w:pPr>
        <w:jc w:val="both"/>
        <w:ind w:left="520" w:hanging="512"/>
        <w:spacing w:after="0" w:line="211" w:lineRule="auto"/>
        <w:tabs>
          <w:tab w:leader="none" w:pos="520" w:val="left"/>
        </w:tabs>
        <w:numPr>
          <w:ilvl w:val="0"/>
          <w:numId w:val="53"/>
        </w:numPr>
        <w:rPr>
          <w:rFonts w:ascii="Arial" w:cs="Arial" w:eastAsia="Arial" w:hAnsi="Arial"/>
          <w:sz w:val="16"/>
          <w:szCs w:val="16"/>
          <w:b w:val="1"/>
          <w:bCs w:val="1"/>
          <w:color w:val="auto"/>
          <w:vertAlign w:val="superscript"/>
        </w:rPr>
      </w:pPr>
      <w:r>
        <w:rPr>
          <w:rFonts w:ascii="Arial" w:cs="Arial" w:eastAsia="Arial" w:hAnsi="Arial"/>
          <w:sz w:val="12"/>
          <w:szCs w:val="12"/>
          <w:color w:val="auto"/>
        </w:rPr>
        <w:t>Reflects our gross base management fee as a percentage of net assets. Our base management fee under the Investment Advisory Agreement is calculated at an annual rate of 1.75% of our gross assets, which is our total assets as reflected on our balance sheet and includes any borrowings for investment purposes. The gross base management fee reflected in the table above is based on the fiscal year ended December 31, 2022. See “Investment Advisory Agreement.”</w:t>
      </w:r>
    </w:p>
    <w:p>
      <w:pPr>
        <w:ind w:left="520" w:hanging="512"/>
        <w:spacing w:after="0" w:line="203" w:lineRule="auto"/>
        <w:tabs>
          <w:tab w:leader="none" w:pos="520" w:val="left"/>
        </w:tabs>
        <w:numPr>
          <w:ilvl w:val="0"/>
          <w:numId w:val="53"/>
        </w:numPr>
        <w:rPr>
          <w:rFonts w:ascii="Arial" w:cs="Arial" w:eastAsia="Arial" w:hAnsi="Arial"/>
          <w:sz w:val="16"/>
          <w:szCs w:val="16"/>
          <w:b w:val="1"/>
          <w:bCs w:val="1"/>
          <w:color w:val="auto"/>
          <w:vertAlign w:val="superscript"/>
        </w:rPr>
      </w:pPr>
      <w:r>
        <w:rPr>
          <w:rFonts w:ascii="Arial" w:cs="Arial" w:eastAsia="Arial" w:hAnsi="Arial"/>
          <w:sz w:val="12"/>
          <w:szCs w:val="12"/>
          <w:color w:val="auto"/>
        </w:rPr>
        <w:t xml:space="preserve">Assumes that annual incentive fees earned by </w:t>
      </w:r>
      <w:r>
        <w:rPr>
          <w:rFonts w:ascii="Arial" w:cs="Arial" w:eastAsia="Arial" w:hAnsi="Arial"/>
          <w:sz w:val="12"/>
          <w:szCs w:val="12"/>
          <w:color w:val="231F20"/>
        </w:rPr>
        <w:t>Mount Logan Management LLC</w:t>
      </w:r>
      <w:r>
        <w:rPr>
          <w:rFonts w:ascii="Arial" w:cs="Arial" w:eastAsia="Arial" w:hAnsi="Arial"/>
          <w:sz w:val="12"/>
          <w:szCs w:val="12"/>
          <w:color w:val="auto"/>
        </w:rPr>
        <w:t xml:space="preserve"> remain consistent with the incentive fees earned by </w:t>
      </w:r>
      <w:r>
        <w:rPr>
          <w:rFonts w:ascii="Arial" w:cs="Arial" w:eastAsia="Arial" w:hAnsi="Arial"/>
          <w:sz w:val="12"/>
          <w:szCs w:val="12"/>
          <w:color w:val="231F20"/>
        </w:rPr>
        <w:t>Mount Logan Management LLC</w:t>
      </w:r>
      <w:r>
        <w:rPr>
          <w:rFonts w:ascii="Arial" w:cs="Arial" w:eastAsia="Arial" w:hAnsi="Arial"/>
          <w:sz w:val="12"/>
          <w:szCs w:val="12"/>
          <w:color w:val="auto"/>
        </w:rPr>
        <w:t xml:space="preserve"> during the fiscal year ended December 31, 2022 and includes accrued capital gains incentive fee. As of December 31, 2022, </w:t>
      </w:r>
      <w:r>
        <w:rPr>
          <w:rFonts w:ascii="Arial" w:cs="Arial" w:eastAsia="Arial" w:hAnsi="Arial"/>
          <w:sz w:val="12"/>
          <w:szCs w:val="12"/>
          <w:color w:val="231F20"/>
        </w:rPr>
        <w:t>Mount Logan Management LLC</w:t>
      </w:r>
      <w:r>
        <w:rPr>
          <w:rFonts w:ascii="Arial" w:cs="Arial" w:eastAsia="Arial" w:hAnsi="Arial"/>
          <w:sz w:val="12"/>
          <w:szCs w:val="12"/>
          <w:color w:val="auto"/>
        </w:rPr>
        <w:t xml:space="preserve"> has accrued no capital gains incentive fee. As we cannot predict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1" w:name="page52"/>
    <w:bookmarkEnd w:id="51"/>
    <w:p>
      <w:pPr>
        <w:ind w:left="520"/>
        <w:spacing w:after="0" w:line="264" w:lineRule="auto"/>
        <w:rPr>
          <w:sz w:val="20"/>
          <w:szCs w:val="20"/>
          <w:color w:val="auto"/>
        </w:rPr>
      </w:pPr>
      <w:r>
        <w:rPr>
          <w:rFonts w:ascii="Arial" w:cs="Arial" w:eastAsia="Arial" w:hAnsi="Arial"/>
          <w:sz w:val="11"/>
          <w:szCs w:val="11"/>
          <w:color w:val="auto"/>
        </w:rPr>
        <w:t>whether we will meet the thresholds for incentive fees under the Investment Advisory Agreement, the incentive fees paid in subsequent periods, if any, may be substantially different than the fees incurred during the fiscal year ended December 31, 2022. For more detailed information about the incentive fee calculations, see Part I, Item 1. Business, Agreements, Investment Advisory Agreement section of this Annual Report on Form 10-K.</w:t>
      </w:r>
    </w:p>
    <w:p>
      <w:pPr>
        <w:jc w:val="both"/>
        <w:ind w:left="520" w:hanging="512"/>
        <w:spacing w:after="0" w:line="235" w:lineRule="auto"/>
        <w:tabs>
          <w:tab w:leader="none" w:pos="520" w:val="left"/>
        </w:tabs>
        <w:numPr>
          <w:ilvl w:val="0"/>
          <w:numId w:val="54"/>
        </w:numPr>
        <w:rPr>
          <w:rFonts w:ascii="Arial" w:cs="Arial" w:eastAsia="Arial" w:hAnsi="Arial"/>
          <w:sz w:val="15"/>
          <w:szCs w:val="15"/>
          <w:b w:val="1"/>
          <w:bCs w:val="1"/>
          <w:color w:val="auto"/>
          <w:vertAlign w:val="superscript"/>
        </w:rPr>
      </w:pPr>
      <w:r>
        <w:rPr>
          <w:rFonts w:ascii="Arial" w:cs="Arial" w:eastAsia="Arial" w:hAnsi="Arial"/>
          <w:sz w:val="11"/>
          <w:szCs w:val="11"/>
          <w:color w:val="auto"/>
        </w:rPr>
        <w:t>As of December 31, 2022, we had $19.1 million of unused borrowing capacity, subject to maintenance of the applicable total assets to debt ratio, under the 1940 Act. As of such date, we had $55.9 million in borrowings outstanding under our $75.0 million KeyBank Credit Facility, $50.0 million in aggregate principal of 2026 Notes and $15.0 million in aggregate principal of 2032 Convertible Notes. Annual interest expense on borrowed funds represents actual interest expense incurred for the fiscal year ended December 31, 2022, as well as deferred financing costs, amendment costs and make-whole premiums, if any. We caution you that our actual interest expense will depend on prevailing interest rates and our rate of borrowing, which may be substantially higher than the estimate provided in this table.</w:t>
      </w:r>
    </w:p>
    <w:p>
      <w:pPr>
        <w:ind w:left="520" w:hanging="512"/>
        <w:spacing w:after="0" w:line="201" w:lineRule="auto"/>
        <w:tabs>
          <w:tab w:leader="none" w:pos="520" w:val="left"/>
        </w:tabs>
        <w:numPr>
          <w:ilvl w:val="0"/>
          <w:numId w:val="54"/>
        </w:numPr>
        <w:rPr>
          <w:rFonts w:ascii="Arial" w:cs="Arial" w:eastAsia="Arial" w:hAnsi="Arial"/>
          <w:sz w:val="16"/>
          <w:szCs w:val="16"/>
          <w:b w:val="1"/>
          <w:bCs w:val="1"/>
          <w:color w:val="auto"/>
          <w:vertAlign w:val="superscript"/>
        </w:rPr>
      </w:pPr>
      <w:r>
        <w:rPr>
          <w:rFonts w:ascii="Arial" w:cs="Arial" w:eastAsia="Arial" w:hAnsi="Arial"/>
          <w:sz w:val="12"/>
          <w:szCs w:val="12"/>
          <w:color w:val="auto"/>
        </w:rPr>
        <w:t>“Other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2022.</w:t>
      </w:r>
    </w:p>
    <w:p>
      <w:pPr>
        <w:jc w:val="both"/>
        <w:ind w:left="520" w:hanging="512"/>
        <w:spacing w:after="0" w:line="211" w:lineRule="auto"/>
        <w:tabs>
          <w:tab w:leader="none" w:pos="520" w:val="left"/>
        </w:tabs>
        <w:numPr>
          <w:ilvl w:val="0"/>
          <w:numId w:val="54"/>
        </w:numPr>
        <w:rPr>
          <w:rFonts w:ascii="Arial" w:cs="Arial" w:eastAsia="Arial" w:hAnsi="Arial"/>
          <w:sz w:val="16"/>
          <w:szCs w:val="16"/>
          <w:b w:val="1"/>
          <w:bCs w:val="1"/>
          <w:color w:val="auto"/>
          <w:vertAlign w:val="superscript"/>
        </w:rPr>
      </w:pPr>
      <w:r>
        <w:rPr>
          <w:rFonts w:ascii="Arial" w:cs="Arial" w:eastAsia="Arial" w:hAnsi="Arial"/>
          <w:sz w:val="12"/>
          <w:szCs w:val="12"/>
          <w:color w:val="auto"/>
        </w:rPr>
        <w:t>“Acquired fund fees and expenses” are the indirect costs of investing in the Company’s joint venture, Great Lakes Funding II LLC. The operating expenses in this fee table will not correlate to the expense ratio in the Company’s Financial Highlights because the financial statements include only the direct operating expenses incurred by the Company. Therefore, amounts may not agree with the Financial Highlights due to the inclusions in this table of Acquired Fund Fees and Expenses and certain other adjustments.</w:t>
      </w:r>
    </w:p>
    <w:p>
      <w:pPr>
        <w:ind w:left="520" w:hanging="512"/>
        <w:spacing w:after="0" w:line="180" w:lineRule="auto"/>
        <w:tabs>
          <w:tab w:leader="none" w:pos="520" w:val="left"/>
        </w:tabs>
        <w:numPr>
          <w:ilvl w:val="0"/>
          <w:numId w:val="54"/>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holders of shares of our common stock indirectly bear the cost associated with our annual expenses.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following example demonstrates the projected dollar amount of total cumulative expenses that would be incurred over various periods with respect to a hypothetical investment in shares of our common stock. In calculating the following expense amounts, we have assumed that our borrowings and annual operating expenses would remain at the levels set forth in the table above. In the event that shares of our common stock are sold to or through underwriters, a prospectus supplement will restate this example to reflect the applicable sales load and offering expenses. See Note 6 above for additional information regarding certain assumptions regarding our level of leverage.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 Year</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 Years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 Years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 Years</w:t>
            </w:r>
          </w:p>
        </w:tc>
        <w:tc>
          <w:tcPr>
            <w:tcW w:w="100" w:type="dxa"/>
            <w:vAlign w:val="bottom"/>
          </w:tcPr>
          <w:p>
            <w:pPr>
              <w:spacing w:after="0"/>
              <w:rPr>
                <w:sz w:val="16"/>
                <w:szCs w:val="16"/>
                <w:color w:val="auto"/>
              </w:rPr>
            </w:pPr>
          </w:p>
        </w:tc>
      </w:tr>
      <w:tr>
        <w:trPr>
          <w:trHeight w:val="169"/>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5"/>
              </w:rPr>
              <w:t>You would pay the following expenses on a $1,000 investment, assuming a 5.0% annual return</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FF0FC"/>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example should not be considered a representation of future expenses, and actual expenses may be greater or less than those shown.</w:t>
      </w:r>
    </w:p>
    <w:p>
      <w:pPr>
        <w:spacing w:after="0" w:line="14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While the example assumes, as required by the applicable rules of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not included in the above example. The above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For example, if we assumed that we received our 5.0% annual return completely in the form of net realized capital gains on our investments, computed net of all cumulative unrealized depreciation on our investments, the projected dollar amount of total cumulative expenses set forth in the above illustration would be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Years</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10 Years</w:t>
            </w:r>
          </w:p>
        </w:tc>
        <w:tc>
          <w:tcPr>
            <w:tcW w:w="100" w:type="dxa"/>
            <w:vAlign w:val="bottom"/>
          </w:tcPr>
          <w:p>
            <w:pPr>
              <w:spacing w:after="0"/>
              <w:rPr>
                <w:sz w:val="16"/>
                <w:szCs w:val="16"/>
                <w:color w:val="auto"/>
              </w:rPr>
            </w:pPr>
          </w:p>
        </w:tc>
      </w:tr>
      <w:tr>
        <w:trPr>
          <w:trHeight w:val="169"/>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7"/>
              </w:rPr>
              <w:t>You would pay the following expenses on a $1,000 investment, assuming a 5.0% annual return</w:t>
            </w:r>
          </w:p>
        </w:tc>
        <w:tc>
          <w:tcPr>
            <w:tcW w:w="88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FF0FC"/>
          </w:tcPr>
          <w:p>
            <w:pPr>
              <w:spacing w:after="0"/>
              <w:rPr>
                <w:sz w:val="14"/>
                <w:szCs w:val="14"/>
                <w:color w:val="auto"/>
              </w:rPr>
            </w:pPr>
          </w:p>
        </w:tc>
      </w:tr>
    </w:tbl>
    <w:p>
      <w:pPr>
        <w:spacing w:after="0" w:line="13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example assumes no sales load. However, in the event that securities are sold with a sales load, a prospectus supplement will provide a revised expense example that will include the effect of the sales load. In addition, while the examples assume reinvestment of all dividends and distributions at net asset value, participants in our dividend reinvestment plan will receive a number of shares of our common stock, generally determined by dividing the total dollar amount of the dividend payable to a participant by the market price per share of our common stock at the close of trading on the dividend payment date, which may be at, above or below net asset value.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2022, we did not sell any unregistered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information contained in this section should be read in conjunction with our consolidated financial statements and related notes thereto appearing elsewhere in this Annual Report on Form 10-K. The discussion includes forward-looking statements that involve substantial risks and uncertainties and should be read in conjunction with the “Cautionary Statement Regarding Forward-Looking Statements” set forth on page 2 of this Annual Report on Form 10-K for further information regarding forward-looking statements. Except as otherwise indicated, the terms “we,” “us,” “our,” the “Company,” “Logan Ridge” and “LRFC” refer to Logan Ridge Finance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are a Maryland corporation that has elected to be regulated as a business development company (“BDC”) under the Investment Company Act of 1940, as amended (the “1940 Act”).</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Our investment objective is to generate both current income and capital appreciation through debt and equity investments. We are managed by Mount Logan Management LLC (the “Investment</w:t>
      </w:r>
    </w:p>
    <w:p>
      <w:pPr>
        <w:spacing w:after="0"/>
        <w:rPr>
          <w:sz w:val="20"/>
          <w:szCs w:val="20"/>
          <w:color w:val="auto"/>
        </w:rPr>
      </w:pPr>
      <w:r>
        <w:rPr>
          <w:rFonts w:ascii="Arial" w:cs="Arial" w:eastAsia="Arial" w:hAnsi="Arial"/>
          <w:sz w:val="14"/>
          <w:szCs w:val="14"/>
          <w:color w:val="auto"/>
        </w:rPr>
        <w:t>Adviser” or the "Adviser"), and BC Partners Management LLC (the “Administrator”) provides the administrative services necessary for us to operate.</w:t>
      </w:r>
    </w:p>
    <w:p>
      <w:pPr>
        <w:spacing w:after="0" w:line="12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 million and $50 million in trailing twelve-month earnings before interest, tax, depreciation, and amortization (“EBITDA”).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invest in first lien loans, and, to a lesser extent, second lien loans and equity securities issued by lower middle-market and traditional middle-market companies.</w:t>
      </w:r>
    </w:p>
    <w:p>
      <w:pPr>
        <w:spacing w:after="0" w:line="12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our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were changed from 200% to 150%, effective November 1, 2019. As of December 31, 2022, our asset coverage ratio was 177%.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ordinary income and realized net short-term capital gains in excess of realized net long-term capital losses, if any, for the taxable year.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w:t>
      </w:r>
    </w:p>
    <w:p>
      <w:pPr>
        <w:spacing w:after="0" w:line="14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09"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 xml:space="preserve">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w:t>
      </w:r>
      <w:r>
        <w:rPr>
          <w:rFonts w:ascii="Arial" w:cs="Arial" w:eastAsia="Arial" w:hAnsi="Arial"/>
          <w:sz w:val="14"/>
          <w:szCs w:val="14"/>
          <w:color w:val="231F20"/>
        </w:rPr>
        <w:t>On June 10, 2021, Fund III repaid its SBA-guaranteed debentures and relinquished its SBIC license. As of December 31, 2022,</w:t>
      </w:r>
      <w:r>
        <w:rPr>
          <w:rFonts w:ascii="Arial" w:cs="Arial" w:eastAsia="Arial" w:hAnsi="Arial"/>
          <w:sz w:val="14"/>
          <w:szCs w:val="14"/>
          <w:color w:val="auto"/>
        </w:rPr>
        <w:t xml:space="preserve"> </w:t>
      </w:r>
      <w:r>
        <w:rPr>
          <w:rFonts w:ascii="Arial" w:cs="Arial" w:eastAsia="Arial" w:hAnsi="Arial"/>
          <w:sz w:val="14"/>
          <w:szCs w:val="14"/>
          <w:color w:val="231F20"/>
        </w:rPr>
        <w:t>there were no SBA-guaranteed debentures outstanding.</w:t>
      </w:r>
    </w:p>
    <w:p>
      <w:pPr>
        <w:spacing w:after="0" w:line="10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Definitive Agreement</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0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0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is considered an investment company as defined in Accounting Standards Codification (“ASC”) Topic 946 — </w:t>
      </w:r>
      <w:r>
        <w:rPr>
          <w:rFonts w:ascii="Arial" w:cs="Arial" w:eastAsia="Arial" w:hAnsi="Arial"/>
          <w:sz w:val="14"/>
          <w:szCs w:val="14"/>
          <w:i w:val="1"/>
          <w:iCs w:val="1"/>
          <w:color w:val="auto"/>
        </w:rPr>
        <w:t>Financial Services — Investment Companies</w:t>
      </w:r>
      <w:r>
        <w:rPr>
          <w:rFonts w:ascii="Arial" w:cs="Arial" w:eastAsia="Arial" w:hAnsi="Arial"/>
          <w:sz w:val="14"/>
          <w:szCs w:val="14"/>
          <w:color w:val="auto"/>
        </w:rPr>
        <w:t xml:space="preserve"> (“ASC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Company’s financial statements as of December 31, 2022 and 2021, and for the years ended December 31, 2022,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2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spacing w:after="0" w:line="36" w:lineRule="exact"/>
        <w:rPr>
          <w:sz w:val="20"/>
          <w:szCs w:val="20"/>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cost of our organization;</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cost of effecting sales and repurchases of our shares and other securities;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interest payable on debt, if any, to finance our investments;</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costs of proxy statements, stockholders’ reports and other communications with stockholders;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fidelity bond, directors’ and officers’ liability insurance, errors and omissions liability insurance and other insurance premiums;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direct costs and expenses of administration, including printing, mailing, telephone and staff;</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 and</w:t>
      </w:r>
    </w:p>
    <w:p>
      <w:pPr>
        <w:spacing w:after="0" w:line="68" w:lineRule="exact"/>
        <w:rPr>
          <w:rFonts w:ascii="Arial" w:cs="Arial" w:eastAsia="Arial" w:hAnsi="Arial"/>
          <w:sz w:val="14"/>
          <w:szCs w:val="14"/>
          <w:color w:val="auto"/>
        </w:rPr>
      </w:pPr>
    </w:p>
    <w:p>
      <w:pPr>
        <w:jc w:val="both"/>
        <w:ind w:left="780" w:hanging="263"/>
        <w:spacing w:after="0" w:line="233" w:lineRule="auto"/>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Subsequent to the Formation Transactions, the Legacy Funds became disregarded entities for tax purposes.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0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tax years ended December 31, 2022, 2021, 2020 and 2019 remain subject to examination by U.S. federal, state, and local tax authorities. No interest expense or penalties have been assessed for the years ended December 31, 2022, 2021 and 2020. If the Company was required to recognize interest and penalties, if any, related to unrecognized tax benefits this would be recognized as income tax expense in the consolidated statements of operations.</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December 31, 2022 and 2021, the Company recorded a net deferred tax asset of zero. For the years ended December 31, 2022, 2021 and 2020, the Company recorded a tax provision (benefit) of $0.1 million, zero, and zero, respectively. As of December 31, 2022 and 2021, the valuation allowance on the Company’s deferred tax asset was $4.0 million and $2.5 million, respectively. During the years ended December 31, 2022, 2021 and 2020, the Company recognized an increase (decrease) in the valuation allowance of $1.5 million, $(2.1) million, and $1.4 million, respectively.</w:t>
      </w:r>
    </w:p>
    <w:p>
      <w:pPr>
        <w:spacing w:after="0" w:line="10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18"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ASC Topic 740 —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2022 and 2021, there were no uncertain tax positions.</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 has concluded that it was not necessary to record a liability for any such tax positions as of December 31, 2022 or 2021.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5" w:name="page56"/>
    <w:bookmarkEnd w:id="55"/>
    <w:p>
      <w:pPr>
        <w:jc w:val="both"/>
        <w:ind w:right="20"/>
        <w:spacing w:after="0" w:line="238" w:lineRule="auto"/>
        <w:rPr>
          <w:sz w:val="20"/>
          <w:szCs w:val="20"/>
          <w:color w:val="auto"/>
        </w:rPr>
      </w:pPr>
      <w:r>
        <w:rPr>
          <w:rFonts w:ascii="Arial" w:cs="Arial" w:eastAsia="Arial" w:hAnsi="Arial"/>
          <w:sz w:val="14"/>
          <w:szCs w:val="14"/>
          <w:color w:val="auto"/>
        </w:rPr>
        <w:t>business expansion and other growth initiatives. The Company invests primarily in first lien loans, and, to a lesser extent, second lien loans and equity securities issued by lower middle-market companies and traditional middle-market companies. As of December 31, 2022, our portfolio consisted of investments in 59 portfolio companies with a fair value of approximately $203.6 million.</w:t>
      </w:r>
    </w:p>
    <w:p>
      <w:pPr>
        <w:spacing w:after="0" w:line="102" w:lineRule="exact"/>
        <w:rPr>
          <w:sz w:val="20"/>
          <w:szCs w:val="20"/>
          <w:color w:val="auto"/>
        </w:rPr>
      </w:pPr>
    </w:p>
    <w:p>
      <w:pPr>
        <w:jc w:val="both"/>
        <w:ind w:right="20" w:firstLine="509"/>
        <w:spacing w:after="0" w:line="229"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2022, 1.9%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118" w:lineRule="exact"/>
        <w:rPr>
          <w:sz w:val="20"/>
          <w:szCs w:val="20"/>
          <w:color w:val="auto"/>
        </w:rPr>
      </w:pPr>
    </w:p>
    <w:p>
      <w:pPr>
        <w:jc w:val="both"/>
        <w:ind w:right="40" w:firstLine="509"/>
        <w:spacing w:after="0" w:line="290"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84"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During the year ended December 31, 2022, we made approximately $107.7 million of investments and had approximately $94.0 million in repayments and sales of investments resulting in net deployment of approximately $13.7 million for the year. During the year ended December 31, 2021, we made approximately $89.4 million of investments and had approximately $169.6 million in repayments and sales of investments resulting in net repayments and sales of approximately $80.2 million for the year.</w:t>
      </w:r>
    </w:p>
    <w:p>
      <w:pPr>
        <w:spacing w:after="0" w:line="102" w:lineRule="exact"/>
        <w:rPr>
          <w:sz w:val="20"/>
          <w:szCs w:val="20"/>
          <w:color w:val="auto"/>
        </w:rPr>
      </w:pPr>
    </w:p>
    <w:p>
      <w:pPr>
        <w:jc w:val="both"/>
        <w:ind w:right="20" w:firstLine="509"/>
        <w:spacing w:after="0" w:line="231" w:lineRule="auto"/>
        <w:rPr>
          <w:sz w:val="20"/>
          <w:szCs w:val="20"/>
          <w:color w:val="auto"/>
        </w:rPr>
      </w:pPr>
      <w:r>
        <w:rPr>
          <w:rFonts w:ascii="Arial" w:cs="Arial" w:eastAsia="Arial" w:hAnsi="Arial"/>
          <w:sz w:val="14"/>
          <w:szCs w:val="14"/>
          <w:color w:val="auto"/>
        </w:rPr>
        <w:t>As of December 31, 2022, our debt investment portfolio, which represented 83.2% of the fair value of our total portfolio, had a weighted average annualized yield of approximately 10.4% (excluding the income from non-accruals and collateralized loan obligations). As of December 31, 2022, 17.2% of the fair value of our debt investment portfolio was bearing a fixed rate of interest. As of December 31, 2021, our debt investment portfolio, which represented 67.4% of the fair value of our total portfolio, had a weighted average annualized yield of approximately 8.1% (excluding the income from non-accruals and collateralized loan obligations). As of December 31, 2021, 22.8% of the fair value of our debt investment portfolio was bearing a fixed rate of interest.</w:t>
      </w:r>
    </w:p>
    <w:p>
      <w:pPr>
        <w:spacing w:after="0" w:line="116"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15"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As of December 31, 2022, the Company’s Adviser approved the fair value of the Company’s investment portfolio of approximately $203.6 million in good faith in accordance with the Company’s valuation procedures. The Company’s Adviser approved the fair value of the Company’s investment portfolio as of December 31, 2022 with input from third-party valuation firms and the Investment Adviser, as valuation designee, based on information known or knowable as of the valuation date, including trailing and forward looking data.</w:t>
      </w:r>
    </w:p>
    <w:p>
      <w:pPr>
        <w:spacing w:after="0" w:line="102"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3"/>
          <w:szCs w:val="13"/>
          <w:color w:val="auto"/>
        </w:rPr>
        <w:t>As of December 31, 2022, we had debt investments in one portfolio company on non-accrual status with an aggregate amortized cost of $11.9 million and an aggregate fair value of $9.7 million, which represented 5.4% and 4.8% of the investment portfolio, respectively. As of December 31, 2021, we had debt investments in two portfolio companies on non-accrual status with an aggregate amortized cost of $12.7 million and an aggregate fair value of $7.6 million, which represented 6.7% and 3.8% of the investment portfolio, respectively.</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amortized cost and the fair value of investments as of December 31, 2022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4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143,047</w:t>
            </w:r>
          </w:p>
        </w:tc>
        <w:tc>
          <w:tcPr>
            <w:tcW w:w="26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136,896</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8,283</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3.8 %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6,464</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26,571</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12.0 %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25,851</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6,185</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2.8 %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4,972</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0.2 %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36,016</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16.3 %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29,006</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14.2 %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220,516</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203,592</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amortized cost and the fair value of investments as of December 31, 2021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4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6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30,048</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15.8 %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30,190</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2.6 %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 and Warrants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51,717</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27.2 %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64,698</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56" w:name="page57"/>
    <w:bookmarkEnd w:id="56"/>
    <w:p>
      <w:pPr>
        <w:ind w:left="520"/>
        <w:spacing w:after="0"/>
        <w:rPr>
          <w:sz w:val="20"/>
          <w:szCs w:val="20"/>
          <w:color w:val="auto"/>
        </w:rPr>
      </w:pPr>
      <w:r>
        <w:rPr>
          <w:rFonts w:ascii="Arial" w:cs="Arial" w:eastAsia="Arial" w:hAnsi="Arial"/>
          <w:sz w:val="14"/>
          <w:szCs w:val="14"/>
          <w:color w:val="auto"/>
        </w:rPr>
        <w:t>The following table shows the portfolio composition by industry grouping at fair value as of December 31, 2022 and 2021 (dollars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1248"/>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68"/>
              <w:spacing w:after="0" w:line="133" w:lineRule="exact"/>
              <w:rPr>
                <w:sz w:val="20"/>
                <w:szCs w:val="20"/>
                <w:color w:val="auto"/>
              </w:rPr>
            </w:pPr>
            <w:r>
              <w:rPr>
                <w:rFonts w:ascii="Arial" w:cs="Arial" w:eastAsia="Arial" w:hAnsi="Arial"/>
                <w:sz w:val="14"/>
                <w:szCs w:val="14"/>
                <w:b w:val="1"/>
                <w:bCs w:val="1"/>
                <w:color w:val="auto"/>
                <w:w w:val="99"/>
              </w:rPr>
              <w:t>Investments at</w:t>
            </w:r>
          </w:p>
        </w:tc>
        <w:tc>
          <w:tcPr>
            <w:tcW w:w="2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148"/>
              <w:spacing w:after="0" w:line="133" w:lineRule="exact"/>
              <w:rPr>
                <w:sz w:val="20"/>
                <w:szCs w:val="20"/>
                <w:color w:val="auto"/>
              </w:rPr>
            </w:pPr>
            <w:r>
              <w:rPr>
                <w:rFonts w:ascii="Arial" w:cs="Arial" w:eastAsia="Arial" w:hAnsi="Arial"/>
                <w:sz w:val="14"/>
                <w:szCs w:val="14"/>
                <w:b w:val="1"/>
                <w:bCs w:val="1"/>
                <w:color w:val="auto"/>
              </w:rPr>
              <w:t>Percentage of Total</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48"/>
              <w:spacing w:after="0" w:line="133" w:lineRule="exact"/>
              <w:rPr>
                <w:sz w:val="20"/>
                <w:szCs w:val="20"/>
                <w:color w:val="auto"/>
              </w:rPr>
            </w:pPr>
            <w:r>
              <w:rPr>
                <w:rFonts w:ascii="Arial" w:cs="Arial" w:eastAsia="Arial" w:hAnsi="Arial"/>
                <w:sz w:val="14"/>
                <w:szCs w:val="14"/>
                <w:b w:val="1"/>
                <w:bCs w:val="1"/>
                <w:color w:val="auto"/>
                <w:w w:val="99"/>
              </w:rPr>
              <w:t>Investments at</w:t>
            </w: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Percentage of Total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Portfolio</w:t>
            </w:r>
          </w:p>
        </w:tc>
        <w:tc>
          <w:tcPr>
            <w:tcW w:w="180" w:type="dxa"/>
            <w:vAlign w:val="bottom"/>
          </w:tcPr>
          <w:p>
            <w:pPr>
              <w:spacing w:after="0"/>
              <w:rPr>
                <w:sz w:val="16"/>
                <w:szCs w:val="16"/>
                <w:color w:val="auto"/>
              </w:rPr>
            </w:pPr>
          </w:p>
        </w:tc>
        <w:tc>
          <w:tcPr>
            <w:tcW w:w="132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69"/>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Healthcare</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42,594</w:t>
            </w:r>
          </w:p>
        </w:tc>
        <w:tc>
          <w:tcPr>
            <w:tcW w:w="240" w:type="dxa"/>
            <w:vAlign w:val="bottom"/>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6"/>
              </w:rPr>
              <w:t>%</w:t>
            </w: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28,851</w:t>
            </w:r>
          </w:p>
        </w:tc>
        <w:tc>
          <w:tcPr>
            <w:tcW w:w="220" w:type="dxa"/>
            <w:vAlign w:val="bottom"/>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Financials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35,660</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17.5 %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17,161</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Business Services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24,570</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12.1 %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32,819</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Information Technology</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17,330</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8.5 %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24,067</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12.1 %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15,631</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7.7 %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14,641</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7.4 %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Consumer Discretionary</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13,505</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6.6 %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11,018</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5.6 %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Healthcare Management</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9,695</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4.8 %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7,002</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Entertainment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7,459</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3.7 %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8,894</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4.5 %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Services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6,651</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3.3 %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Automobile Part Manufacturer</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4,992</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2.5 %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2,721</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Textile Equipment Manufacturer</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5,001</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2.5 %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Consumer Staples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4,825</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2.4 %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Medical Device Distributor</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4,360</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2.1 %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4,961</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Online Merchandise Retailer</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3,701</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1.8 %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5,951</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Advertising &amp; Marketing Services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3,562</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1.7 %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4,579</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Communication Services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896</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0.4 %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Household Product Manufacturer</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0.4 %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Testing laboratories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723</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0.4 %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1,113</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Industrial</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0.3 %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Data Processing &amp; Digital Marketing</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509</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0.2 %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509</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Electronic Machine Repair</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206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0.1 %</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8,465</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Oil &amp; Gas Engineering and Consulting Services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258</w:t>
            </w:r>
          </w:p>
        </w:tc>
        <w:tc>
          <w:tcPr>
            <w:tcW w:w="2060" w:type="dxa"/>
            <w:vAlign w:val="bottom"/>
            <w:gridSpan w:val="3"/>
          </w:tcPr>
          <w:p>
            <w:pPr>
              <w:jc w:val="right"/>
              <w:ind w:right="8"/>
              <w:spacing w:after="0"/>
              <w:rPr>
                <w:sz w:val="20"/>
                <w:szCs w:val="20"/>
                <w:color w:val="auto"/>
              </w:rPr>
            </w:pPr>
            <w:r>
              <w:rPr>
                <w:rFonts w:ascii="Arial" w:cs="Arial" w:eastAsia="Arial" w:hAnsi="Arial"/>
                <w:sz w:val="14"/>
                <w:szCs w:val="14"/>
                <w:color w:val="auto"/>
              </w:rPr>
              <w:t>0.1 %</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333</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QSR Franchisor</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8,007</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Home Repair Parts Manufacturer</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3,062</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Products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w:t>
            </w:r>
          </w:p>
        </w:tc>
        <w:tc>
          <w:tcPr>
            <w:tcW w:w="2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203,592</w:t>
            </w:r>
          </w:p>
        </w:tc>
        <w:tc>
          <w:tcPr>
            <w:tcW w:w="240" w:type="dxa"/>
            <w:vAlign w:val="bottom"/>
          </w:tcPr>
          <w:p>
            <w:pPr>
              <w:spacing w:after="0"/>
              <w:rPr>
                <w:sz w:val="14"/>
                <w:szCs w:val="14"/>
                <w:color w:val="auto"/>
              </w:rPr>
            </w:pPr>
          </w:p>
        </w:tc>
        <w:tc>
          <w:tcPr>
            <w:tcW w:w="1820" w:type="dxa"/>
            <w:vAlign w:val="bottom"/>
            <w:gridSpan w:val="2"/>
          </w:tcPr>
          <w:p>
            <w:pPr>
              <w:jc w:val="right"/>
              <w:ind w:right="8"/>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14"/>
                <w:szCs w:val="14"/>
                <w:color w:val="auto"/>
                <w:highlight w:val="white"/>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198,189</w:t>
            </w: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 xml:space="preserve">100.0 </w:t>
            </w:r>
            <w:r>
              <w:rPr>
                <w:rFonts w:ascii="Arial" w:cs="Arial" w:eastAsia="Arial" w:hAnsi="Arial"/>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-144780</wp:posOffset>
            </wp:positionV>
            <wp:extent cx="7747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-144780</wp:posOffset>
            </wp:positionV>
            <wp:extent cx="6858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investments made by the Company as of December 31, 2022 and 2021 were made in portfolio companies located in the U.S.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Great Lakes Funding II LLC</w:t>
      </w:r>
    </w:p>
    <w:p>
      <w:pPr>
        <w:spacing w:after="0" w:line="136"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In August 2022, the Company invested in Great Lakes Funding II LLC - Series A (the “Great Lakes II Joint Venture”), a joint venture with an investment strategy to underwrite and hold senior, secured unitranche loans made to middle-market companies. The Company treats its investment in the Great Lakes II Joint Venture as a joint venture since an affiliate of the Adviser controls a 50% voting interest in the Great Lakes II Joint Venture.</w:t>
      </w:r>
    </w:p>
    <w:p>
      <w:pPr>
        <w:spacing w:after="0" w:line="102"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Adviser or its affiliates have also invested in the Great Lakes II Joint Venture.</w:t>
      </w:r>
    </w:p>
    <w:p>
      <w:pPr>
        <w:spacing w:after="0" w:line="107"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3"/>
          <w:szCs w:val="13"/>
          <w:color w:val="auto"/>
        </w:rPr>
        <w:t>The fair value of the Company’s investment in the Great Lakes II Joint Venture at December 31, 2022 was $0.4 million.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the Company has a $0.1 million unfunded commitment to the Great Lakes II Joint Venture.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7"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Set forth below are the results of operations for the years ended December 31, 2022 and 2021. For information regarding results of operations for the year ended December 31, 2020, see the Company’s Form 10-K for the fiscal year ended December 31, 2020, located within Part II, Item 7. Management’s Discussion and Analysis of Financial Condition and Results of Operations as filed with the SEC on March 14, 2022, which is incorporated by reference herein.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operating results for the years ended December 31, 2022 and 2021 were as follows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For the 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40" w:type="dxa"/>
            <w:vAlign w:val="bottom"/>
          </w:tcPr>
          <w:p>
            <w:pPr>
              <w:spacing w:after="0"/>
              <w:rPr>
                <w:sz w:val="14"/>
                <w:szCs w:val="1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14,927</w:t>
            </w: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16,754</w:t>
            </w:r>
          </w:p>
        </w:tc>
        <w:tc>
          <w:tcPr>
            <w:tcW w:w="100" w:type="dxa"/>
            <w:vAlign w:val="bottom"/>
            <w:shd w:val="clear" w:color="auto" w:fill="CFF0FC"/>
          </w:tcPr>
          <w:p>
            <w:pPr>
              <w:spacing w:after="0"/>
              <w:rPr>
                <w:sz w:val="14"/>
                <w:szCs w:val="14"/>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4"/>
                <w:szCs w:val="14"/>
                <w:color w:val="auto"/>
              </w:rPr>
              <w:t>Total expenses, net of incentive fee waiver</w:t>
            </w:r>
          </w:p>
        </w:tc>
        <w:tc>
          <w:tcPr>
            <w:tcW w:w="1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16,089</w:t>
            </w:r>
          </w:p>
        </w:tc>
        <w:tc>
          <w:tcPr>
            <w:tcW w:w="2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20,347</w:t>
            </w:r>
          </w:p>
        </w:tc>
        <w:tc>
          <w:tcPr>
            <w:tcW w:w="100" w:type="dxa"/>
            <w:vAlign w:val="bottom"/>
          </w:tcPr>
          <w:p>
            <w:pPr>
              <w:spacing w:after="0"/>
              <w:rPr>
                <w:sz w:val="15"/>
                <w:szCs w:val="15"/>
                <w:color w:val="auto"/>
              </w:rPr>
            </w:pPr>
          </w:p>
        </w:tc>
      </w:tr>
      <w:tr>
        <w:trPr>
          <w:trHeight w:val="169"/>
        </w:trPr>
        <w:tc>
          <w:tcPr>
            <w:tcW w:w="7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investment loss</w:t>
            </w:r>
          </w:p>
        </w:tc>
        <w:tc>
          <w:tcPr>
            <w:tcW w:w="1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3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14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1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13,769</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(7,967 )</w:t>
            </w:r>
          </w:p>
        </w:tc>
      </w:tr>
      <w:tr>
        <w:trPr>
          <w:trHeight w:val="175"/>
        </w:trPr>
        <w:tc>
          <w:tcPr>
            <w:tcW w:w="7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2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(24,631 )</w:t>
            </w:r>
          </w:p>
        </w:tc>
        <w:tc>
          <w:tcPr>
            <w:tcW w:w="13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10,667</w:t>
            </w:r>
          </w:p>
        </w:tc>
        <w:tc>
          <w:tcPr>
            <w:tcW w:w="100" w:type="dxa"/>
            <w:vAlign w:val="bottom"/>
            <w:shd w:val="clear" w:color="auto" w:fill="CFF0FC"/>
          </w:tcPr>
          <w:p>
            <w:pPr>
              <w:spacing w:after="0"/>
              <w:rPr>
                <w:sz w:val="15"/>
                <w:szCs w:val="15"/>
                <w:color w:val="auto"/>
              </w:rPr>
            </w:pPr>
          </w:p>
        </w:tc>
      </w:tr>
      <w:tr>
        <w:trPr>
          <w:trHeight w:val="176"/>
        </w:trPr>
        <w:tc>
          <w:tcPr>
            <w:tcW w:w="7140" w:type="dxa"/>
            <w:vAlign w:val="bottom"/>
          </w:tcPr>
          <w:p>
            <w:pPr>
              <w:ind w:left="20"/>
              <w:spacing w:after="0"/>
              <w:rPr>
                <w:sz w:val="20"/>
                <w:szCs w:val="20"/>
                <w:color w:val="auto"/>
              </w:rPr>
            </w:pPr>
            <w:r>
              <w:rPr>
                <w:rFonts w:ascii="Arial" w:cs="Arial" w:eastAsia="Arial" w:hAnsi="Arial"/>
                <w:sz w:val="14"/>
                <w:szCs w:val="14"/>
                <w:color w:val="auto"/>
              </w:rPr>
              <w:t>Net realized loss on extinguishment of debt</w:t>
            </w:r>
          </w:p>
        </w:tc>
        <w:tc>
          <w:tcPr>
            <w:tcW w:w="126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(1,025 )</w:t>
            </w:r>
          </w:p>
        </w:tc>
      </w:tr>
      <w:tr>
        <w:trPr>
          <w:trHeight w:val="209"/>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260" w:type="dxa"/>
            <w:vAlign w:val="bottom"/>
            <w:tcBorders>
              <w:top w:val="single" w:sz="8" w:color="auto"/>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(12,024</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300" w:type="dxa"/>
            <w:vAlign w:val="bottom"/>
            <w:tcBorders>
              <w:top w:val="single" w:sz="8" w:color="auto"/>
              <w:bottom w:val="single" w:sz="8" w:color="auto"/>
            </w:tcBorders>
            <w:shd w:val="clear" w:color="auto" w:fill="CFF0FC"/>
          </w:tcPr>
          <w:p>
            <w:pPr>
              <w:jc w:val="right"/>
              <w:ind w:right="11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20"/>
                <w:szCs w:val="20"/>
                <w:color w:val="auto"/>
              </w:rPr>
            </w:pPr>
            <w:r>
              <w:rPr>
                <w:rFonts w:ascii="Arial" w:cs="Arial" w:eastAsia="Arial" w:hAnsi="Arial"/>
                <w:sz w:val="14"/>
                <w:szCs w:val="14"/>
                <w:b w:val="1"/>
                <w:bCs w:val="1"/>
                <w:i w:val="1"/>
                <w:iCs w:val="1"/>
                <w:color w:val="auto"/>
              </w:rPr>
              <w:t>Investment income</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8800" w:type="dxa"/>
            <w:vAlign w:val="bottom"/>
            <w:gridSpan w:val="2"/>
          </w:tcPr>
          <w:p>
            <w:pPr>
              <w:ind w:left="520"/>
              <w:spacing w:after="0"/>
              <w:rPr>
                <w:sz w:val="20"/>
                <w:szCs w:val="20"/>
                <w:color w:val="auto"/>
              </w:rPr>
            </w:pPr>
            <w:r>
              <w:rPr>
                <w:rFonts w:ascii="Arial" w:cs="Arial" w:eastAsia="Arial" w:hAnsi="Arial"/>
                <w:sz w:val="14"/>
                <w:szCs w:val="14"/>
                <w:color w:val="auto"/>
              </w:rPr>
              <w:t>The composition of our investment income for the years ended December 31, 2022 and 2021 was as follows (dollars in thousands):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7800" w:type="dxa"/>
            <w:vAlign w:val="bottom"/>
          </w:tcPr>
          <w:p>
            <w:pPr>
              <w:spacing w:after="0"/>
              <w:rPr>
                <w:sz w:val="24"/>
                <w:szCs w:val="24"/>
                <w:color w:val="auto"/>
              </w:rPr>
            </w:pPr>
          </w:p>
        </w:tc>
        <w:tc>
          <w:tcPr>
            <w:tcW w:w="28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7"/>
              </w:rPr>
              <w:t>For the Year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800" w:type="dxa"/>
            <w:vAlign w:val="bottom"/>
          </w:tcPr>
          <w:p>
            <w:pPr>
              <w:spacing w:after="0"/>
              <w:rPr>
                <w:sz w:val="14"/>
                <w:szCs w:val="14"/>
                <w:color w:val="auto"/>
              </w:rPr>
            </w:pPr>
          </w:p>
        </w:tc>
        <w:tc>
          <w:tcPr>
            <w:tcW w:w="1000" w:type="dxa"/>
            <w:vAlign w:val="bottom"/>
          </w:tcPr>
          <w:p>
            <w:pPr>
              <w:ind w:left="6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000" w:type="dxa"/>
            <w:vAlign w:val="bottom"/>
            <w:tcBorders>
              <w:top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13,666</w:t>
            </w:r>
          </w:p>
        </w:tc>
        <w:tc>
          <w:tcPr>
            <w:tcW w:w="2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14,825</w:t>
            </w:r>
          </w:p>
        </w:tc>
        <w:tc>
          <w:tcPr>
            <w:tcW w:w="100" w:type="dxa"/>
            <w:vAlign w:val="bottom"/>
            <w:shd w:val="clear" w:color="auto" w:fill="CFF0FC"/>
          </w:tcPr>
          <w:p>
            <w:pPr>
              <w:spacing w:after="0"/>
              <w:rPr>
                <w:sz w:val="14"/>
                <w:szCs w:val="14"/>
                <w:color w:val="auto"/>
              </w:rPr>
            </w:pPr>
          </w:p>
        </w:tc>
      </w:tr>
      <w:tr>
        <w:trPr>
          <w:trHeight w:val="175"/>
        </w:trPr>
        <w:tc>
          <w:tcPr>
            <w:tcW w:w="7800" w:type="dxa"/>
            <w:vAlign w:val="bottom"/>
          </w:tcPr>
          <w:p>
            <w:pPr>
              <w:ind w:left="20"/>
              <w:spacing w:after="0"/>
              <w:rPr>
                <w:sz w:val="20"/>
                <w:szCs w:val="20"/>
                <w:color w:val="auto"/>
              </w:rPr>
            </w:pPr>
            <w:r>
              <w:rPr>
                <w:rFonts w:ascii="Arial" w:cs="Arial" w:eastAsia="Arial" w:hAnsi="Arial"/>
                <w:sz w:val="14"/>
                <w:szCs w:val="14"/>
                <w:color w:val="auto"/>
              </w:rPr>
              <w:t>Payment-in-kind interest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1,106</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r>
      <w:tr>
        <w:trPr>
          <w:trHeight w:val="176"/>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10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FF0FC"/>
          </w:tcPr>
          <w:p>
            <w:pPr>
              <w:spacing w:after="0"/>
              <w:rPr>
                <w:sz w:val="15"/>
                <w:szCs w:val="15"/>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r>
      <w:tr>
        <w:trPr>
          <w:trHeight w:val="209"/>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14,927</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16,754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1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earn dividends on certain equity investments within our investment portfolio. As noted in our consolidated schedules of investments, some investments may be scheduled to pay a periodic dividend, though these recurring dividends do not make up a significant portion of our total investment income. We may receive, and have received, more substantial one-time dividends from our equity investments.</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also generate other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 ended December 31, 2022, total investment income decreased by $1.8 million, or 10.9%, compared to the year ended December 31, 2021.</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decrease from the prior year was driven primarily by a decrease in interest income, from $14.8 million for the year ended December 31, 2021 to $13.7 million for the year ended December 31, 2022. The decline in interest income is primarily due to lower average outstanding debt investments for the year ended December 31, 2022 compared to the year ended December 31, 2021.</w:t>
      </w:r>
    </w:p>
    <w:p>
      <w:pPr>
        <w:spacing w:after="0" w:line="10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For more information on the effects and potential effects of the discontinuation of LIBOR, see “</w:t>
      </w:r>
      <w:r>
        <w:rPr>
          <w:rFonts w:ascii="Arial" w:cs="Arial" w:eastAsia="Arial" w:hAnsi="Arial"/>
          <w:sz w:val="14"/>
          <w:szCs w:val="14"/>
          <w:i w:val="1"/>
          <w:iCs w:val="1"/>
          <w:color w:val="auto"/>
        </w:rPr>
        <w:t>The interest rates of some of our floating-rate loans to our portfolio companies may be</w:t>
      </w:r>
      <w:r>
        <w:rPr>
          <w:rFonts w:ascii="Arial" w:cs="Arial" w:eastAsia="Arial" w:hAnsi="Arial"/>
          <w:sz w:val="14"/>
          <w:szCs w:val="14"/>
          <w:color w:val="auto"/>
        </w:rPr>
        <w:t xml:space="preserve"> </w:t>
      </w:r>
      <w:r>
        <w:rPr>
          <w:rFonts w:ascii="Arial" w:cs="Arial" w:eastAsia="Arial" w:hAnsi="Arial"/>
          <w:sz w:val="14"/>
          <w:szCs w:val="14"/>
          <w:i w:val="1"/>
          <w:iCs w:val="1"/>
          <w:color w:val="auto"/>
        </w:rPr>
        <w:t>priced using a spread over LIBOR, which is being phased out.</w:t>
      </w:r>
      <w:r>
        <w:rPr>
          <w:rFonts w:ascii="Arial" w:cs="Arial" w:eastAsia="Arial" w:hAnsi="Arial"/>
          <w:sz w:val="14"/>
          <w:szCs w:val="14"/>
          <w:color w:val="auto"/>
        </w:rPr>
        <w:t>”</w:t>
      </w:r>
    </w:p>
    <w:p>
      <w:pPr>
        <w:spacing w:after="0" w:line="10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PIK income increased from $0.5 million for the year ended December 31, 2021 to $1.1 million for the year ended December 31, 2022. The increase in PIK income was due to an increase in investments with a contractual PIK rate.</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Dividend income decreased from $0.9 million for the year ended December 31, 2021 to less than $0.1 million for the year ended December 31, 2022 due to several one-time dividends received from portfolio companies during the year ended December 31, 2021.</w:t>
      </w:r>
    </w:p>
    <w:p>
      <w:pPr>
        <w:spacing w:after="0" w:line="9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For the year ended December 31, 2022, we generated $0.1 million of other income primarily from origination fees received on new investments. Comparatively, for the year ended December 31, 2021, we generated $0.6 million of other income, of which $0.5 million was from origination fees received from new investments and $0.1 million was from other fees.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60" w:type="dxa"/>
            <w:vAlign w:val="bottom"/>
          </w:tcPr>
          <w:p>
            <w:pPr>
              <w:spacing w:after="0"/>
              <w:rPr>
                <w:sz w:val="20"/>
                <w:szCs w:val="20"/>
                <w:color w:val="auto"/>
              </w:rPr>
            </w:pPr>
            <w:r>
              <w:rPr>
                <w:rFonts w:ascii="Arial" w:cs="Arial" w:eastAsia="Arial" w:hAnsi="Arial"/>
                <w:sz w:val="14"/>
                <w:szCs w:val="14"/>
                <w:b w:val="1"/>
                <w:bCs w:val="1"/>
                <w:i w:val="1"/>
                <w:iCs w:val="1"/>
                <w:color w:val="auto"/>
              </w:rPr>
              <w:t>Operating expenses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7760" w:type="dxa"/>
            <w:vAlign w:val="bottom"/>
          </w:tcPr>
          <w:p>
            <w:pPr>
              <w:ind w:left="520"/>
              <w:spacing w:after="0"/>
              <w:rPr>
                <w:sz w:val="20"/>
                <w:szCs w:val="20"/>
                <w:color w:val="auto"/>
              </w:rPr>
            </w:pPr>
            <w:r>
              <w:rPr>
                <w:rFonts w:ascii="Arial" w:cs="Arial" w:eastAsia="Arial" w:hAnsi="Arial"/>
                <w:sz w:val="14"/>
                <w:szCs w:val="14"/>
                <w:color w:val="auto"/>
                <w:w w:val="95"/>
              </w:rPr>
              <w:t>The composition of our expenses for the years ended December 31, 2022 and 2021 was as follows (dollars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6"/>
        </w:trPr>
        <w:tc>
          <w:tcPr>
            <w:tcW w:w="776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6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1020" w:type="dxa"/>
            <w:vAlign w:val="bottom"/>
            <w:tcBorders>
              <w:top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7,815</w:t>
            </w:r>
          </w:p>
        </w:tc>
        <w:tc>
          <w:tcPr>
            <w:tcW w:w="2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10,569</w:t>
            </w: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3,861</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4,846</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fees</w:t>
            </w:r>
          </w:p>
        </w:tc>
        <w:tc>
          <w:tcPr>
            <w:tcW w:w="10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4"/>
                <w:szCs w:val="14"/>
                <w:color w:val="auto"/>
              </w:rPr>
              <w:t>Administrative service fees</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15"/>
                <w:szCs w:val="15"/>
                <w:color w:val="auto"/>
              </w:rPr>
            </w:pPr>
          </w:p>
        </w:tc>
      </w:tr>
      <w:tr>
        <w:trPr>
          <w:trHeight w:val="176"/>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10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3,300</w:t>
            </w:r>
          </w:p>
        </w:tc>
        <w:tc>
          <w:tcPr>
            <w:tcW w:w="2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16,089</w:t>
            </w:r>
          </w:p>
        </w:tc>
        <w:tc>
          <w:tcPr>
            <w:tcW w:w="130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20,347</w:t>
            </w:r>
          </w:p>
        </w:tc>
        <w:tc>
          <w:tcPr>
            <w:tcW w:w="10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For the year ended December 31, 2022, operating expenses decreased by $4.3 million, or 20.9%, compared to the year ended December 31, 2021. Interest and financing expenses declined from $10.6 million for the year ended December 31, 2021 to $7.8 million for the year ended December 31, 2022 primarily due to a lower cost of capital as well as lower average debt outstanding during the period during the year ended December 31, 2022. Our base management fee declined from $4.8 million for the year ended December 31, 2021 to $3.9 million for the year ended December 31, 2022 due to lower average assets under management. No incentive fees were earned during the years ended December 31, 2022 and 2021. Administrative services fees decreased to $0.6 million for the year ended December 31, 2022 from $1.0 million for the year ended December 31, 2021. General and administrative expenses decreased from $3.5 million for the year ended December 31, 2021 to $3.3 million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(losses) on sales of investments</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During the years ended December 31, 2022 and 2021, we recognized $13.8 million of net realized gains and $8.0 million of net realized losses on our portfolio investments, respectively. The change in realized gains and losses was primarily due to changes in the market conditions of our investments and the values at which they were realized, caused by the fluctuations in the market and in the economy.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unrealized appreciation (depreciation) on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58" w:name="page59"/>
    <w:bookmarkEnd w:id="58"/>
    <w:p>
      <w:pPr>
        <w:jc w:val="both"/>
        <w:ind w:firstLine="509"/>
        <w:spacing w:after="0" w:line="233" w:lineRule="auto"/>
        <w:rPr>
          <w:sz w:val="20"/>
          <w:szCs w:val="20"/>
          <w:color w:val="auto"/>
        </w:rPr>
      </w:pPr>
      <w:r>
        <w:rPr>
          <w:rFonts w:ascii="Arial" w:cs="Arial" w:eastAsia="Arial" w:hAnsi="Arial"/>
          <w:sz w:val="14"/>
          <w:szCs w:val="14"/>
          <w:color w:val="auto"/>
        </w:rPr>
        <w:t>Net change in unrealized appreciation (depreciation) on investments reflects the net change in the fair value of our investment portfolio. For the years ended December 31, 2022 and 2021, we had $(24.6) million and $10.7 million of net change in unrealized (depreciation) appreciation on investments, respectively. The net change in unrealized (depreciation) appreciation our investments for the year ended December 31, 2022 compared to the prior year was primarily due to changes in the capital market conditions of our investments and the values at which they were realized, caused by the fluctuation in the market and in the economy.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net assets resulting from operations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For the years ended December 31, 2022 and 2021, we recorded a net decrease in net assets resulting from operations of $12.0 million and $1.9 million, respectively. Based on the weighted average shares of common stock outstanding for the years ended December 31, 2022 and 2021, our per share net decrease in net assets resulting from operations was $4.44 and $0.71,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 the years ended December 31, 2021 and 2020</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comparison of the fiscal years ended December 31, 2021 and 2020 can be found in our annual report on Form 10-K for the fiscal year ended December 31, 2021 located within Part II, Item 7. Management’s Discussion and Analysis of Financial Condition and Results of Operations, which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use and intend to use existing cash primarily to originate investments in new and existing portfolio companies, pay distributions to our stockholders, and repay indebtedness.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Since our IPO, we have raised approximately $136.0 million in net proceeds from equity offerings through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KeyBank Credit Facility</w:t>
      </w:r>
    </w:p>
    <w:p>
      <w:pPr>
        <w:spacing w:after="0" w:line="140"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4"/>
          <w:szCs w:val="14"/>
          <w:color w:val="auto"/>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December 31, 2022, there were draws of $55.9 million on the KeyBank Credit Facility. The KeyBank Credit Facility includes customary events of default for revolving credit facilities of this nature. As of December 31, 2022, assets pledged to secure the KeyBank Credit Facility had a fair value of $111.3 million.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2032 Convertible Notes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April 1, 2022, we issued $15.0 million in aggregate principal amount of 5.25% fixed-rate convertible notes due April 1, 2032 (the “2032 Convertible Notes”).</w:t>
      </w:r>
    </w:p>
    <w:p>
      <w:pPr>
        <w:spacing w:after="0" w:line="9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We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We have determined that the embedded conversion option in the 2032 Convertible Notes is not required to be separately accounted for as a derivative under U.S. GAAP.</w:t>
      </w:r>
    </w:p>
    <w:p>
      <w:pPr>
        <w:spacing w:after="0" w:line="75"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We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We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 As of December 31, 2022, the Company had $15.0 million in 2032 Convertible Notes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2026 Notes</w:t>
      </w:r>
    </w:p>
    <w:p>
      <w:pPr>
        <w:spacing w:after="0" w:line="12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231F20"/>
        </w:rPr>
        <w:t xml:space="preserve">On October 29, 2021, we issued $50.0 million in aggregate principal amount of 5.25% fixed 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w:t>
      </w:r>
      <w:r>
        <w:rPr>
          <w:rFonts w:ascii="Arial" w:cs="Arial" w:eastAsia="Arial" w:hAnsi="Arial"/>
          <w:sz w:val="13"/>
          <w:szCs w:val="13"/>
          <w:color w:val="000000"/>
        </w:rPr>
        <w:t>The Notes will mature on October 30, 2026 and may be redeemed in whole or in part at the Company’s option at any time or from time to time at the</w:t>
      </w:r>
      <w:r>
        <w:rPr>
          <w:rFonts w:ascii="Arial" w:cs="Arial" w:eastAsia="Arial" w:hAnsi="Arial"/>
          <w:sz w:val="13"/>
          <w:szCs w:val="13"/>
          <w:color w:val="231F20"/>
        </w:rPr>
        <w:t xml:space="preserve"> </w:t>
      </w:r>
      <w:r>
        <w:rPr>
          <w:rFonts w:ascii="Arial" w:cs="Arial" w:eastAsia="Arial" w:hAnsi="Arial"/>
          <w:sz w:val="13"/>
          <w:szCs w:val="13"/>
          <w:color w:val="000000"/>
        </w:rPr>
        <w:t xml:space="preserve">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Arial" w:cs="Arial" w:eastAsia="Arial" w:hAnsi="Arial"/>
          <w:sz w:val="13"/>
          <w:szCs w:val="13"/>
          <w:i w:val="1"/>
          <w:iCs w:val="1"/>
          <w:color w:val="000000"/>
        </w:rPr>
        <w:t>pari passu</w:t>
      </w:r>
      <w:r>
        <w:rPr>
          <w:rFonts w:ascii="Arial" w:cs="Arial" w:eastAsia="Arial" w:hAnsi="Arial"/>
          <w:sz w:val="13"/>
          <w:szCs w:val="13"/>
          <w:color w:val="000000"/>
        </w:rPr>
        <w:t xml:space="preserve"> with all existing and future unsecured unsubordinated indebtedness issued by the Company, rank effectively junior to any of the Company’s secured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4"/>
          <w:szCs w:val="14"/>
          <w:color w:val="auto"/>
        </w:rPr>
        <w:t>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231F20"/>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 As of December 31, 2022, we had approximately $50.0 million in aggregate principal amount of 2026 Notes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Notes</w:t>
      </w:r>
    </w:p>
    <w:p>
      <w:pPr>
        <w:spacing w:after="0" w:line="14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 xml:space="preserve">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w:t>
      </w:r>
      <w:r>
        <w:rPr>
          <w:rFonts w:ascii="Arial" w:cs="Arial" w:eastAsia="Arial" w:hAnsi="Arial"/>
          <w:sz w:val="14"/>
          <w:szCs w:val="14"/>
          <w:color w:val="231F20"/>
        </w:rPr>
        <w:t>On November 1, 2021, we notified the Trustee for the 2022</w:t>
      </w:r>
      <w:r>
        <w:rPr>
          <w:rFonts w:ascii="Arial" w:cs="Arial" w:eastAsia="Arial" w:hAnsi="Arial"/>
          <w:sz w:val="14"/>
          <w:szCs w:val="14"/>
          <w:color w:val="auto"/>
        </w:rPr>
        <w:t xml:space="preserve"> </w:t>
      </w:r>
      <w:r>
        <w:rPr>
          <w:rFonts w:ascii="Arial" w:cs="Arial" w:eastAsia="Arial" w:hAnsi="Arial"/>
          <w:sz w:val="14"/>
          <w:szCs w:val="14"/>
          <w:color w:val="231F20"/>
        </w:rPr>
        <w:t>Notes, of the Company’s election to redeem the $50.0 million aggregate principal amount of the 2022 Notes outstanding. The redemption was completed on December 6, 2021. O</w:t>
      </w:r>
      <w:r>
        <w:rPr>
          <w:rFonts w:ascii="Arial" w:cs="Arial" w:eastAsia="Arial" w:hAnsi="Arial"/>
          <w:sz w:val="14"/>
          <w:szCs w:val="14"/>
          <w:color w:val="000000"/>
        </w:rPr>
        <w:t>n May 31, 2022,</w:t>
      </w:r>
      <w:r>
        <w:rPr>
          <w:rFonts w:ascii="Arial" w:cs="Arial" w:eastAsia="Arial" w:hAnsi="Arial"/>
          <w:sz w:val="14"/>
          <w:szCs w:val="14"/>
          <w:color w:val="231F20"/>
        </w:rPr>
        <w:t xml:space="preserve"> </w:t>
      </w:r>
      <w:r>
        <w:rPr>
          <w:rFonts w:ascii="Arial" w:cs="Arial" w:eastAsia="Arial" w:hAnsi="Arial"/>
          <w:sz w:val="14"/>
          <w:szCs w:val="14"/>
          <w:color w:val="000000"/>
        </w:rPr>
        <w:t>the 2022 Notes reached maturity, and the entire outstanding principal of the 2022 Notes became payable and was paid by the Company. Accordingly, as of December 31, 2022, there were no 2022 Notes outstanding.</w:t>
      </w:r>
    </w:p>
    <w:p>
      <w:pPr>
        <w:spacing w:after="0" w:line="1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Convertible Notes</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December 31, 2022, there were no 2022 Convertible Notes outstanding.</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Interest on the 2022 Convertible Notes was payable quarterly. The 2022 Convertible Notes were listed on the NASDAQ Capital Market under the trading symbol “CPTAG” with a par value of $25.00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Asset Coverage Ratio</w:t>
      </w:r>
    </w:p>
    <w:p>
      <w:pPr>
        <w:spacing w:after="0" w:line="12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were changed from 200% to 150%, effective November 1, 2019. As of December 31, 2022, our asset coverage ratio was 177%. If our asset coverage ratio falls below 150% due a decline in the fair market of our portfolio, we may be limited in our ability to raise additional debt.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we had $6.8 million in cash and cash equivalents, and our net assets totaled $95.0 million.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4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9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our significant contractual payment obligations as of December 31, 2022 are as follows (dollars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Contractual Obligations Payments Due by Period</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760" w:type="dxa"/>
            <w:vAlign w:val="bottom"/>
          </w:tcPr>
          <w:p>
            <w:pPr>
              <w:jc w:val="center"/>
              <w:ind w:left="168"/>
              <w:spacing w:after="0" w:line="133" w:lineRule="exact"/>
              <w:rPr>
                <w:sz w:val="20"/>
                <w:szCs w:val="20"/>
                <w:color w:val="auto"/>
              </w:rPr>
            </w:pPr>
            <w:r>
              <w:rPr>
                <w:rFonts w:ascii="Arial" w:cs="Arial" w:eastAsia="Arial" w:hAnsi="Arial"/>
                <w:sz w:val="14"/>
                <w:szCs w:val="14"/>
                <w:b w:val="1"/>
                <w:bCs w:val="1"/>
                <w:color w:val="auto"/>
                <w:w w:val="87"/>
              </w:rPr>
              <w:t>Less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3 – 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rPr>
              <w:t>More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5"/>
              </w:rPr>
              <w:t>Than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5"/>
              </w:rPr>
              <w:t>Than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7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76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2032 Convertible Notes</w:t>
            </w:r>
          </w:p>
        </w:tc>
        <w:tc>
          <w:tcPr>
            <w:tcW w:w="76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8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105.9</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-144780</wp:posOffset>
            </wp:positionV>
            <wp:extent cx="7683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-144780</wp:posOffset>
            </wp:positionV>
            <wp:extent cx="685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-144780</wp:posOffset>
            </wp:positionV>
            <wp:extent cx="685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-144780</wp:posOffset>
            </wp:positionV>
            <wp:extent cx="685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Senior Securities</w:t>
      </w:r>
    </w:p>
    <w:p>
      <w:pPr>
        <w:spacing w:after="0" w:line="140"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Information about the Company’s senior securities as of December 31, 2022, 2021, 2020, 2019, 2018, 2017, 2016, 2015, 2014 and 2013, and information about Fund II’s and Fund III’s senior securities as of December 31, 2012 are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Involuntary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4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Class and Year</w:t>
            </w: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Liquidation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40" w:type="dxa"/>
            <w:vAlign w:val="bottom"/>
            <w:gridSpan w:val="15"/>
            <w:vMerge w:val="continue"/>
          </w:tcPr>
          <w:p>
            <w:pPr>
              <w:spacing w:after="0"/>
              <w:rPr>
                <w:sz w:val="16"/>
                <w:szCs w:val="16"/>
                <w:color w:val="auto"/>
              </w:rPr>
            </w:pPr>
          </w:p>
        </w:tc>
        <w:tc>
          <w:tcPr>
            <w:tcW w:w="1240" w:type="dxa"/>
            <w:vAlign w:val="bottom"/>
          </w:tcPr>
          <w:p>
            <w:pPr>
              <w:ind w:left="80"/>
              <w:spacing w:after="0" w:line="189"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9"/>
                <w:szCs w:val="19"/>
                <w:b w:val="1"/>
                <w:bCs w:val="1"/>
                <w:color w:val="auto"/>
                <w:vertAlign w:val="superscript"/>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8"/>
              <w:spacing w:after="0" w:line="189" w:lineRule="exact"/>
              <w:rPr>
                <w:sz w:val="20"/>
                <w:szCs w:val="20"/>
                <w:color w:val="auto"/>
              </w:rPr>
            </w:pPr>
            <w:r>
              <w:rPr>
                <w:rFonts w:ascii="Arial" w:cs="Arial" w:eastAsia="Arial" w:hAnsi="Arial"/>
                <w:sz w:val="14"/>
                <w:szCs w:val="14"/>
                <w:b w:val="1"/>
                <w:bCs w:val="1"/>
                <w:color w:val="auto"/>
                <w:w w:val="87"/>
              </w:rPr>
              <w:t>Per Unit</w:t>
            </w:r>
            <w:r>
              <w:rPr>
                <w:rFonts w:ascii="Arial" w:cs="Arial" w:eastAsia="Arial" w:hAnsi="Arial"/>
                <w:sz w:val="19"/>
                <w:szCs w:val="19"/>
                <w:b w:val="1"/>
                <w:bCs w:val="1"/>
                <w:color w:val="auto"/>
                <w:w w:val="87"/>
                <w:vertAlign w:val="superscript"/>
              </w:rPr>
              <w:t>(2)(7)</w:t>
            </w:r>
          </w:p>
        </w:tc>
        <w:tc>
          <w:tcPr>
            <w:tcW w:w="12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Preference per Unit</w:t>
            </w:r>
            <w:r>
              <w:rPr>
                <w:rFonts w:ascii="Arial" w:cs="Arial" w:eastAsia="Arial" w:hAnsi="Arial"/>
                <w:sz w:val="19"/>
                <w:szCs w:val="19"/>
                <w:b w:val="1"/>
                <w:bCs w:val="1"/>
                <w:color w:val="auto"/>
                <w:w w:val="91"/>
                <w:vertAlign w:val="superscript"/>
              </w:rPr>
              <w:t>(3)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68"/>
              <w:spacing w:after="0" w:line="189" w:lineRule="exact"/>
              <w:rPr>
                <w:sz w:val="20"/>
                <w:szCs w:val="20"/>
                <w:color w:val="auto"/>
              </w:rPr>
            </w:pPr>
            <w:r>
              <w:rPr>
                <w:rFonts w:ascii="Arial" w:cs="Arial" w:eastAsia="Arial" w:hAnsi="Arial"/>
                <w:sz w:val="14"/>
                <w:szCs w:val="14"/>
                <w:b w:val="1"/>
                <w:bCs w:val="1"/>
                <w:color w:val="auto"/>
                <w:w w:val="91"/>
              </w:rPr>
              <w:t>Value per Unit</w:t>
            </w:r>
            <w:r>
              <w:rPr>
                <w:rFonts w:ascii="Arial" w:cs="Arial" w:eastAsia="Arial" w:hAnsi="Arial"/>
                <w:sz w:val="19"/>
                <w:szCs w:val="19"/>
                <w:b w:val="1"/>
                <w:bCs w:val="1"/>
                <w:color w:val="auto"/>
                <w:w w:val="91"/>
                <w:vertAlign w:val="superscript"/>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auto"/>
              <w:bottom w:val="single" w:sz="8" w:color="auto"/>
            </w:tcBorders>
            <w:vMerge w:val="restart"/>
            <w:shd w:val="clear" w:color="auto" w:fill="CFF0FC"/>
          </w:tcPr>
          <w:p>
            <w:pPr>
              <w:spacing w:after="0"/>
              <w:rPr>
                <w:sz w:val="6"/>
                <w:szCs w:val="6"/>
                <w:color w:val="auto"/>
              </w:rPr>
            </w:pPr>
          </w:p>
        </w:tc>
        <w:tc>
          <w:tcPr>
            <w:tcW w:w="1500" w:type="dxa"/>
            <w:vAlign w:val="bottom"/>
            <w:tcBorders>
              <w:top w:val="single" w:sz="8" w:color="auto"/>
              <w:bottom w:val="single" w:sz="8" w:color="auto"/>
            </w:tcBorders>
            <w:gridSpan w:val="7"/>
            <w:vMerge w:val="restart"/>
            <w:shd w:val="clear" w:color="auto" w:fill="CFF0FC"/>
          </w:tcPr>
          <w:p>
            <w:pPr>
              <w:spacing w:after="0" w:line="142" w:lineRule="exact"/>
              <w:rPr>
                <w:sz w:val="20"/>
                <w:szCs w:val="20"/>
                <w:color w:val="auto"/>
              </w:rPr>
            </w:pPr>
            <w:r>
              <w:rPr>
                <w:rFonts w:ascii="Arial" w:cs="Arial" w:eastAsia="Arial" w:hAnsi="Arial"/>
                <w:sz w:val="14"/>
                <w:szCs w:val="14"/>
                <w:b w:val="1"/>
                <w:bCs w:val="1"/>
                <w:color w:val="auto"/>
                <w:w w:val="94"/>
              </w:rPr>
              <w:t>KeyBank Credit Facility</w:t>
            </w:r>
          </w:p>
        </w:tc>
        <w:tc>
          <w:tcPr>
            <w:tcW w:w="120" w:type="dxa"/>
            <w:vAlign w:val="bottom"/>
            <w:tcBorders>
              <w:top w:val="single" w:sz="8" w:color="auto"/>
              <w:bottom w:val="single" w:sz="8" w:color="auto"/>
            </w:tcBorders>
            <w:shd w:val="clear" w:color="auto" w:fill="CFF0FC"/>
          </w:tcPr>
          <w:p>
            <w:pPr>
              <w:jc w:val="right"/>
              <w:spacing w:after="0" w:line="61" w:lineRule="exact"/>
              <w:rPr>
                <w:sz w:val="20"/>
                <w:szCs w:val="20"/>
                <w:color w:val="auto"/>
              </w:rPr>
            </w:pPr>
            <w:r>
              <w:rPr>
                <w:rFonts w:ascii="Arial" w:cs="Arial" w:eastAsia="Arial" w:hAnsi="Arial"/>
                <w:sz w:val="7"/>
                <w:szCs w:val="7"/>
                <w:b w:val="1"/>
                <w:bCs w:val="1"/>
                <w:color w:val="auto"/>
              </w:rPr>
              <w:t>(5)</w:t>
            </w:r>
          </w:p>
        </w:tc>
        <w:tc>
          <w:tcPr>
            <w:tcW w:w="3340" w:type="dxa"/>
            <w:vAlign w:val="bottom"/>
            <w:tcBorders>
              <w:top w:val="single" w:sz="8" w:color="auto"/>
              <w:bottom w:val="single" w:sz="8" w:color="auto"/>
            </w:tcBorders>
            <w:gridSpan w:val="4"/>
            <w:vMerge w:val="restart"/>
            <w:shd w:val="clear" w:color="auto" w:fill="CFF0FC"/>
          </w:tcPr>
          <w:p>
            <w:pPr>
              <w:spacing w:after="0"/>
              <w:rPr>
                <w:sz w:val="6"/>
                <w:szCs w:val="6"/>
                <w:color w:val="auto"/>
              </w:rPr>
            </w:pPr>
          </w:p>
        </w:tc>
        <w:tc>
          <w:tcPr>
            <w:tcW w:w="80" w:type="dxa"/>
            <w:vAlign w:val="bottom"/>
            <w:tcBorders>
              <w:bottom w:val="single" w:sz="8" w:color="CFF0FC"/>
            </w:tcBorders>
            <w:shd w:val="clear" w:color="auto" w:fill="CFF0FC"/>
          </w:tcPr>
          <w:p>
            <w:pPr>
              <w:spacing w:after="0"/>
              <w:rPr>
                <w:sz w:val="6"/>
                <w:szCs w:val="6"/>
                <w:color w:val="auto"/>
              </w:rPr>
            </w:pPr>
          </w:p>
        </w:tc>
        <w:tc>
          <w:tcPr>
            <w:tcW w:w="180" w:type="dxa"/>
            <w:vAlign w:val="bottom"/>
            <w:tcBorders>
              <w:top w:val="single" w:sz="8" w:color="auto"/>
              <w:bottom w:val="single" w:sz="8" w:color="CFF0FC"/>
            </w:tcBorders>
            <w:shd w:val="clear" w:color="auto" w:fill="CFF0FC"/>
          </w:tcPr>
          <w:p>
            <w:pPr>
              <w:spacing w:after="0"/>
              <w:rPr>
                <w:sz w:val="6"/>
                <w:szCs w:val="6"/>
                <w:color w:val="auto"/>
              </w:rPr>
            </w:pPr>
          </w:p>
        </w:tc>
        <w:tc>
          <w:tcPr>
            <w:tcW w:w="1240" w:type="dxa"/>
            <w:vAlign w:val="bottom"/>
            <w:tcBorders>
              <w:top w:val="single" w:sz="8" w:color="auto"/>
              <w:bottom w:val="single" w:sz="8" w:color="CFF0FC"/>
            </w:tcBorders>
            <w:shd w:val="clear" w:color="auto" w:fill="CFF0FC"/>
          </w:tcPr>
          <w:p>
            <w:pPr>
              <w:spacing w:after="0"/>
              <w:rPr>
                <w:sz w:val="6"/>
                <w:szCs w:val="6"/>
                <w:color w:val="auto"/>
              </w:rPr>
            </w:pPr>
          </w:p>
        </w:tc>
        <w:tc>
          <w:tcPr>
            <w:tcW w:w="200" w:type="dxa"/>
            <w:vAlign w:val="bottom"/>
            <w:tcBorders>
              <w:bottom w:val="single" w:sz="8" w:color="CFF0FC"/>
            </w:tcBorders>
            <w:shd w:val="clear" w:color="auto" w:fill="CFF0FC"/>
          </w:tcPr>
          <w:p>
            <w:pPr>
              <w:spacing w:after="0"/>
              <w:rPr>
                <w:sz w:val="6"/>
                <w:szCs w:val="6"/>
                <w:color w:val="auto"/>
              </w:rPr>
            </w:pPr>
          </w:p>
        </w:tc>
        <w:tc>
          <w:tcPr>
            <w:tcW w:w="200" w:type="dxa"/>
            <w:vAlign w:val="bottom"/>
            <w:tcBorders>
              <w:top w:val="single" w:sz="8" w:color="auto"/>
              <w:bottom w:val="single" w:sz="8" w:color="CFF0FC"/>
            </w:tcBorders>
            <w:shd w:val="clear" w:color="auto" w:fill="CFF0FC"/>
          </w:tcPr>
          <w:p>
            <w:pPr>
              <w:spacing w:after="0"/>
              <w:rPr>
                <w:sz w:val="6"/>
                <w:szCs w:val="6"/>
                <w:color w:val="auto"/>
              </w:rPr>
            </w:pPr>
          </w:p>
        </w:tc>
        <w:tc>
          <w:tcPr>
            <w:tcW w:w="1180" w:type="dxa"/>
            <w:vAlign w:val="bottom"/>
            <w:tcBorders>
              <w:top w:val="single" w:sz="8" w:color="auto"/>
              <w:bottom w:val="single" w:sz="8" w:color="CFF0FC"/>
            </w:tcBorders>
            <w:shd w:val="clear" w:color="auto" w:fill="CFF0FC"/>
          </w:tcPr>
          <w:p>
            <w:pPr>
              <w:spacing w:after="0"/>
              <w:rPr>
                <w:sz w:val="6"/>
                <w:szCs w:val="6"/>
                <w:color w:val="auto"/>
              </w:rPr>
            </w:pPr>
          </w:p>
        </w:tc>
        <w:tc>
          <w:tcPr>
            <w:tcW w:w="120" w:type="dxa"/>
            <w:vAlign w:val="bottom"/>
            <w:tcBorders>
              <w:bottom w:val="single" w:sz="8" w:color="CFF0FC"/>
            </w:tcBorders>
            <w:shd w:val="clear" w:color="auto" w:fill="CFF0FC"/>
          </w:tcPr>
          <w:p>
            <w:pPr>
              <w:spacing w:after="0"/>
              <w:rPr>
                <w:sz w:val="6"/>
                <w:szCs w:val="6"/>
                <w:color w:val="auto"/>
              </w:rPr>
            </w:pPr>
          </w:p>
        </w:tc>
        <w:tc>
          <w:tcPr>
            <w:tcW w:w="1380" w:type="dxa"/>
            <w:vAlign w:val="bottom"/>
            <w:tcBorders>
              <w:top w:val="single" w:sz="8" w:color="auto"/>
              <w:bottom w:val="single" w:sz="8" w:color="CFF0FC"/>
            </w:tcBorders>
            <w:shd w:val="clear" w:color="auto" w:fill="CFF0FC"/>
          </w:tcPr>
          <w:p>
            <w:pPr>
              <w:spacing w:after="0"/>
              <w:rPr>
                <w:sz w:val="6"/>
                <w:szCs w:val="6"/>
                <w:color w:val="auto"/>
              </w:rPr>
            </w:pPr>
          </w:p>
        </w:tc>
        <w:tc>
          <w:tcPr>
            <w:tcW w:w="180" w:type="dxa"/>
            <w:vAlign w:val="bottom"/>
            <w:tcBorders>
              <w:bottom w:val="single" w:sz="8" w:color="CFF0FC"/>
            </w:tcBorders>
            <w:shd w:val="clear" w:color="auto" w:fill="CFF0FC"/>
          </w:tcPr>
          <w:p>
            <w:pPr>
              <w:spacing w:after="0"/>
              <w:rPr>
                <w:sz w:val="6"/>
                <w:szCs w:val="6"/>
                <w:color w:val="auto"/>
              </w:rPr>
            </w:pPr>
          </w:p>
        </w:tc>
        <w:tc>
          <w:tcPr>
            <w:tcW w:w="140" w:type="dxa"/>
            <w:vAlign w:val="bottom"/>
            <w:tcBorders>
              <w:top w:val="single" w:sz="8" w:color="auto"/>
              <w:bottom w:val="single" w:sz="8" w:color="CFF0FC"/>
            </w:tcBorders>
            <w:shd w:val="clear" w:color="auto" w:fill="CFF0FC"/>
          </w:tcPr>
          <w:p>
            <w:pPr>
              <w:spacing w:after="0"/>
              <w:rPr>
                <w:sz w:val="6"/>
                <w:szCs w:val="6"/>
                <w:color w:val="auto"/>
              </w:rPr>
            </w:pPr>
          </w:p>
        </w:tc>
        <w:tc>
          <w:tcPr>
            <w:tcW w:w="1260" w:type="dxa"/>
            <w:vAlign w:val="bottom"/>
            <w:tcBorders>
              <w:top w:val="single" w:sz="8" w:color="auto"/>
              <w:bottom w:val="single" w:sz="8" w:color="CFF0FC"/>
            </w:tcBorders>
            <w:shd w:val="clear" w:color="auto" w:fill="CFF0FC"/>
          </w:tcPr>
          <w:p>
            <w:pPr>
              <w:spacing w:after="0"/>
              <w:rPr>
                <w:sz w:val="6"/>
                <w:szCs w:val="6"/>
                <w:color w:val="auto"/>
              </w:rPr>
            </w:pPr>
          </w:p>
        </w:tc>
        <w:tc>
          <w:tcPr>
            <w:tcW w:w="100" w:type="dxa"/>
            <w:vAlign w:val="bottom"/>
            <w:tcBorders>
              <w:bottom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CFF0FC"/>
            </w:tcBorders>
            <w:vMerge w:val="continue"/>
            <w:shd w:val="clear" w:color="auto" w:fill="CFF0FC"/>
          </w:tcPr>
          <w:p>
            <w:pPr>
              <w:spacing w:after="0"/>
              <w:rPr>
                <w:sz w:val="4"/>
                <w:szCs w:val="4"/>
                <w:color w:val="auto"/>
              </w:rPr>
            </w:pPr>
          </w:p>
        </w:tc>
        <w:tc>
          <w:tcPr>
            <w:tcW w:w="1500" w:type="dxa"/>
            <w:vAlign w:val="bottom"/>
            <w:tcBorders>
              <w:bottom w:val="single" w:sz="8" w:color="auto"/>
            </w:tcBorders>
            <w:gridSpan w:val="7"/>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3340" w:type="dxa"/>
            <w:vAlign w:val="bottom"/>
            <w:tcBorders>
              <w:bottom w:val="single" w:sz="8" w:color="CFF0FC"/>
            </w:tcBorders>
            <w:gridSpan w:val="4"/>
            <w:vMerge w:val="continue"/>
            <w:shd w:val="clear" w:color="auto" w:fill="CFF0FC"/>
          </w:tcPr>
          <w:p>
            <w:pPr>
              <w:spacing w:after="0"/>
              <w:rPr>
                <w:sz w:val="4"/>
                <w:szCs w:val="4"/>
                <w:color w:val="auto"/>
              </w:rPr>
            </w:pPr>
          </w:p>
        </w:tc>
        <w:tc>
          <w:tcPr>
            <w:tcW w:w="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124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11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3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140" w:type="dxa"/>
            <w:vAlign w:val="bottom"/>
            <w:tcBorders>
              <w:bottom w:val="single" w:sz="8" w:color="CFF0FC"/>
            </w:tcBorders>
            <w:shd w:val="clear" w:color="auto" w:fill="CFF0FC"/>
          </w:tcPr>
          <w:p>
            <w:pPr>
              <w:spacing w:after="0"/>
              <w:rPr>
                <w:sz w:val="4"/>
                <w:szCs w:val="4"/>
                <w:color w:val="auto"/>
              </w:rPr>
            </w:pPr>
          </w:p>
        </w:tc>
        <w:tc>
          <w:tcPr>
            <w:tcW w:w="12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2022</w:t>
            </w:r>
          </w:p>
        </w:tc>
        <w:tc>
          <w:tcPr>
            <w:tcW w:w="4920" w:type="dxa"/>
            <w:vAlign w:val="bottom"/>
            <w:gridSpan w:val="1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55,937</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2021</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CFF0FC"/>
            </w:tcBorders>
            <w:vMerge w:val="restart"/>
            <w:shd w:val="clear" w:color="auto" w:fill="CFF0FC"/>
          </w:tcPr>
          <w:p>
            <w:pPr>
              <w:spacing w:after="0"/>
              <w:rPr>
                <w:sz w:val="7"/>
                <w:szCs w:val="7"/>
                <w:color w:val="auto"/>
              </w:rPr>
            </w:pPr>
          </w:p>
        </w:tc>
        <w:tc>
          <w:tcPr>
            <w:tcW w:w="1200" w:type="dxa"/>
            <w:vAlign w:val="bottom"/>
            <w:tcBorders>
              <w:bottom w:val="single" w:sz="8" w:color="CFF0FC"/>
            </w:tcBorders>
            <w:gridSpan w:val="3"/>
            <w:vMerge w:val="restart"/>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7"/>
              </w:rPr>
              <w:t>ING Credit Facility</w:t>
            </w:r>
          </w:p>
        </w:tc>
        <w:tc>
          <w:tcPr>
            <w:tcW w:w="120" w:type="dxa"/>
            <w:vAlign w:val="bottom"/>
            <w:tcBorders>
              <w:bottom w:val="single" w:sz="8" w:color="auto"/>
            </w:tcBorders>
            <w:shd w:val="clear" w:color="auto" w:fill="CFF0FC"/>
          </w:tcPr>
          <w:p>
            <w:pPr>
              <w:jc w:val="right"/>
              <w:spacing w:after="0" w:line="61" w:lineRule="exact"/>
              <w:rPr>
                <w:sz w:val="20"/>
                <w:szCs w:val="20"/>
                <w:color w:val="auto"/>
              </w:rPr>
            </w:pPr>
            <w:r>
              <w:rPr>
                <w:rFonts w:ascii="Arial" w:cs="Arial" w:eastAsia="Arial" w:hAnsi="Arial"/>
                <w:sz w:val="7"/>
                <w:szCs w:val="7"/>
                <w:b w:val="1"/>
                <w:bCs w:val="1"/>
                <w:color w:val="auto"/>
              </w:rPr>
              <w:t>(6)</w:t>
            </w:r>
          </w:p>
        </w:tc>
        <w:tc>
          <w:tcPr>
            <w:tcW w:w="3900" w:type="dxa"/>
            <w:vAlign w:val="bottom"/>
            <w:tcBorders>
              <w:bottom w:val="single" w:sz="8" w:color="CFF0FC"/>
            </w:tcBorders>
            <w:gridSpan w:val="10"/>
            <w:vMerge w:val="restart"/>
            <w:shd w:val="clear" w:color="auto" w:fill="CFF0FC"/>
          </w:tcPr>
          <w:p>
            <w:pPr>
              <w:spacing w:after="0"/>
              <w:rPr>
                <w:sz w:val="7"/>
                <w:szCs w:val="7"/>
                <w:color w:val="auto"/>
              </w:rPr>
            </w:pPr>
          </w:p>
        </w:tc>
        <w:tc>
          <w:tcPr>
            <w:tcW w:w="1240" w:type="dxa"/>
            <w:vAlign w:val="bottom"/>
            <w:tcBorders>
              <w:bottom w:val="single" w:sz="8" w:color="CFF0FC"/>
            </w:tcBorders>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118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bottom w:val="single" w:sz="8" w:color="CFF0FC"/>
            </w:tcBorders>
            <w:shd w:val="clear" w:color="auto" w:fill="CFF0FC"/>
          </w:tcPr>
          <w:p>
            <w:pPr>
              <w:spacing w:after="0"/>
              <w:rPr>
                <w:sz w:val="7"/>
                <w:szCs w:val="7"/>
                <w:color w:val="auto"/>
              </w:rPr>
            </w:pPr>
          </w:p>
        </w:tc>
        <w:tc>
          <w:tcPr>
            <w:tcW w:w="180" w:type="dxa"/>
            <w:vAlign w:val="bottom"/>
            <w:tcBorders>
              <w:bottom w:val="single" w:sz="8" w:color="CFF0FC"/>
            </w:tcBorders>
            <w:shd w:val="clear" w:color="auto" w:fill="CFF0FC"/>
          </w:tcPr>
          <w:p>
            <w:pPr>
              <w:spacing w:after="0"/>
              <w:rPr>
                <w:sz w:val="7"/>
                <w:szCs w:val="7"/>
                <w:color w:val="auto"/>
              </w:rPr>
            </w:pPr>
          </w:p>
        </w:tc>
        <w:tc>
          <w:tcPr>
            <w:tcW w:w="140" w:type="dxa"/>
            <w:vAlign w:val="bottom"/>
            <w:tcBorders>
              <w:bottom w:val="single" w:sz="8" w:color="CFF0FC"/>
            </w:tcBorders>
            <w:shd w:val="clear" w:color="auto" w:fill="CFF0FC"/>
          </w:tcPr>
          <w:p>
            <w:pPr>
              <w:spacing w:after="0"/>
              <w:rPr>
                <w:sz w:val="7"/>
                <w:szCs w:val="7"/>
                <w:color w:val="auto"/>
              </w:rPr>
            </w:pPr>
          </w:p>
        </w:tc>
        <w:tc>
          <w:tcPr>
            <w:tcW w:w="126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CFF0FC"/>
            </w:tcBorders>
            <w:vMerge w:val="continue"/>
            <w:shd w:val="clear" w:color="auto" w:fill="CFF0FC"/>
          </w:tcPr>
          <w:p>
            <w:pPr>
              <w:spacing w:after="0"/>
              <w:rPr>
                <w:sz w:val="4"/>
                <w:szCs w:val="4"/>
                <w:color w:val="auto"/>
              </w:rPr>
            </w:pPr>
          </w:p>
        </w:tc>
        <w:tc>
          <w:tcPr>
            <w:tcW w:w="1200" w:type="dxa"/>
            <w:vAlign w:val="bottom"/>
            <w:tcBorders>
              <w:bottom w:val="single" w:sz="8" w:color="auto"/>
            </w:tcBorders>
            <w:gridSpan w:val="3"/>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3900" w:type="dxa"/>
            <w:vAlign w:val="bottom"/>
            <w:tcBorders>
              <w:bottom w:val="single" w:sz="8" w:color="CFF0FC"/>
            </w:tcBorders>
            <w:gridSpan w:val="10"/>
            <w:vMerge w:val="continue"/>
            <w:shd w:val="clear" w:color="auto" w:fill="CFF0FC"/>
          </w:tcPr>
          <w:p>
            <w:pPr>
              <w:spacing w:after="0"/>
              <w:rPr>
                <w:sz w:val="4"/>
                <w:szCs w:val="4"/>
                <w:color w:val="auto"/>
              </w:rPr>
            </w:pPr>
          </w:p>
        </w:tc>
        <w:tc>
          <w:tcPr>
            <w:tcW w:w="124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1180" w:type="dxa"/>
            <w:vAlign w:val="bottom"/>
            <w:tcBorders>
              <w:bottom w:val="single" w:sz="8" w:color="CFF0FC"/>
            </w:tcBorders>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13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140" w:type="dxa"/>
            <w:vAlign w:val="bottom"/>
            <w:tcBorders>
              <w:bottom w:val="single" w:sz="8" w:color="CFF0FC"/>
            </w:tcBorders>
            <w:shd w:val="clear" w:color="auto" w:fill="CFF0FC"/>
          </w:tcPr>
          <w:p>
            <w:pPr>
              <w:spacing w:after="0"/>
              <w:rPr>
                <w:sz w:val="4"/>
                <w:szCs w:val="4"/>
                <w:color w:val="auto"/>
              </w:rPr>
            </w:pPr>
          </w:p>
        </w:tc>
        <w:tc>
          <w:tcPr>
            <w:tcW w:w="1260" w:type="dxa"/>
            <w:vAlign w:val="bottom"/>
            <w:tcBorders>
              <w:bottom w:val="single" w:sz="8" w:color="CFF0FC"/>
            </w:tcBorders>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2019</w:t>
            </w:r>
          </w:p>
        </w:tc>
        <w:tc>
          <w:tcPr>
            <w:tcW w:w="4920" w:type="dxa"/>
            <w:vAlign w:val="bottom"/>
            <w:gridSpan w:val="1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2016</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9"/>
              </w:rPr>
              <w:t>2032</w:t>
            </w:r>
          </w:p>
        </w:tc>
        <w:tc>
          <w:tcPr>
            <w:tcW w:w="1140" w:type="dxa"/>
            <w:vAlign w:val="bottom"/>
            <w:tcBorders>
              <w:bottom w:val="single" w:sz="8" w:color="auto"/>
            </w:tcBorders>
            <w:gridSpan w:val="4"/>
          </w:tcPr>
          <w:p>
            <w:pPr>
              <w:ind w:left="20"/>
              <w:spacing w:after="0" w:line="149" w:lineRule="exact"/>
              <w:rPr>
                <w:sz w:val="20"/>
                <w:szCs w:val="20"/>
                <w:color w:val="auto"/>
              </w:rPr>
            </w:pPr>
            <w:r>
              <w:rPr>
                <w:rFonts w:ascii="Arial" w:cs="Arial" w:eastAsia="Arial" w:hAnsi="Arial"/>
                <w:sz w:val="14"/>
                <w:szCs w:val="14"/>
                <w:b w:val="1"/>
                <w:bCs w:val="1"/>
                <w:color w:val="auto"/>
                <w:w w:val="91"/>
              </w:rPr>
              <w:t>Convertible Notes</w:t>
            </w:r>
          </w:p>
        </w:tc>
        <w:tc>
          <w:tcPr>
            <w:tcW w:w="3780" w:type="dxa"/>
            <w:vAlign w:val="bottom"/>
            <w:gridSpan w:val="9"/>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2022</w:t>
            </w:r>
          </w:p>
        </w:tc>
        <w:tc>
          <w:tcPr>
            <w:tcW w:w="4920" w:type="dxa"/>
            <w:vAlign w:val="bottom"/>
            <w:gridSpan w:val="1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1,771</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2026</w:t>
            </w:r>
          </w:p>
        </w:tc>
        <w:tc>
          <w:tcPr>
            <w:tcW w:w="492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2022</w:t>
            </w:r>
          </w:p>
        </w:tc>
        <w:tc>
          <w:tcPr>
            <w:tcW w:w="360" w:type="dxa"/>
            <w:vAlign w:val="bottom"/>
            <w:tcBorders>
              <w:top w:val="single" w:sz="8" w:color="auto"/>
            </w:tcBorders>
            <w:shd w:val="clear" w:color="auto" w:fill="CFF0FC"/>
          </w:tcPr>
          <w:p>
            <w:pPr>
              <w:spacing w:after="0"/>
              <w:rPr>
                <w:sz w:val="15"/>
                <w:szCs w:val="15"/>
                <w:color w:val="auto"/>
              </w:rPr>
            </w:pPr>
          </w:p>
        </w:tc>
        <w:tc>
          <w:tcPr>
            <w:tcW w:w="4560" w:type="dxa"/>
            <w:vAlign w:val="bottom"/>
            <w:gridSpan w:val="1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1,771</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2021</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2022</w:t>
            </w:r>
          </w:p>
        </w:tc>
        <w:tc>
          <w:tcPr>
            <w:tcW w:w="4920" w:type="dxa"/>
            <w:vAlign w:val="bottom"/>
            <w:gridSpan w:val="13"/>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9"/>
              </w:rPr>
              <w:t>2021</w:t>
            </w:r>
          </w:p>
        </w:tc>
        <w:tc>
          <w:tcPr>
            <w:tcW w:w="360" w:type="dxa"/>
            <w:vAlign w:val="bottom"/>
            <w:tcBorders>
              <w:top w:val="single" w:sz="8" w:color="auto"/>
            </w:tcBorders>
          </w:tcPr>
          <w:p>
            <w:pPr>
              <w:spacing w:after="0"/>
              <w:rPr>
                <w:sz w:val="15"/>
                <w:szCs w:val="15"/>
                <w:color w:val="auto"/>
              </w:rPr>
            </w:pPr>
          </w:p>
        </w:tc>
        <w:tc>
          <w:tcPr>
            <w:tcW w:w="4560" w:type="dxa"/>
            <w:vAlign w:val="bottom"/>
            <w:tcBorders>
              <w:top w:val="single" w:sz="8" w:color="CFF0FC"/>
            </w:tcBorders>
            <w:gridSpan w:val="1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22,833</w:t>
            </w:r>
          </w:p>
        </w:tc>
        <w:tc>
          <w:tcPr>
            <w:tcW w:w="40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Borders>
              <w:top w:val="single" w:sz="8" w:color="CFF0FC"/>
            </w:tcBorders>
          </w:tcPr>
          <w:p>
            <w:pPr>
              <w:spacing w:after="0"/>
              <w:rPr>
                <w:sz w:val="15"/>
                <w:szCs w:val="15"/>
                <w:color w:val="auto"/>
              </w:rPr>
            </w:pPr>
          </w:p>
        </w:tc>
        <w:tc>
          <w:tcPr>
            <w:tcW w:w="1380" w:type="dxa"/>
            <w:vAlign w:val="bottom"/>
            <w:tcBorders>
              <w:top w:val="single" w:sz="8" w:color="CFF0FC"/>
            </w:tcBorders>
          </w:tcPr>
          <w:p>
            <w:pPr>
              <w:ind w:left="1220"/>
              <w:spacing w:after="0"/>
              <w:rPr>
                <w:sz w:val="20"/>
                <w:szCs w:val="20"/>
                <w:color w:val="auto"/>
              </w:rPr>
            </w:pPr>
            <w:r>
              <w:rPr>
                <w:rFonts w:ascii="Arial" w:cs="Arial" w:eastAsia="Arial" w:hAnsi="Arial"/>
                <w:sz w:val="14"/>
                <w:szCs w:val="14"/>
                <w:color w:val="auto"/>
                <w:w w:val="99"/>
              </w:rPr>
              <w:t>—</w:t>
            </w:r>
          </w:p>
        </w:tc>
        <w:tc>
          <w:tcPr>
            <w:tcW w:w="3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72,833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2022</w:t>
            </w:r>
          </w:p>
        </w:tc>
        <w:tc>
          <w:tcPr>
            <w:tcW w:w="1140" w:type="dxa"/>
            <w:vAlign w:val="bottom"/>
            <w:tcBorders>
              <w:bottom w:val="single" w:sz="8" w:color="auto"/>
            </w:tcBorders>
            <w:gridSpan w:val="4"/>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w w:val="91"/>
              </w:rPr>
              <w:t>Convertible Notes</w:t>
            </w:r>
          </w:p>
        </w:tc>
        <w:tc>
          <w:tcPr>
            <w:tcW w:w="3780" w:type="dxa"/>
            <w:vAlign w:val="bottom"/>
            <w:tcBorders>
              <w:bottom w:val="single" w:sz="8" w:color="CFF0FC"/>
            </w:tcBorders>
            <w:gridSpan w:val="9"/>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3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2021</w:t>
            </w:r>
          </w:p>
        </w:tc>
        <w:tc>
          <w:tcPr>
            <w:tcW w:w="4920" w:type="dxa"/>
            <w:vAlign w:val="bottom"/>
            <w:gridSpan w:val="1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52,088</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52,088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52,088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52,088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52,088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1740" w:type="dxa"/>
            <w:vAlign w:val="bottom"/>
            <w:tcBorders>
              <w:bottom w:val="single" w:sz="8" w:color="auto"/>
            </w:tcBorders>
            <w:gridSpan w:val="9"/>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0"/>
              </w:rPr>
              <w:t>SBA-guaranteed debentures</w:t>
            </w:r>
          </w:p>
        </w:tc>
        <w:tc>
          <w:tcPr>
            <w:tcW w:w="3480" w:type="dxa"/>
            <w:vAlign w:val="bottom"/>
            <w:tcBorders>
              <w:bottom w:val="single" w:sz="8" w:color="CFF0FC"/>
            </w:tcBorders>
            <w:gridSpan w:val="5"/>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3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2020</w:t>
            </w:r>
          </w:p>
        </w:tc>
        <w:tc>
          <w:tcPr>
            <w:tcW w:w="4920" w:type="dxa"/>
            <w:vAlign w:val="bottom"/>
            <w:gridSpan w:val="1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91,000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165,700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2016</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170,700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184,200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192,200</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2013</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202,200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2021</w:t>
            </w:r>
          </w:p>
        </w:tc>
        <w:tc>
          <w:tcPr>
            <w:tcW w:w="4920" w:type="dxa"/>
            <w:vAlign w:val="bottom"/>
            <w:gridSpan w:val="13"/>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2016</w:t>
            </w:r>
          </w:p>
        </w:tc>
        <w:tc>
          <w:tcPr>
            <w:tcW w:w="360" w:type="dxa"/>
            <w:vAlign w:val="bottom"/>
            <w:tcBorders>
              <w:top w:val="single" w:sz="8" w:color="auto"/>
            </w:tcBorders>
            <w:shd w:val="clear" w:color="auto" w:fill="CFF0FC"/>
          </w:tcPr>
          <w:p>
            <w:pPr>
              <w:spacing w:after="0"/>
              <w:rPr>
                <w:sz w:val="15"/>
                <w:szCs w:val="15"/>
                <w:color w:val="auto"/>
              </w:rPr>
            </w:pPr>
          </w:p>
        </w:tc>
        <w:tc>
          <w:tcPr>
            <w:tcW w:w="4560" w:type="dxa"/>
            <w:vAlign w:val="bottom"/>
            <w:gridSpan w:val="1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113,438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113,438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5"/>
                <w:szCs w:val="15"/>
                <w:color w:val="auto"/>
              </w:rPr>
            </w:pPr>
          </w:p>
        </w:tc>
        <w:tc>
          <w:tcPr>
            <w:tcW w:w="1380" w:type="dxa"/>
            <w:vAlign w:val="bottom"/>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113,438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gridSpan w:val="14"/>
          </w:tcPr>
          <w:p>
            <w:pPr>
              <w:spacing w:after="0" w:line="149" w:lineRule="exact"/>
              <w:rPr>
                <w:sz w:val="20"/>
                <w:szCs w:val="20"/>
                <w:color w:val="auto"/>
              </w:rPr>
            </w:pPr>
            <w:r>
              <w:rPr>
                <w:rFonts w:ascii="Arial" w:cs="Arial" w:eastAsia="Arial" w:hAnsi="Arial"/>
                <w:sz w:val="14"/>
                <w:szCs w:val="14"/>
                <w:b w:val="1"/>
                <w:bCs w:val="1"/>
                <w:color w:val="auto"/>
              </w:rPr>
              <w:t>Fund II SBA-guaranteed debentures</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2012</w:t>
            </w:r>
          </w:p>
        </w:tc>
        <w:tc>
          <w:tcPr>
            <w:tcW w:w="1940" w:type="dxa"/>
            <w:vAlign w:val="bottom"/>
            <w:tcBorders>
              <w:top w:val="single" w:sz="8" w:color="auto"/>
            </w:tcBorders>
            <w:gridSpan w:val="9"/>
            <w:shd w:val="clear" w:color="auto" w:fill="CFF0FC"/>
          </w:tcPr>
          <w:p>
            <w:pPr>
              <w:spacing w:after="0"/>
              <w:rPr>
                <w:sz w:val="15"/>
                <w:szCs w:val="15"/>
                <w:color w:val="auto"/>
              </w:rPr>
            </w:pPr>
          </w:p>
        </w:tc>
        <w:tc>
          <w:tcPr>
            <w:tcW w:w="298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52,200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gridSpan w:val="14"/>
          </w:tcPr>
          <w:p>
            <w:pPr>
              <w:spacing w:after="0" w:line="149" w:lineRule="exact"/>
              <w:rPr>
                <w:sz w:val="20"/>
                <w:szCs w:val="20"/>
                <w:color w:val="auto"/>
              </w:rPr>
            </w:pPr>
            <w:r>
              <w:rPr>
                <w:rFonts w:ascii="Arial" w:cs="Arial" w:eastAsia="Arial" w:hAnsi="Arial"/>
                <w:sz w:val="14"/>
                <w:szCs w:val="14"/>
                <w:b w:val="1"/>
                <w:bCs w:val="1"/>
                <w:color w:val="auto"/>
              </w:rPr>
              <w:t>Fund III SBA-guaranteed debentures</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2012</w:t>
            </w:r>
          </w:p>
        </w:tc>
        <w:tc>
          <w:tcPr>
            <w:tcW w:w="2000" w:type="dxa"/>
            <w:vAlign w:val="bottom"/>
            <w:tcBorders>
              <w:top w:val="single" w:sz="8" w:color="auto"/>
            </w:tcBorders>
            <w:gridSpan w:val="10"/>
            <w:shd w:val="clear" w:color="auto" w:fill="CFF0FC"/>
          </w:tcPr>
          <w:p>
            <w:pPr>
              <w:spacing w:after="0"/>
              <w:rPr>
                <w:sz w:val="15"/>
                <w:szCs w:val="15"/>
                <w:color w:val="auto"/>
              </w:rPr>
            </w:pPr>
          </w:p>
        </w:tc>
        <w:tc>
          <w:tcPr>
            <w:tcW w:w="29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125,000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ind w:left="122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520" w:hanging="512"/>
        <w:spacing w:after="0" w:line="181" w:lineRule="auto"/>
        <w:tabs>
          <w:tab w:leader="none" w:pos="520" w:val="left"/>
        </w:tabs>
        <w:numPr>
          <w:ilvl w:val="0"/>
          <w:numId w:val="57"/>
        </w:numPr>
        <w:rPr>
          <w:rFonts w:ascii="Arial" w:cs="Arial" w:eastAsia="Arial" w:hAnsi="Arial"/>
          <w:sz w:val="16"/>
          <w:szCs w:val="16"/>
          <w:b w:val="1"/>
          <w:bCs w:val="1"/>
          <w:color w:val="auto"/>
          <w:vertAlign w:val="superscript"/>
        </w:rPr>
      </w:pPr>
      <w:r>
        <w:rPr>
          <w:rFonts w:ascii="Arial" w:cs="Arial" w:eastAsia="Arial" w:hAnsi="Arial"/>
          <w:sz w:val="12"/>
          <w:szCs w:val="12"/>
          <w:color w:val="auto"/>
        </w:rPr>
        <w:t>Total amount of each class of senior securities outstanding at the end of the period presented in thousands.</w:t>
      </w:r>
    </w:p>
    <w:p>
      <w:pPr>
        <w:ind w:left="520" w:hanging="512"/>
        <w:spacing w:after="0" w:line="201" w:lineRule="auto"/>
        <w:tabs>
          <w:tab w:leader="none" w:pos="520" w:val="left"/>
        </w:tabs>
        <w:numPr>
          <w:ilvl w:val="0"/>
          <w:numId w:val="57"/>
        </w:numPr>
        <w:rPr>
          <w:rFonts w:ascii="Arial" w:cs="Arial" w:eastAsia="Arial" w:hAnsi="Arial"/>
          <w:sz w:val="16"/>
          <w:szCs w:val="16"/>
          <w:b w:val="1"/>
          <w:bCs w:val="1"/>
          <w:color w:val="auto"/>
          <w:vertAlign w:val="superscript"/>
        </w:rPr>
      </w:pPr>
      <w:r>
        <w:rPr>
          <w:rFonts w:ascii="Arial" w:cs="Arial" w:eastAsia="Arial" w:hAnsi="Arial"/>
          <w:sz w:val="12"/>
          <w:szCs w:val="12"/>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Amounts are rounded to the nearest $1,000.</w:t>
      </w:r>
    </w:p>
    <w:p>
      <w:pPr>
        <w:ind w:left="520" w:right="20" w:hanging="512"/>
        <w:spacing w:after="0" w:line="201" w:lineRule="auto"/>
        <w:tabs>
          <w:tab w:leader="none" w:pos="520" w:val="left"/>
        </w:tabs>
        <w:numPr>
          <w:ilvl w:val="0"/>
          <w:numId w:val="57"/>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ind w:left="520" w:hanging="512"/>
        <w:spacing w:after="0" w:line="201" w:lineRule="auto"/>
        <w:tabs>
          <w:tab w:leader="none" w:pos="520" w:val="left"/>
        </w:tabs>
        <w:numPr>
          <w:ilvl w:val="0"/>
          <w:numId w:val="57"/>
        </w:numPr>
        <w:rPr>
          <w:rFonts w:ascii="Arial" w:cs="Arial" w:eastAsia="Arial" w:hAnsi="Arial"/>
          <w:sz w:val="16"/>
          <w:szCs w:val="16"/>
          <w:b w:val="1"/>
          <w:bCs w:val="1"/>
          <w:color w:val="auto"/>
          <w:vertAlign w:val="superscript"/>
        </w:rPr>
      </w:pPr>
      <w:r>
        <w:rPr>
          <w:rFonts w:ascii="Arial" w:cs="Arial" w:eastAsia="Arial" w:hAnsi="Arial"/>
          <w:sz w:val="12"/>
          <w:szCs w:val="12"/>
          <w:color w:val="auto"/>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ind w:left="520" w:hanging="512"/>
        <w:spacing w:after="0" w:line="187" w:lineRule="auto"/>
        <w:tabs>
          <w:tab w:leader="none" w:pos="520" w:val="left"/>
        </w:tabs>
        <w:numPr>
          <w:ilvl w:val="0"/>
          <w:numId w:val="57"/>
        </w:numPr>
        <w:rPr>
          <w:rFonts w:ascii="Arial" w:cs="Arial" w:eastAsia="Arial" w:hAnsi="Arial"/>
          <w:sz w:val="15"/>
          <w:szCs w:val="15"/>
          <w:b w:val="1"/>
          <w:bCs w:val="1"/>
          <w:color w:val="auto"/>
          <w:vertAlign w:val="superscript"/>
        </w:rPr>
      </w:pPr>
      <w:r>
        <w:rPr>
          <w:rFonts w:ascii="Arial" w:cs="Arial" w:eastAsia="Arial" w:hAnsi="Arial"/>
          <w:sz w:val="11"/>
          <w:szCs w:val="11"/>
          <w:color w:val="auto"/>
        </w:rPr>
        <w:t>As of December 31, 2022, there was $55.9 million outstanding on the KeyBank Credit Facility.</w:t>
      </w:r>
    </w:p>
    <w:p>
      <w:pPr>
        <w:ind w:left="520" w:hanging="512"/>
        <w:spacing w:after="0" w:line="187" w:lineRule="auto"/>
        <w:tabs>
          <w:tab w:leader="none" w:pos="520" w:val="left"/>
        </w:tabs>
        <w:numPr>
          <w:ilvl w:val="0"/>
          <w:numId w:val="57"/>
        </w:numPr>
        <w:rPr>
          <w:rFonts w:ascii="Arial" w:cs="Arial" w:eastAsia="Arial" w:hAnsi="Arial"/>
          <w:sz w:val="15"/>
          <w:szCs w:val="15"/>
          <w:b w:val="1"/>
          <w:bCs w:val="1"/>
          <w:color w:val="auto"/>
          <w:vertAlign w:val="superscript"/>
        </w:rPr>
      </w:pPr>
      <w:r>
        <w:rPr>
          <w:rFonts w:ascii="Arial" w:cs="Arial" w:eastAsia="Arial" w:hAnsi="Arial"/>
          <w:sz w:val="11"/>
          <w:szCs w:val="11"/>
          <w:color w:val="auto"/>
        </w:rPr>
        <w:t>On June 19, 2020, the Company unilaterally terminated the ING Credit Facility.</w:t>
      </w:r>
    </w:p>
    <w:p>
      <w:pPr>
        <w:ind w:left="520" w:hanging="512"/>
        <w:spacing w:after="0" w:line="203" w:lineRule="auto"/>
        <w:tabs>
          <w:tab w:leader="none" w:pos="520" w:val="left"/>
        </w:tabs>
        <w:numPr>
          <w:ilvl w:val="0"/>
          <w:numId w:val="57"/>
        </w:numPr>
        <w:rPr>
          <w:rFonts w:ascii="Arial" w:cs="Arial" w:eastAsia="Arial" w:hAnsi="Arial"/>
          <w:sz w:val="16"/>
          <w:szCs w:val="16"/>
          <w:b w:val="1"/>
          <w:bCs w:val="1"/>
          <w:color w:val="auto"/>
          <w:vertAlign w:val="superscript"/>
        </w:rPr>
      </w:pPr>
      <w:r>
        <w:rPr>
          <w:rFonts w:ascii="Arial" w:cs="Arial" w:eastAsia="Arial" w:hAnsi="Arial"/>
          <w:sz w:val="12"/>
          <w:szCs w:val="12"/>
          <w:color w:val="auto"/>
        </w:rPr>
        <w:t>We have excluded our SBA-guaranteed debentures from the asset coverage calculation as of December 31, 2020, 2019, 2018, 2017, 2016 and 2015 pursuant to the exemptive relief granted by the SEC in June 2014 that permits us to exclude such debentures from the definition of senior securities in the asset coverage ratio we are required to satisfy under the 1940 Act.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In order to qualify as a RIC and to avoid corporate-level U.S. federal income tax on the income we timely distribute to our stockholders, we are required to distribute at least 90% of our ordinary income and our net short-term capital gains in excess of net long-term capital losses, if any, to our stockholders on an annual basis. Additionally, we must distribute an amount at least equal to the sum of 98% of our ordinary income (during the calendar year) plus 98.2% of our capital gain net income (during each 12-month period ending on October 31) plus any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4"/>
          <w:szCs w:val="14"/>
          <w:color w:val="auto"/>
        </w:rPr>
        <w:t>if any, will be determined by our Board on a quarterly basis. Any distributions to our stockholders will be declared out of assets legally available for distribution. The Company’s Board determined not to declare any distributions during the years ended December 31, 2022 and 2021.</w:t>
      </w:r>
    </w:p>
    <w:p>
      <w:pPr>
        <w:spacing w:after="0" w:line="9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Parties</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 xml:space="preserve">We have entered into the Investment Advisory Agreement with the Investment Adviser. </w:t>
      </w:r>
      <w:r>
        <w:rPr>
          <w:rFonts w:ascii="Arial" w:cs="Arial" w:eastAsia="Arial" w:hAnsi="Arial"/>
          <w:sz w:val="14"/>
          <w:szCs w:val="14"/>
          <w:color w:val="231F20"/>
        </w:rPr>
        <w:t>The Company is externally managed by the Investment Adviser, an affiliate of BC Partners,</w:t>
      </w:r>
      <w:r>
        <w:rPr>
          <w:rFonts w:ascii="Arial" w:cs="Arial" w:eastAsia="Arial" w:hAnsi="Arial"/>
          <w:sz w:val="14"/>
          <w:szCs w:val="14"/>
          <w:color w:val="auto"/>
        </w:rPr>
        <w:t xml:space="preserve"> </w:t>
      </w:r>
      <w:r>
        <w:rPr>
          <w:rFonts w:ascii="Arial" w:cs="Arial" w:eastAsia="Arial" w:hAnsi="Arial"/>
          <w:sz w:val="14"/>
          <w:szCs w:val="14"/>
          <w:color w:val="231F20"/>
        </w:rPr>
        <w:t>pursuant to the Investment Advisory Agreement. Mr. Goldthorpe, an interested member of the Board, has a direct or indirect pecuniary interest in the Investment Adviser. The Investment Adviser is a registered investment adviser under the Advisers Act. The Investment Adviser is an affiliate of BC Partners Advisors L.P. for U.S. regulatory purposes. MLC is the ultimate control person of the Investment Adviser.</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231F20"/>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15"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231F20"/>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103"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231F20"/>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11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 xml:space="preserve">On </w:t>
      </w:r>
      <w:r>
        <w:rPr>
          <w:rFonts w:ascii="Arial" w:cs="Arial" w:eastAsia="Arial" w:hAnsi="Arial"/>
          <w:sz w:val="13"/>
          <w:szCs w:val="13"/>
          <w:color w:val="231F20"/>
        </w:rPr>
        <w:t>October 23, 2018, the SEC issued an order granting an application for exemptive relief to an affiliate of our Investment Adviser that allows BDCs managed by the Investment</w:t>
      </w:r>
      <w:r>
        <w:rPr>
          <w:rFonts w:ascii="Arial" w:cs="Arial" w:eastAsia="Arial" w:hAnsi="Arial"/>
          <w:sz w:val="13"/>
          <w:szCs w:val="13"/>
          <w:color w:val="auto"/>
        </w:rPr>
        <w:t xml:space="preserve"> </w:t>
      </w:r>
      <w:r>
        <w:rPr>
          <w:rFonts w:ascii="Arial" w:cs="Arial" w:eastAsia="Arial" w:hAnsi="Arial"/>
          <w:sz w:val="13"/>
          <w:szCs w:val="13"/>
          <w:color w:val="231F20"/>
        </w:rPr>
        <w:t>Adviser, including Logan Ridge, to co-invest, subject to the satisfaction of certain conditions, in certain private placement transactions, with other funds managed by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57(o) of the 1940 Act) of Logan Ridge’s independent directors</w:t>
      </w:r>
      <w:r>
        <w:rPr>
          <w:rFonts w:ascii="Arial" w:cs="Arial" w:eastAsia="Arial" w:hAnsi="Arial"/>
          <w:sz w:val="13"/>
          <w:szCs w:val="13"/>
          <w:color w:val="231F20"/>
          <w:strike w:val="1"/>
        </w:rPr>
        <w:t>,</w:t>
      </w:r>
      <w:r>
        <w:rPr>
          <w:rFonts w:ascii="Arial" w:cs="Arial" w:eastAsia="Arial" w:hAnsi="Arial"/>
          <w:sz w:val="13"/>
          <w:szCs w:val="13"/>
          <w:color w:val="231F20"/>
        </w:rPr>
        <w:t xml:space="preserve">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and 2021, the Company had the following unfunded commitments to existing portfolio companies (dollars in thousands):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338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Accordion Partners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Accordion Partners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Beta Plus Technologies (Revolver)</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4"/>
                <w:szCs w:val="14"/>
                <w:color w:val="auto"/>
              </w:rPr>
              <w:t>Bradshaw International, Inc.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Critical Nurse Staffing,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4"/>
                <w:szCs w:val="14"/>
                <w:color w:val="auto"/>
              </w:rPr>
              <w:t>Critical Nurse Staffing,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Dentive,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Dentive,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Epic Staffing Group</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Great Lakes Funding II LLC - Series A</w:t>
            </w:r>
          </w:p>
        </w:tc>
        <w:tc>
          <w:tcPr>
            <w:tcW w:w="3480" w:type="dxa"/>
            <w:vAlign w:val="bottom"/>
          </w:tcPr>
          <w:p>
            <w:pPr>
              <w:ind w:left="480"/>
              <w:spacing w:after="0"/>
              <w:rPr>
                <w:sz w:val="20"/>
                <w:szCs w:val="20"/>
                <w:color w:val="auto"/>
              </w:rPr>
            </w:pPr>
            <w:r>
              <w:rPr>
                <w:rFonts w:ascii="Arial" w:cs="Arial" w:eastAsia="Arial" w:hAnsi="Arial"/>
                <w:sz w:val="14"/>
                <w:szCs w:val="14"/>
                <w:color w:val="auto"/>
              </w:rPr>
              <w:t>Joint Venture</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GreenPark Infrastructure, LLC - Series M-1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Common Stock and Membership Units</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J5 Infrastructure Partners,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Keg Logistics LLC (Revolver)</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Marble Point Credit Management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Premier Imaging,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line="175" w:lineRule="exact"/>
              <w:rPr>
                <w:sz w:val="20"/>
                <w:szCs w:val="20"/>
                <w:color w:val="auto"/>
              </w:rPr>
            </w:pPr>
            <w:r>
              <w:rPr>
                <w:rFonts w:ascii="Arial" w:cs="Arial" w:eastAsia="Arial" w:hAnsi="Arial"/>
                <w:sz w:val="14"/>
                <w:szCs w:val="14"/>
                <w:color w:val="auto"/>
              </w:rPr>
              <w:t>Wealth Enhancement Group, LLC</w:t>
            </w:r>
            <w:r>
              <w:rPr>
                <w:rFonts w:ascii="Arial" w:cs="Arial" w:eastAsia="Arial" w:hAnsi="Arial"/>
                <w:sz w:val="19"/>
                <w:szCs w:val="19"/>
                <w:color w:val="auto"/>
                <w:vertAlign w:val="superscript"/>
              </w:rPr>
              <w:t>(1)</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3,275</w:t>
            </w:r>
          </w:p>
        </w:tc>
        <w:tc>
          <w:tcPr>
            <w:tcW w:w="100" w:type="dxa"/>
            <w:vAlign w:val="bottom"/>
          </w:tcPr>
          <w:p>
            <w:pPr>
              <w:spacing w:after="0"/>
              <w:rPr>
                <w:sz w:val="15"/>
                <w:szCs w:val="15"/>
                <w:color w:val="auto"/>
              </w:rPr>
            </w:pPr>
          </w:p>
        </w:tc>
      </w:tr>
      <w:tr>
        <w:trPr>
          <w:trHeight w:val="176"/>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Wealth Enhancement Group, LLC (Revolver)</w:t>
            </w:r>
          </w:p>
        </w:tc>
        <w:tc>
          <w:tcPr>
            <w:tcW w:w="34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380" w:type="dxa"/>
            <w:vAlign w:val="bottom"/>
          </w:tcPr>
          <w:p>
            <w:pPr>
              <w:ind w:left="20"/>
              <w:spacing w:after="0" w:line="155" w:lineRule="exact"/>
              <w:rPr>
                <w:sz w:val="20"/>
                <w:szCs w:val="20"/>
                <w:color w:val="auto"/>
              </w:rPr>
            </w:pPr>
            <w:r>
              <w:rPr>
                <w:rFonts w:ascii="Arial" w:cs="Arial" w:eastAsia="Arial" w:hAnsi="Arial"/>
                <w:sz w:val="14"/>
                <w:szCs w:val="14"/>
                <w:color w:val="auto"/>
              </w:rPr>
              <w:t>Total Unfunded Commitments</w:t>
            </w:r>
          </w:p>
        </w:tc>
        <w:tc>
          <w:tcPr>
            <w:tcW w:w="3480" w:type="dxa"/>
            <w:vAlign w:val="bottom"/>
          </w:tcPr>
          <w:p>
            <w:pPr>
              <w:spacing w:after="0"/>
              <w:rPr>
                <w:sz w:val="14"/>
                <w:szCs w:val="14"/>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13,787</w:t>
            </w:r>
          </w:p>
        </w:tc>
        <w:tc>
          <w:tcPr>
            <w:tcW w:w="38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25,138</w:t>
            </w:r>
          </w:p>
        </w:tc>
        <w:tc>
          <w:tcPr>
            <w:tcW w:w="10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-144780</wp:posOffset>
            </wp:positionV>
            <wp:extent cx="6858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7"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6"/>
          <w:szCs w:val="16"/>
          <w:b w:val="1"/>
          <w:bCs w:val="1"/>
          <w:color w:val="auto"/>
          <w:vertAlign w:val="superscript"/>
        </w:rPr>
      </w:pPr>
      <w:r>
        <w:rPr>
          <w:rFonts w:ascii="Arial" w:cs="Arial" w:eastAsia="Arial" w:hAnsi="Arial"/>
          <w:sz w:val="12"/>
          <w:szCs w:val="12"/>
          <w:color w:val="auto"/>
        </w:rPr>
        <w:t>Delayed-draw term loan.</w:t>
      </w:r>
    </w:p>
    <w:p>
      <w:pPr>
        <w:spacing w:after="0" w:line="123"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40" w:lineRule="exact"/>
        <w:rPr>
          <w:sz w:val="20"/>
          <w:szCs w:val="20"/>
          <w:color w:val="auto"/>
        </w:rPr>
      </w:pPr>
    </w:p>
    <w:p>
      <w:pPr>
        <w:ind w:right="20" w:firstLine="509"/>
        <w:spacing w:after="0" w:line="231" w:lineRule="auto"/>
        <w:rPr>
          <w:sz w:val="20"/>
          <w:szCs w:val="20"/>
          <w:color w:val="auto"/>
        </w:rPr>
      </w:pPr>
      <w:r>
        <w:rPr>
          <w:rFonts w:ascii="Arial" w:cs="Arial" w:eastAsia="Arial" w:hAnsi="Arial"/>
          <w:sz w:val="14"/>
          <w:szCs w:val="14"/>
          <w:color w:val="auto"/>
        </w:rPr>
        <w:t>On March 6, 2023,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March 6, 2023, the Company’s Board of Directors approved a distribution of $0.18 per share payable on March 31, 2023 to stockholders of record as of March 20,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14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Investments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spacing w:after="0" w:line="11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Adviser undertakes a multi-step valuation process, which includes, among other procedures, the following: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3" w:name="page64"/>
    <w:bookmarkEnd w:id="63"/>
    <w:p>
      <w:pPr>
        <w:jc w:val="both"/>
        <w:ind w:left="780" w:hanging="263"/>
        <w:spacing w:after="0" w:line="238"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spacing w:after="0" w:line="47" w:lineRule="exact"/>
        <w:rPr>
          <w:rFonts w:ascii="Arial" w:cs="Arial" w:eastAsia="Arial" w:hAnsi="Arial"/>
          <w:sz w:val="14"/>
          <w:szCs w:val="14"/>
          <w:color w:val="auto"/>
        </w:rPr>
      </w:pPr>
    </w:p>
    <w:p>
      <w:pPr>
        <w:ind w:left="780" w:hanging="263"/>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Preliminary valuations are reviewed and discussed with management of the Adviser and investment professionals; and</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1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the inputs used to measure these fair values into the following hierarchy as defined by current accounting guidance: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Unadjusted quoted prices in active markets for identical assets or liabilities that are accessible to the Company.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Level 2: Quoted prices for similar assets or liabilities in active markets, or quoted prices for identical or similar assets or liabilities in markets that are not active, or other observable inputs other than quoted prices.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 Significant inputs that are unobservable for an asset or liability.</w:t>
      </w:r>
    </w:p>
    <w:p>
      <w:pPr>
        <w:spacing w:after="0" w:line="13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23"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4"/>
          <w:szCs w:val="14"/>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3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3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 loans in</w:t>
      </w:r>
      <w:r>
        <w:rPr>
          <w:rFonts w:ascii="Arial" w:cs="Arial" w:eastAsia="Arial" w:hAnsi="Arial"/>
          <w:sz w:val="14"/>
          <w:szCs w:val="14"/>
          <w:i w:val="1"/>
          <w:iCs w:val="1"/>
          <w:color w:val="auto"/>
        </w:rPr>
        <w:t xml:space="preserve"> </w:t>
      </w:r>
      <w:r>
        <w:rPr>
          <w:rFonts w:ascii="Arial" w:cs="Arial" w:eastAsia="Arial" w:hAnsi="Arial"/>
          <w:sz w:val="14"/>
          <w:szCs w:val="14"/>
          <w:color w:val="auto"/>
        </w:rPr>
        <w:t>the portfolio that contain a PIK interest provision. PIK interest, which represents contractually deferred interest added to the loan balance that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64" w:name="page65"/>
    <w:bookmarkEnd w:id="64"/>
    <w:p>
      <w:pPr>
        <w:jc w:val="both"/>
        <w:ind w:right="20"/>
        <w:spacing w:after="0" w:line="253" w:lineRule="auto"/>
        <w:rPr>
          <w:sz w:val="20"/>
          <w:szCs w:val="20"/>
          <w:color w:val="auto"/>
        </w:rPr>
      </w:pPr>
      <w:r>
        <w:rPr>
          <w:rFonts w:ascii="Arial" w:cs="Arial" w:eastAsia="Arial" w:hAnsi="Arial"/>
          <w:sz w:val="14"/>
          <w:szCs w:val="14"/>
          <w:color w:val="auto"/>
        </w:rPr>
        <w:t>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9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 possible</w:t>
      </w:r>
      <w:r>
        <w:rPr>
          <w:rFonts w:ascii="Arial" w:cs="Arial" w:eastAsia="Arial" w:hAnsi="Arial"/>
          <w:sz w:val="14"/>
          <w:szCs w:val="14"/>
          <w:i w:val="1"/>
          <w:iCs w:val="1"/>
          <w:color w:val="auto"/>
        </w:rPr>
        <w:t xml:space="preserve"> </w:t>
      </w:r>
      <w:r>
        <w:rPr>
          <w:rFonts w:ascii="Arial" w:cs="Arial" w:eastAsia="Arial" w:hAnsi="Arial"/>
          <w:sz w:val="14"/>
          <w:szCs w:val="14"/>
          <w:color w:val="auto"/>
        </w:rPr>
        <w:t>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 accrual loans are returned to accrual status when the borrower’s financial condition improves such that management believes current interest and principal payments are expected to be collected.</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Gains and losses on investment sales and paydowns: </w:t>
      </w:r>
      <w:r>
        <w:rPr>
          <w:rFonts w:ascii="Arial" w:cs="Arial" w:eastAsia="Arial" w:hAnsi="Arial"/>
          <w:sz w:val="14"/>
          <w:szCs w:val="14"/>
          <w:color w:val="auto"/>
        </w:rPr>
        <w:t>Realized gains and losses on investments are recognized using the specific identification method.</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 that</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0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 income</w:t>
      </w:r>
      <w:r>
        <w:rPr>
          <w:rFonts w:ascii="Arial" w:cs="Arial" w:eastAsia="Arial" w:hAnsi="Arial"/>
          <w:sz w:val="14"/>
          <w:szCs w:val="14"/>
          <w:i w:val="1"/>
          <w:iCs w:val="1"/>
          <w:color w:val="auto"/>
        </w:rPr>
        <w:t xml:space="preserve"> </w:t>
      </w:r>
      <w:r>
        <w:rPr>
          <w:rFonts w:ascii="Arial" w:cs="Arial" w:eastAsia="Arial" w:hAnsi="Arial"/>
          <w:sz w:val="14"/>
          <w:szCs w:val="14"/>
          <w:color w:val="auto"/>
        </w:rPr>
        <w:t>upon prepayment of the loan.</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i w:val="1"/>
          <w:iCs w:val="1"/>
          <w:color w:val="auto"/>
        </w:rPr>
        <w:t xml:space="preserve">Other income: </w:t>
      </w:r>
      <w:r>
        <w:rPr>
          <w:rFonts w:ascii="Arial" w:cs="Arial" w:eastAsia="Arial" w:hAnsi="Arial"/>
          <w:sz w:val="14"/>
          <w:szCs w:val="14"/>
          <w:color w:val="auto"/>
        </w:rPr>
        <w:t>Origination fees (to the extent services are performed to earn such income), amendment fees, consent fees, and other fees associated with investments in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are recognized as income when they are earned. Prepayment penalties received by the Company for debt instruments repaid prior to the maturity date are recorded as income upon receipt.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4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We are subject to financial market risks, including valuation risk and interest rate risk. Changes in interest rates may affect both our cost of funding and our interest income from portfolio investments and cash and cash equivalents. Generally, a rise in the general level of interest rates can be expected to lead to higher interest rates applicable to any variable rate investments we may hold and to declines in the value of any fixed rate investments we may hold. However, for those variable rate investments we may hold that provide for an interest rate floor, our interest income will not decrease below a threshold amount. To the extent that a substantial portion of our investments may be in variable rate investments, an increase in interest rates beyond this threshold would make it easier for us to meet or exceed the hurdle rate applicable to the upper level breakpoint of the pre-incentive fee net investment income incentive fee, and may result in a substantial increase in our net investment income and to the amount of incentive fees payable to the Adviser with respect to our increased pre-incentive fee net investment income. Conversely, a decline in the general level of interest rates, including the current environment, can be expected to lead to lower interest rates applicable to any variable rate investments we may hold and to increases in the value of any fixed rate investments we may hold. Such a decrease would make it more difficult for us to meet or exceed the hurdle rate applicable to the upper level breakpoint of the pre-incentive fee net investment income incentive fee, and may result in a substantial decrease in our net investment income and to the amount of incentive fees payable to the Adviser with respect to our decreased pre-incentive fee net investment income.</w:t>
      </w:r>
    </w:p>
    <w:p>
      <w:pPr>
        <w:spacing w:after="0" w:line="10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addition, we borrow funds in order to make additional investments. Our net investment income will depend, in part, upon the difference between the rate at which we borrow funds and the rate at which we invest those funds. As a result, we will be subject to risks relating to changes in market interest rates. In periods of rising interest rates when we or any future subsidiaries have debt outstanding or financing arrangements in effect, our interest expense will increase, which could reduce our net investment income, especially to the extent we hold fixed rate investments.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For the year ended December 31, 2022, we did not engage in hedging activities.</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invest primarily in illiquid debt of private companies. Most of our investments will not have a readily available market price, and we value these investments at fair value as determined in good faith by our Advisor, based on, among other things, the input of independent third-party valuation firm(s), and in accordance with our valuation policy. There is no single technique for determining fair value. As a result, determining fair value requires that judgment be applied to the specific facts and circumstances of each portfolio investment while employing a consistently applied valuation process for the types of investments we make. If, in the future, we are required to liquidate a portfolio investment in a forced or liquidation sale, we may realize amounts that are different from the amounts presented and such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Risk</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We have invested, and plan to continue to invest, primarily in illiquid debt and equity securities of private companies. Most of our investments do not have a readily available market price, and we value these investments at fair value as determined in good faith by our Adviser as valuation designee subject to the oversight of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During the year ended December 31, 2022, we did not engage in hedging activities.</w:t>
      </w:r>
    </w:p>
    <w:p>
      <w:pPr>
        <w:spacing w:after="0" w:line="26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of December 31, 2022, we held 48 securities bearing a variable rate of interest. Our variable rate investments represent approximately 82.8% of the fair value of our total debt investments. As of December 31, 2022, none of our variable rate securities were yielding interest at a rate equal to the established interest rate floor. As of December 31, 2022, we had $55.9 million outstanding on our KeyBank Credit Facility, which has a variable rate of interest at one-month SOFR + 2.90%,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5" w:name="page66"/>
    <w:bookmarkEnd w:id="65"/>
    <w:p>
      <w:pPr>
        <w:jc w:val="both"/>
        <w:ind w:right="20"/>
        <w:spacing w:after="0" w:line="253" w:lineRule="auto"/>
        <w:rPr>
          <w:sz w:val="20"/>
          <w:szCs w:val="20"/>
          <w:color w:val="auto"/>
        </w:rPr>
      </w:pPr>
      <w:r>
        <w:rPr>
          <w:rFonts w:ascii="Arial" w:cs="Arial" w:eastAsia="Arial" w:hAnsi="Arial"/>
          <w:sz w:val="14"/>
          <w:szCs w:val="14"/>
          <w:color w:val="auto"/>
        </w:rPr>
        <w:t>an interest rate floor of 0.40%. As of December 31, 2022, all of our other interest paying liabilities, consisting of $15.0 million in 2032 Convertible Notes and $50.0 million in 2026 Notes, were bearing interest at a fixed rate.</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Based on our December 31, 2022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4"/>
                <w:szCs w:val="14"/>
                <w:color w:val="auto"/>
              </w:rPr>
            </w:pPr>
          </w:p>
        </w:tc>
        <w:tc>
          <w:tcPr>
            <w:tcW w:w="13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3"/>
              </w:rPr>
              <w:t>(Increase)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36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Basis Point Change</w:t>
            </w:r>
          </w:p>
        </w:tc>
        <w:tc>
          <w:tcPr>
            <w:tcW w:w="2900" w:type="dxa"/>
            <w:vAlign w:val="bottom"/>
            <w:gridSpan w:val="3"/>
          </w:tcPr>
          <w:p>
            <w:pPr>
              <w:jc w:val="center"/>
              <w:ind w:left="1148"/>
              <w:spacing w:after="0" w:line="149" w:lineRule="exact"/>
              <w:rPr>
                <w:sz w:val="20"/>
                <w:szCs w:val="20"/>
                <w:color w:val="auto"/>
              </w:rPr>
            </w:pPr>
            <w:r>
              <w:rPr>
                <w:rFonts w:ascii="Arial" w:cs="Arial" w:eastAsia="Arial" w:hAnsi="Arial"/>
                <w:sz w:val="14"/>
                <w:szCs w:val="14"/>
                <w:b w:val="1"/>
                <w:bCs w:val="1"/>
                <w:color w:val="auto"/>
                <w:w w:val="90"/>
              </w:rPr>
              <w:t>(decrease) in interest</w:t>
            </w:r>
          </w:p>
        </w:tc>
        <w:tc>
          <w:tcPr>
            <w:tcW w:w="140" w:type="dxa"/>
            <w:vAlign w:val="bottom"/>
          </w:tcPr>
          <w:p>
            <w:pPr>
              <w:spacing w:after="0"/>
              <w:rPr>
                <w:sz w:val="12"/>
                <w:szCs w:val="12"/>
                <w:color w:val="auto"/>
              </w:rPr>
            </w:pPr>
          </w:p>
        </w:tc>
        <w:tc>
          <w:tcPr>
            <w:tcW w:w="134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(decrease) in</w:t>
            </w:r>
          </w:p>
        </w:tc>
        <w:tc>
          <w:tcPr>
            <w:tcW w:w="0" w:type="dxa"/>
            <w:vAlign w:val="bottom"/>
          </w:tcPr>
          <w:p>
            <w:pPr>
              <w:spacing w:after="0"/>
              <w:rPr>
                <w:sz w:val="1"/>
                <w:szCs w:val="1"/>
                <w:color w:val="auto"/>
              </w:rPr>
            </w:pPr>
          </w:p>
        </w:tc>
      </w:tr>
      <w:tr>
        <w:trPr>
          <w:trHeight w:val="185"/>
        </w:trPr>
        <w:tc>
          <w:tcPr>
            <w:tcW w:w="536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6"/>
                <w:szCs w:val="16"/>
                <w:color w:val="auto"/>
              </w:rPr>
            </w:pPr>
          </w:p>
        </w:tc>
        <w:tc>
          <w:tcPr>
            <w:tcW w:w="13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8"/>
              </w:rPr>
              <w:t>interest expense</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net income</w:t>
            </w:r>
          </w:p>
        </w:tc>
        <w:tc>
          <w:tcPr>
            <w:tcW w:w="0" w:type="dxa"/>
            <w:vAlign w:val="bottom"/>
          </w:tcPr>
          <w:p>
            <w:pPr>
              <w:spacing w:after="0"/>
              <w:rPr>
                <w:sz w:val="1"/>
                <w:szCs w:val="1"/>
                <w:color w:val="auto"/>
              </w:rPr>
            </w:pPr>
          </w:p>
        </w:tc>
      </w:tr>
      <w:tr>
        <w:trPr>
          <w:trHeight w:val="169"/>
        </w:trPr>
        <w:tc>
          <w:tcPr>
            <w:tcW w:w="5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Up 300 basis points</w:t>
            </w:r>
          </w:p>
        </w:tc>
        <w:tc>
          <w:tcPr>
            <w:tcW w:w="164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4,459</w:t>
            </w: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Arial" w:cs="Arial" w:eastAsia="Arial" w:hAnsi="Arial"/>
                <w:sz w:val="14"/>
                <w:szCs w:val="14"/>
                <w:color w:val="auto"/>
              </w:rPr>
              <w:t>Up 200 basis points</w:t>
            </w:r>
          </w:p>
        </w:tc>
        <w:tc>
          <w:tcPr>
            <w:tcW w:w="1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(1,134 )</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 100 basis points</w:t>
            </w:r>
          </w:p>
        </w:tc>
        <w:tc>
          <w:tcPr>
            <w:tcW w:w="16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(567 )</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rPr>
                <w:sz w:val="20"/>
                <w:szCs w:val="20"/>
                <w:color w:val="auto"/>
              </w:rPr>
            </w:pPr>
            <w:r>
              <w:rPr>
                <w:rFonts w:ascii="Arial" w:cs="Arial" w:eastAsia="Arial" w:hAnsi="Arial"/>
                <w:sz w:val="14"/>
                <w:szCs w:val="14"/>
                <w:color w:val="auto"/>
              </w:rPr>
              <w:t>Down 100 basis points</w:t>
            </w:r>
          </w:p>
        </w:tc>
        <w:tc>
          <w:tcPr>
            <w:tcW w:w="16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(1,486 )</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(919 )</w:t>
            </w:r>
          </w:p>
        </w:tc>
        <w:tc>
          <w:tcPr>
            <w:tcW w:w="0" w:type="dxa"/>
            <w:vAlign w:val="bottom"/>
          </w:tcPr>
          <w:p>
            <w:pPr>
              <w:spacing w:after="0"/>
              <w:rPr>
                <w:sz w:val="1"/>
                <w:szCs w:val="1"/>
                <w:color w:val="auto"/>
              </w:rPr>
            </w:pPr>
          </w:p>
        </w:tc>
      </w:tr>
      <w:tr>
        <w:trPr>
          <w:trHeight w:val="175"/>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Down 200 basis points</w:t>
            </w:r>
          </w:p>
        </w:tc>
        <w:tc>
          <w:tcPr>
            <w:tcW w:w="16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(2,951 )</w:t>
            </w: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(1,817 )</w:t>
            </w:r>
          </w:p>
        </w:tc>
        <w:tc>
          <w:tcPr>
            <w:tcW w:w="0" w:type="dxa"/>
            <w:vAlign w:val="bottom"/>
          </w:tcPr>
          <w:p>
            <w:pPr>
              <w:spacing w:after="0"/>
              <w:rPr>
                <w:sz w:val="1"/>
                <w:szCs w:val="1"/>
                <w:color w:val="auto"/>
              </w:rPr>
            </w:pPr>
          </w:p>
        </w:tc>
      </w:tr>
      <w:tr>
        <w:trPr>
          <w:trHeight w:val="182"/>
        </w:trPr>
        <w:tc>
          <w:tcPr>
            <w:tcW w:w="5360" w:type="dxa"/>
            <w:vAlign w:val="bottom"/>
          </w:tcPr>
          <w:p>
            <w:pPr>
              <w:ind w:left="20"/>
              <w:spacing w:after="0"/>
              <w:rPr>
                <w:sz w:val="20"/>
                <w:szCs w:val="20"/>
                <w:color w:val="auto"/>
              </w:rPr>
            </w:pPr>
            <w:r>
              <w:rPr>
                <w:rFonts w:ascii="Arial" w:cs="Arial" w:eastAsia="Arial" w:hAnsi="Arial"/>
                <w:sz w:val="14"/>
                <w:szCs w:val="14"/>
                <w:color w:val="auto"/>
              </w:rPr>
              <w:t>Down 300 basis points</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(4,348 )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(2,647 )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6"/>
        </w:trPr>
        <w:tc>
          <w:tcPr>
            <w:tcW w:w="10120" w:type="dxa"/>
            <w:vAlign w:val="bottom"/>
            <w:gridSpan w:val="9"/>
          </w:tcPr>
          <w:p>
            <w:pPr>
              <w:spacing w:after="0"/>
              <w:rPr>
                <w:sz w:val="20"/>
                <w:szCs w:val="20"/>
                <w:color w:val="auto"/>
              </w:rPr>
            </w:pPr>
            <w:r>
              <w:rPr>
                <w:rFonts w:ascii="Arial" w:cs="Arial" w:eastAsia="Arial" w:hAnsi="Arial"/>
                <w:sz w:val="14"/>
                <w:szCs w:val="14"/>
                <w:b w:val="1"/>
                <w:bCs w:val="1"/>
                <w:color w:val="auto"/>
              </w:rPr>
              <w:t>ITEM 8.  CONSOLIDATED FINANCIAL STATEMENTS AND SUPPLEMENTARY DATA</w:t>
            </w:r>
          </w:p>
        </w:tc>
        <w:tc>
          <w:tcPr>
            <w:tcW w:w="1120" w:type="dxa"/>
            <w:vAlign w:val="bottom"/>
          </w:tcPr>
          <w:p>
            <w:pPr>
              <w:spacing w:after="0"/>
              <w:rPr>
                <w:sz w:val="16"/>
                <w:szCs w:val="16"/>
                <w:color w:val="auto"/>
              </w:rPr>
            </w:pPr>
          </w:p>
        </w:tc>
      </w:tr>
      <w:tr>
        <w:trPr>
          <w:trHeight w:val="365"/>
        </w:trPr>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gridSpan w:val="7"/>
          </w:tcPr>
          <w:p>
            <w:pPr>
              <w:ind w:left="1160"/>
              <w:spacing w:after="0"/>
              <w:rPr>
                <w:sz w:val="20"/>
                <w:szCs w:val="20"/>
                <w:color w:val="auto"/>
              </w:rPr>
            </w:pPr>
            <w:r>
              <w:rPr>
                <w:rFonts w:ascii="Arial" w:cs="Arial" w:eastAsia="Arial" w:hAnsi="Arial"/>
                <w:sz w:val="14"/>
                <w:szCs w:val="14"/>
                <w:b w:val="1"/>
                <w:bCs w:val="1"/>
                <w:color w:val="auto"/>
              </w:rPr>
              <w:t>INDEX TO CONSOLIDATED FINANCIAL STATEMENTS</w:t>
            </w:r>
          </w:p>
        </w:tc>
        <w:tc>
          <w:tcPr>
            <w:tcW w:w="1120" w:type="dxa"/>
            <w:vAlign w:val="bottom"/>
          </w:tcPr>
          <w:p>
            <w:pPr>
              <w:spacing w:after="0"/>
              <w:rPr>
                <w:sz w:val="24"/>
                <w:szCs w:val="24"/>
                <w:color w:val="auto"/>
              </w:rPr>
            </w:pPr>
          </w:p>
        </w:tc>
      </w:tr>
      <w:tr>
        <w:trPr>
          <w:trHeight w:val="330"/>
        </w:trPr>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Page</w:t>
            </w:r>
          </w:p>
        </w:tc>
      </w:tr>
      <w:tr>
        <w:trPr>
          <w:trHeight w:val="162"/>
        </w:trPr>
        <w:tc>
          <w:tcPr>
            <w:tcW w:w="60" w:type="dxa"/>
            <w:vAlign w:val="bottom"/>
          </w:tcPr>
          <w:p>
            <w:pPr>
              <w:spacing w:after="0"/>
              <w:rPr>
                <w:sz w:val="14"/>
                <w:szCs w:val="14"/>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Report of Independent Registered Public Accounting Firm (PCAOB ID No 34)</w:t>
            </w:r>
          </w:p>
        </w:tc>
        <w:tc>
          <w:tcPr>
            <w:tcW w:w="112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Report of Former Independent Registered Public Accounting Firm (PCAOB ID No 42)</w:t>
            </w:r>
          </w:p>
        </w:tc>
        <w:tc>
          <w:tcPr>
            <w:tcW w:w="112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6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10060" w:type="dxa"/>
            <w:vAlign w:val="bottom"/>
            <w:gridSpan w:val="8"/>
          </w:tcPr>
          <w:p>
            <w:pPr>
              <w:spacing w:after="0"/>
              <w:rPr>
                <w:sz w:val="20"/>
                <w:szCs w:val="20"/>
                <w:color w:val="auto"/>
              </w:rPr>
            </w:pPr>
            <w:r>
              <w:rPr>
                <w:rFonts w:ascii="Arial" w:cs="Arial" w:eastAsia="Arial" w:hAnsi="Arial"/>
                <w:sz w:val="14"/>
                <w:szCs w:val="14"/>
                <w:b w:val="1"/>
                <w:bCs w:val="1"/>
                <w:color w:val="auto"/>
              </w:rPr>
              <w:t>Audited Financial Statements:</w:t>
            </w:r>
          </w:p>
        </w:tc>
        <w:tc>
          <w:tcPr>
            <w:tcW w:w="1120" w:type="dxa"/>
            <w:vAlign w:val="bottom"/>
          </w:tcPr>
          <w:p>
            <w:pPr>
              <w:spacing w:after="0"/>
              <w:rPr>
                <w:sz w:val="18"/>
                <w:szCs w:val="18"/>
                <w:color w:val="auto"/>
              </w:rPr>
            </w:pPr>
          </w:p>
        </w:tc>
      </w:tr>
      <w:tr>
        <w:trPr>
          <w:trHeight w:val="174"/>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Consolidated Statements of Assets and Liabilities as of December 31, 2022 and 2021</w:t>
            </w:r>
          </w:p>
        </w:tc>
        <w:tc>
          <w:tcPr>
            <w:tcW w:w="112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52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for the years ended December 31, 2022, 2021, and 2020</w:t>
            </w:r>
          </w:p>
        </w:tc>
        <w:tc>
          <w:tcPr>
            <w:tcW w:w="112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52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Consolidated Statements of Changes in Net Assets for the years ended December 31, 2022, 2021, and 2020</w:t>
            </w:r>
          </w:p>
        </w:tc>
        <w:tc>
          <w:tcPr>
            <w:tcW w:w="112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52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Consolidated Statements of Cash Flows for the years ended December 31, 2022, 2021, and 2020</w:t>
            </w:r>
          </w:p>
        </w:tc>
        <w:tc>
          <w:tcPr>
            <w:tcW w:w="112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52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520" w:type="dxa"/>
            <w:vAlign w:val="bottom"/>
            <w:tcBorders>
              <w:left w:val="single" w:sz="8" w:color="0000EE"/>
            </w:tcBorders>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Consolidated Schedules of Investments as of December 31, 2022 and 2021</w:t>
            </w:r>
          </w:p>
        </w:tc>
        <w:tc>
          <w:tcPr>
            <w:tcW w:w="1120" w:type="dxa"/>
            <w:vAlign w:val="bottom"/>
          </w:tcPr>
          <w:p>
            <w:pPr>
              <w:jc w:val="right"/>
              <w:spacing w:after="0"/>
              <w:rPr>
                <w:sz w:val="20"/>
                <w:szCs w:val="20"/>
                <w:color w:val="auto"/>
              </w:rPr>
            </w:pPr>
            <w:r>
              <w:rPr>
                <w:rFonts w:ascii="Arial" w:cs="Arial" w:eastAsia="Arial" w:hAnsi="Arial"/>
                <w:sz w:val="14"/>
                <w:szCs w:val="14"/>
                <w:color w:val="auto"/>
              </w:rPr>
              <w:t>F-9</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252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0060" w:type="dxa"/>
            <w:vAlign w:val="bottom"/>
            <w:gridSpan w:val="8"/>
          </w:tcPr>
          <w:p>
            <w:pPr>
              <w:spacing w:after="0"/>
              <w:rPr>
                <w:sz w:val="20"/>
                <w:szCs w:val="20"/>
                <w:color w:val="auto"/>
              </w:rPr>
            </w:pPr>
            <w:r>
              <w:rPr>
                <w:rFonts w:ascii="Arial" w:cs="Arial" w:eastAsia="Arial" w:hAnsi="Arial"/>
                <w:sz w:val="14"/>
                <w:szCs w:val="14"/>
                <w:color w:val="0000FF"/>
              </w:rPr>
              <w:t>Notes to Consolidated Financial Statements</w:t>
            </w:r>
          </w:p>
        </w:tc>
        <w:tc>
          <w:tcPr>
            <w:tcW w:w="1120" w:type="dxa"/>
            <w:vAlign w:val="bottom"/>
          </w:tcPr>
          <w:p>
            <w:pPr>
              <w:jc w:val="right"/>
              <w:spacing w:after="0"/>
              <w:rPr>
                <w:sz w:val="20"/>
                <w:szCs w:val="20"/>
                <w:color w:val="auto"/>
              </w:rPr>
            </w:pPr>
            <w:r>
              <w:rPr>
                <w:rFonts w:ascii="Arial" w:cs="Arial" w:eastAsia="Arial" w:hAnsi="Arial"/>
                <w:sz w:val="14"/>
                <w:szCs w:val="14"/>
                <w:color w:val="auto"/>
              </w:rPr>
              <w:t>F-13</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Logan Ridge Finance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 and Financial Highlights</w:t>
      </w:r>
    </w:p>
    <w:p>
      <w:pPr>
        <w:spacing w:after="0" w:line="168"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 xml:space="preserve">We have audited the accompanying consolidated statements of assets and liabilities of Logan Ridge Finance Corporation and subsidiaries (the "Company"), including the consolidated schedules of investments, as of December 31, 2022 and </w:t>
      </w:r>
      <w:r>
        <w:rPr>
          <w:rFonts w:ascii="Arial" w:cs="Arial" w:eastAsia="Arial" w:hAnsi="Arial"/>
          <w:sz w:val="14"/>
          <w:szCs w:val="14"/>
          <w:color w:val="231F20"/>
        </w:rPr>
        <w:t>2021</w:t>
      </w:r>
      <w:r>
        <w:rPr>
          <w:rFonts w:ascii="Arial" w:cs="Arial" w:eastAsia="Arial" w:hAnsi="Arial"/>
          <w:sz w:val="14"/>
          <w:szCs w:val="14"/>
          <w:color w:val="auto"/>
        </w:rPr>
        <w:t xml:space="preserve">, the related consolidated statements of operations, cash flows, changes in net assets, the financial highlights for years ended December 31, 2022 and </w:t>
      </w:r>
      <w:r>
        <w:rPr>
          <w:rFonts w:ascii="Arial" w:cs="Arial" w:eastAsia="Arial" w:hAnsi="Arial"/>
          <w:sz w:val="14"/>
          <w:szCs w:val="14"/>
          <w:color w:val="231F20"/>
        </w:rPr>
        <w:t>2021</w:t>
      </w:r>
      <w:r>
        <w:rPr>
          <w:rFonts w:ascii="Arial" w:cs="Arial" w:eastAsia="Arial" w:hAnsi="Arial"/>
          <w:sz w:val="14"/>
          <w:szCs w:val="14"/>
          <w:color w:val="auto"/>
        </w:rPr>
        <w:t xml:space="preserve">, and the related notes. In our opinion, the financial statements and financial highlights present fairly, in all material respects, the financial position of the Company as of December 31, 2022 and </w:t>
      </w:r>
      <w:r>
        <w:rPr>
          <w:rFonts w:ascii="Arial" w:cs="Arial" w:eastAsia="Arial" w:hAnsi="Arial"/>
          <w:sz w:val="14"/>
          <w:szCs w:val="14"/>
          <w:color w:val="231F20"/>
        </w:rPr>
        <w:t>2021</w:t>
      </w:r>
      <w:r>
        <w:rPr>
          <w:rFonts w:ascii="Arial" w:cs="Arial" w:eastAsia="Arial" w:hAnsi="Arial"/>
          <w:sz w:val="14"/>
          <w:szCs w:val="14"/>
          <w:color w:val="auto"/>
        </w:rPr>
        <w:t>, and the results of its operations, changes in net assets, cash flows and financial highlights for each of the two years in the period ended December 31, 2022 in conformity with accounting principles generally accepted in the United States of America.</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These financial statements and financial highlights are the responsibility of the Company's management. Our responsibility is to express an opinion on the Company's financial statements and financial highlights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and financial highlights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7"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Company, as well as evaluating the overall presentation of the financial statements and financial highlights. Our procedures included confirmation of investments owned as of December 31, 2022 and </w:t>
      </w:r>
      <w:r>
        <w:rPr>
          <w:rFonts w:ascii="Arial" w:cs="Arial" w:eastAsia="Arial" w:hAnsi="Arial"/>
          <w:sz w:val="14"/>
          <w:szCs w:val="14"/>
          <w:color w:val="231F20"/>
        </w:rPr>
        <w:t>2021</w:t>
      </w:r>
      <w:r>
        <w:rPr>
          <w:rFonts w:ascii="Arial" w:cs="Arial" w:eastAsia="Arial" w:hAnsi="Arial"/>
          <w:sz w:val="14"/>
          <w:szCs w:val="14"/>
          <w:color w:val="auto"/>
        </w:rPr>
        <w:t>, by correspondence with the custodian, loan agents, and borrowers; when replies were not received, we performed other auditing procedures.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6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Fair Value of Level 3 Investments— Refer to Notes 2 and 4 to the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6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Company held investments classified as Level 3 investments under accounting principles generally accepted in the United States of America. These investments included debt and equity securities with unique contract terms and conditions and/or complexity that considers a combination of multiple levels of market and asset specific inputs. The valuation techniques used in estimating the fair value of these investments vary and certain significant inputs used were unobservable. The fair value of the Company’s Level 3 investments was $203.2 million as of December 31, 2022.</w:t>
      </w:r>
    </w:p>
    <w:p>
      <w:pPr>
        <w:spacing w:after="0" w:line="13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We identified the valuation of Level 3 investments as a critical audit matter because of the judgments necessary for management to select valuation techniques and to use significant unobservable inputs to estimate the fair value, including discount rates utilized. This required a high degree of auditor judgement and extensive audit effort, including in many instances, the need to involve fair value specialists who possess significant valuation experience, to evaluate the appropriateness of the valuation techniques and the significant unobservable inputs, when performing procedures to audit the management’s estimate of fair value of Level 3 investments.</w:t>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2" w:right="4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valuation of certain Level 3 investments included the following, among other factors:</w:t>
      </w:r>
    </w:p>
    <w:p>
      <w:pPr>
        <w:spacing w:after="0" w:line="271" w:lineRule="exact"/>
        <w:rPr>
          <w:sz w:val="20"/>
          <w:szCs w:val="20"/>
          <w:color w:val="auto"/>
        </w:rPr>
      </w:pPr>
    </w:p>
    <w:p>
      <w:pPr>
        <w:ind w:left="1020" w:right="140" w:hanging="503"/>
        <w:spacing w:after="0" w:line="258" w:lineRule="auto"/>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evaluated the design and implementation of controls over the Company’s valuation of Level 3 investments, including those related to valuation techniques and significant unobservable inputs.</w:t>
      </w:r>
    </w:p>
    <w:p>
      <w:pPr>
        <w:spacing w:after="0" w:line="85" w:lineRule="exact"/>
        <w:rPr>
          <w:rFonts w:ascii="Arial" w:cs="Arial" w:eastAsia="Arial" w:hAnsi="Arial"/>
          <w:sz w:val="14"/>
          <w:szCs w:val="14"/>
          <w:color w:val="auto"/>
        </w:rPr>
      </w:pPr>
    </w:p>
    <w:p>
      <w:pPr>
        <w:ind w:left="1020" w:hanging="503"/>
        <w:spacing w:after="0" w:line="258" w:lineRule="auto"/>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evaluated the appropriateness of the valuation techniques used for Level 3 investments and tested the related significant unobservable inputs by comparing these inputs to external sources.</w:t>
      </w:r>
    </w:p>
    <w:p>
      <w:pPr>
        <w:spacing w:after="0" w:line="85" w:lineRule="exact"/>
        <w:rPr>
          <w:rFonts w:ascii="Arial" w:cs="Arial" w:eastAsia="Arial" w:hAnsi="Arial"/>
          <w:sz w:val="14"/>
          <w:szCs w:val="14"/>
          <w:color w:val="auto"/>
        </w:rPr>
      </w:pPr>
    </w:p>
    <w:p>
      <w:pPr>
        <w:ind w:left="1020" w:right="560" w:hanging="503"/>
        <w:spacing w:after="0" w:line="258" w:lineRule="auto"/>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a selected sample of Level 3 investments, we performed these procedures with the assistance of our fair value specialists to evaluate the valuation techniques and significant unobservable inputs and assumptions used, including discount rates.</w:t>
      </w:r>
    </w:p>
    <w:p>
      <w:pPr>
        <w:spacing w:after="0" w:line="85" w:lineRule="exact"/>
        <w:rPr>
          <w:rFonts w:ascii="Arial" w:cs="Arial" w:eastAsia="Arial" w:hAnsi="Arial"/>
          <w:sz w:val="14"/>
          <w:szCs w:val="14"/>
          <w:color w:val="auto"/>
        </w:rPr>
      </w:pPr>
    </w:p>
    <w:p>
      <w:pPr>
        <w:ind w:left="1020" w:right="100" w:hanging="503"/>
        <w:spacing w:after="0" w:line="258" w:lineRule="auto"/>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evaluated the management’s ability to estimate fair value by comparing management’s historical estimates to subsequent transactions, taking into account changes in market or investment specific conditions, where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2021.</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69" w:name="page70"/>
    <w:bookmarkEnd w:id="69"/>
    <w:p>
      <w:pPr>
        <w:jc w:val="right"/>
        <w:ind w:righ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jc w:val="right"/>
        <w:ind w:right="3760"/>
        <w:spacing w:after="0"/>
        <w:rPr>
          <w:sz w:val="20"/>
          <w:szCs w:val="20"/>
          <w:color w:val="auto"/>
        </w:rPr>
      </w:pPr>
      <w:r>
        <w:rPr>
          <w:rFonts w:ascii="Arial" w:cs="Arial" w:eastAsia="Arial" w:hAnsi="Arial"/>
          <w:sz w:val="13"/>
          <w:szCs w:val="13"/>
          <w:color w:val="auto"/>
        </w:rPr>
        <w:t>To the Shareholders and the Board of Directors of Logan Ridge Finance Corporation (formerly known as Capitala Finance Corp.)</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have audited the accompanying consolidated statements of operations, changes in net assets and cash flows of Logan Ridge Finance Corporation (formerly known as Capitala Finance Corp.) (the “Company”), for the year ended December 31, 2020, and the related notes (collectively referred to as the “consolidated financial statements”). In our opinion, the consolidated financial statements present fairly, in all material respects, the operations, changes in net assets, and cash flows of the Company for the year ended December 31, 2020, in conformity with U.S. generally accepted accounting principles.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from 2013 to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rPr>
          <w:sz w:val="20"/>
          <w:szCs w:val="20"/>
          <w:color w:val="auto"/>
        </w:rPr>
      </w:pPr>
      <w:r>
        <w:rPr>
          <w:rFonts w:ascii="Arial" w:cs="Arial" w:eastAsia="Arial" w:hAnsi="Arial"/>
          <w:sz w:val="14"/>
          <w:szCs w:val="14"/>
          <w:color w:val="auto"/>
        </w:rPr>
        <w:t>March 8, 2021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ASSETS AND LIABILITIES</w:t>
      </w:r>
    </w:p>
    <w:p>
      <w:pPr>
        <w:jc w:val="center"/>
        <w:ind w:right="2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60" w:type="dxa"/>
            <w:vAlign w:val="bottom"/>
          </w:tcPr>
          <w:p>
            <w:pPr>
              <w:spacing w:after="0"/>
              <w:rPr>
                <w:sz w:val="14"/>
                <w:szCs w:val="1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1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 (amortized cost of $191,435 and $131,829, respectively)</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177,268</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129,991</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0"/>
              <w:spacing w:after="0"/>
              <w:rPr>
                <w:sz w:val="20"/>
                <w:szCs w:val="20"/>
                <w:color w:val="auto"/>
              </w:rPr>
            </w:pPr>
            <w:r>
              <w:rPr>
                <w:rFonts w:ascii="Arial" w:cs="Arial" w:eastAsia="Arial" w:hAnsi="Arial"/>
                <w:sz w:val="14"/>
                <w:szCs w:val="14"/>
                <w:color w:val="auto"/>
              </w:rPr>
              <w:t>Affiliate investments (amortized cost of $29,081 and $49,803, respectively)</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26,324</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61,359</w:t>
            </w:r>
          </w:p>
        </w:tc>
        <w:tc>
          <w:tcPr>
            <w:tcW w:w="100" w:type="dxa"/>
            <w:vAlign w:val="bottom"/>
          </w:tcPr>
          <w:p>
            <w:pPr>
              <w:spacing w:after="0"/>
              <w:rPr>
                <w:sz w:val="15"/>
                <w:szCs w:val="15"/>
                <w:color w:val="auto"/>
              </w:rPr>
            </w:pPr>
          </w:p>
        </w:tc>
      </w:tr>
      <w:tr>
        <w:trPr>
          <w:trHeight w:val="176"/>
        </w:trPr>
        <w:tc>
          <w:tcPr>
            <w:tcW w:w="74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 (amortized cost of zero and $8,850, respectively)</w:t>
            </w:r>
          </w:p>
        </w:tc>
        <w:tc>
          <w:tcPr>
            <w:tcW w:w="1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6,839</w:t>
            </w:r>
          </w:p>
        </w:tc>
        <w:tc>
          <w:tcPr>
            <w:tcW w:w="100" w:type="dxa"/>
            <w:vAlign w:val="bottom"/>
            <w:shd w:val="clear" w:color="auto" w:fill="CFF0FC"/>
          </w:tcPr>
          <w:p>
            <w:pPr>
              <w:spacing w:after="0"/>
              <w:rPr>
                <w:sz w:val="15"/>
                <w:szCs w:val="15"/>
                <w:color w:val="auto"/>
              </w:rPr>
            </w:pPr>
          </w:p>
        </w:tc>
      </w:tr>
      <w:tr>
        <w:trPr>
          <w:trHeight w:val="169"/>
        </w:trPr>
        <w:tc>
          <w:tcPr>
            <w:tcW w:w="746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investments at fair value (amortized cost of $220,516 and $190,482, respectively)</w:t>
            </w:r>
          </w:p>
        </w:tc>
        <w:tc>
          <w:tcPr>
            <w:tcW w:w="1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203,592</w:t>
            </w:r>
          </w:p>
        </w:tc>
        <w:tc>
          <w:tcPr>
            <w:tcW w:w="260" w:type="dxa"/>
            <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tcBorders>
              <w:top w:val="single" w:sz="8" w:color="CFF0FC"/>
            </w:tcBorders>
          </w:tcPr>
          <w:p>
            <w:pPr>
              <w:spacing w:after="0"/>
              <w:rPr>
                <w:sz w:val="14"/>
                <w:szCs w:val="14"/>
                <w:color w:val="auto"/>
              </w:rPr>
            </w:pP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6,793</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Interest and dividend receivable</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1,578</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r>
      <w:tr>
        <w:trPr>
          <w:trHeight w:val="175"/>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Receivable for unsettled trades</w:t>
            </w:r>
          </w:p>
        </w:tc>
        <w:tc>
          <w:tcPr>
            <w:tcW w:w="1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r>
      <w:tr>
        <w:trPr>
          <w:trHeight w:val="175"/>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7460" w:type="dxa"/>
            <w:vAlign w:val="bottom"/>
            <w:tcBorders>
              <w:top w:val="single" w:sz="8" w:color="CFF0FC"/>
            </w:tcBorders>
          </w:tcPr>
          <w:p>
            <w:pPr>
              <w:ind w:left="200"/>
              <w:spacing w:after="0" w:line="155" w:lineRule="exact"/>
              <w:rPr>
                <w:sz w:val="20"/>
                <w:szCs w:val="20"/>
                <w:color w:val="auto"/>
              </w:rPr>
            </w:pPr>
            <w:r>
              <w:rPr>
                <w:rFonts w:ascii="Arial" w:cs="Arial" w:eastAsia="Arial" w:hAnsi="Arial"/>
                <w:sz w:val="14"/>
                <w:szCs w:val="14"/>
                <w:color w:val="auto"/>
              </w:rPr>
              <w:t>Total assets</w:t>
            </w:r>
          </w:p>
        </w:tc>
        <w:tc>
          <w:tcPr>
            <w:tcW w:w="1100" w:type="dxa"/>
            <w:vAlign w:val="bottom"/>
            <w:tcBorders>
              <w:top w:val="single" w:sz="8" w:color="auto"/>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214,710</w:t>
            </w:r>
          </w:p>
        </w:tc>
        <w:tc>
          <w:tcPr>
            <w:tcW w:w="260" w:type="dxa"/>
            <w:vAlign w:val="bottom"/>
            <w:tcBorders>
              <w:top w:val="single" w:sz="8" w:color="CFF0FC"/>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242,217</w:t>
            </w:r>
          </w:p>
        </w:tc>
        <w:tc>
          <w:tcPr>
            <w:tcW w:w="100" w:type="dxa"/>
            <w:vAlign w:val="bottom"/>
            <w:tcBorders>
              <w:top w:val="single" w:sz="8" w:color="CFF0FC"/>
            </w:tcBorders>
          </w:tcPr>
          <w:p>
            <w:pPr>
              <w:spacing w:after="0"/>
              <w:rPr>
                <w:sz w:val="14"/>
                <w:szCs w:val="14"/>
                <w:color w:val="auto"/>
              </w:rPr>
            </w:pP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LIABILITIES</w:t>
            </w:r>
          </w:p>
        </w:tc>
        <w:tc>
          <w:tcPr>
            <w:tcW w:w="1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2022 Notes (net of deferred financing costs of zero and $46, respectively)</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22,787</w:t>
            </w:r>
          </w:p>
        </w:tc>
        <w:tc>
          <w:tcPr>
            <w:tcW w:w="100" w:type="dxa"/>
            <w:vAlign w:val="bottom"/>
          </w:tcPr>
          <w:p>
            <w:pPr>
              <w:spacing w:after="0"/>
              <w:rPr>
                <w:sz w:val="15"/>
                <w:szCs w:val="15"/>
                <w:color w:val="auto"/>
              </w:rPr>
            </w:pPr>
          </w:p>
        </w:tc>
      </w:tr>
      <w:tr>
        <w:trPr>
          <w:trHeight w:val="175"/>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 (net of deferred financing costs of zero and $167, respectively)</w:t>
            </w:r>
          </w:p>
        </w:tc>
        <w:tc>
          <w:tcPr>
            <w:tcW w:w="1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51,921</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2026 Notes (net of deferred financing costs and original issue discount of $1,421 and $1,552, respectively)</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48,579</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48,448</w:t>
            </w:r>
          </w:p>
        </w:tc>
        <w:tc>
          <w:tcPr>
            <w:tcW w:w="100" w:type="dxa"/>
            <w:vAlign w:val="bottom"/>
          </w:tcPr>
          <w:p>
            <w:pPr>
              <w:spacing w:after="0"/>
              <w:rPr>
                <w:sz w:val="15"/>
                <w:szCs w:val="15"/>
                <w:color w:val="auto"/>
              </w:rPr>
            </w:pP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2032 Convertible Notes (net of deferred financing costs and original issue discount of $1,117 and zero, respectively)</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13,883</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460" w:type="dxa"/>
            <w:vAlign w:val="bottom"/>
          </w:tcPr>
          <w:p>
            <w:pPr>
              <w:ind w:left="20"/>
              <w:spacing w:after="0"/>
              <w:rPr>
                <w:sz w:val="20"/>
                <w:szCs w:val="20"/>
                <w:color w:val="auto"/>
              </w:rPr>
            </w:pPr>
            <w:r>
              <w:rPr>
                <w:rFonts w:ascii="Arial" w:cs="Arial" w:eastAsia="Arial" w:hAnsi="Arial"/>
                <w:sz w:val="14"/>
                <w:szCs w:val="14"/>
                <w:color w:val="auto"/>
              </w:rPr>
              <w:t>KeyBank Credit Facility (net of deferred financing costs of $1,322 and $353, respectively)</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54,615</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(353 )</w:t>
            </w: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Management and incentive fees payable</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FF0FC"/>
          </w:tcPr>
          <w:p>
            <w:pPr>
              <w:spacing w:after="0"/>
              <w:rPr>
                <w:sz w:val="15"/>
                <w:szCs w:val="15"/>
                <w:color w:val="auto"/>
              </w:rPr>
            </w:pPr>
          </w:p>
        </w:tc>
      </w:tr>
      <w:tr>
        <w:trPr>
          <w:trHeight w:val="175"/>
        </w:trPr>
        <w:tc>
          <w:tcPr>
            <w:tcW w:w="7460" w:type="dxa"/>
            <w:vAlign w:val="bottom"/>
          </w:tcPr>
          <w:p>
            <w:pPr>
              <w:ind w:left="20"/>
              <w:spacing w:after="0"/>
              <w:rPr>
                <w:sz w:val="20"/>
                <w:szCs w:val="20"/>
                <w:color w:val="auto"/>
              </w:rPr>
            </w:pPr>
            <w:r>
              <w:rPr>
                <w:rFonts w:ascii="Arial" w:cs="Arial" w:eastAsia="Arial" w:hAnsi="Arial"/>
                <w:sz w:val="14"/>
                <w:szCs w:val="14"/>
                <w:color w:val="auto"/>
              </w:rPr>
              <w:t>Interest and financing fees payable</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973</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Payable for unsettled trades</w:t>
            </w:r>
          </w:p>
        </w:tc>
        <w:tc>
          <w:tcPr>
            <w:tcW w:w="1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9,265</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Accounts payable and accrued expenses</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r>
      <w:tr>
        <w:trPr>
          <w:trHeight w:val="169"/>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liabilities</w:t>
            </w:r>
          </w:p>
        </w:tc>
        <w:tc>
          <w:tcPr>
            <w:tcW w:w="1100" w:type="dxa"/>
            <w:vAlign w:val="bottom"/>
            <w:tcBorders>
              <w:bottom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119,705</w:t>
            </w: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135,188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460" w:type="dxa"/>
            <w:vAlign w:val="bottom"/>
          </w:tcPr>
          <w:p>
            <w:pPr>
              <w:ind w:left="20"/>
              <w:spacing w:after="0"/>
              <w:rPr>
                <w:sz w:val="20"/>
                <w:szCs w:val="20"/>
                <w:color w:val="auto"/>
              </w:rPr>
            </w:pPr>
            <w:r>
              <w:rPr>
                <w:rFonts w:ascii="Arial" w:cs="Arial" w:eastAsia="Arial" w:hAnsi="Arial"/>
                <w:sz w:val="14"/>
                <w:szCs w:val="14"/>
                <w:color w:val="auto"/>
              </w:rPr>
              <w:t>Commitments and contingencies (Note 2)</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ASSETS</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460" w:type="dxa"/>
            <w:vAlign w:val="bottom"/>
          </w:tcPr>
          <w:p>
            <w:pPr>
              <w:ind w:left="20"/>
              <w:spacing w:after="0" w:line="143" w:lineRule="exact"/>
              <w:rPr>
                <w:sz w:val="20"/>
                <w:szCs w:val="20"/>
                <w:color w:val="auto"/>
              </w:rPr>
            </w:pPr>
            <w:r>
              <w:rPr>
                <w:rFonts w:ascii="Arial" w:cs="Arial" w:eastAsia="Arial" w:hAnsi="Arial"/>
                <w:sz w:val="14"/>
                <w:szCs w:val="14"/>
                <w:color w:val="auto"/>
                <w:w w:val="96"/>
              </w:rPr>
              <w:t>Common stock, par value $0.01, 100,000,000 common shares authorized, 2,711,068 and 2,711,068 common shares issued</w:t>
            </w: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460" w:type="dxa"/>
            <w:vAlign w:val="bottom"/>
          </w:tcPr>
          <w:p>
            <w:pPr>
              <w:ind w:left="20"/>
              <w:spacing w:after="0"/>
              <w:rPr>
                <w:sz w:val="20"/>
                <w:szCs w:val="20"/>
                <w:color w:val="auto"/>
              </w:rPr>
            </w:pPr>
            <w:r>
              <w:rPr>
                <w:rFonts w:ascii="Arial" w:cs="Arial" w:eastAsia="Arial" w:hAnsi="Arial"/>
                <w:sz w:val="14"/>
                <w:szCs w:val="14"/>
                <w:color w:val="auto"/>
              </w:rPr>
              <w:t>and outstanding, respectively</w:t>
            </w: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r>
      <w:tr>
        <w:trPr>
          <w:trHeight w:val="176"/>
        </w:trPr>
        <w:tc>
          <w:tcPr>
            <w:tcW w:w="7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paid in capital</w:t>
            </w:r>
          </w:p>
        </w:tc>
        <w:tc>
          <w:tcPr>
            <w:tcW w:w="1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191,038</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100" w:type="dxa"/>
            <w:vAlign w:val="bottom"/>
            <w:shd w:val="clear" w:color="auto" w:fill="CFF0FC"/>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color w:val="auto"/>
              </w:rPr>
              <w:t>Total distributable loss</w:t>
            </w:r>
          </w:p>
        </w:tc>
        <w:tc>
          <w:tcPr>
            <w:tcW w:w="1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(96,060 )</w:t>
            </w: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(81,844 )</w:t>
            </w:r>
          </w:p>
        </w:tc>
      </w:tr>
      <w:tr>
        <w:trPr>
          <w:trHeight w:val="169"/>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net assets</w:t>
            </w:r>
          </w:p>
        </w:tc>
        <w:tc>
          <w:tcPr>
            <w:tcW w:w="1100" w:type="dxa"/>
            <w:vAlign w:val="bottom"/>
            <w:tcBorders>
              <w:top w:val="single" w:sz="8" w:color="auto"/>
              <w:bottom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95,005</w:t>
            </w: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46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net assets</w:t>
            </w:r>
          </w:p>
        </w:tc>
        <w:tc>
          <w:tcPr>
            <w:tcW w:w="1100" w:type="dxa"/>
            <w:vAlign w:val="bottom"/>
            <w:tcBorders>
              <w:bottom w:val="single" w:sz="8" w:color="auto"/>
            </w:tcBorders>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214,710</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242,217</w:t>
            </w:r>
          </w:p>
        </w:tc>
        <w:tc>
          <w:tcPr>
            <w:tcW w:w="100" w:type="dxa"/>
            <w:vAlign w:val="bottom"/>
          </w:tcPr>
          <w:p>
            <w:pPr>
              <w:spacing w:after="0"/>
              <w:rPr>
                <w:sz w:val="14"/>
                <w:szCs w:val="14"/>
                <w:color w:val="auto"/>
              </w:rPr>
            </w:pP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asset value per share</w:t>
            </w:r>
          </w:p>
        </w:tc>
        <w:tc>
          <w:tcPr>
            <w:tcW w:w="1100" w:type="dxa"/>
            <w:vAlign w:val="bottom"/>
            <w:shd w:val="clear" w:color="auto" w:fill="CFF0FC"/>
          </w:tcPr>
          <w:p>
            <w:pPr>
              <w:jc w:val="right"/>
              <w:ind w:right="948"/>
              <w:spacing w:after="0" w:line="15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35.04</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4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39.48</w:t>
            </w:r>
          </w:p>
        </w:tc>
        <w:tc>
          <w:tcPr>
            <w:tcW w:w="100" w:type="dxa"/>
            <w:vAlign w:val="bottom"/>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-3093720</wp:posOffset>
            </wp:positionV>
            <wp:extent cx="6858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-2416810</wp:posOffset>
            </wp:positionV>
            <wp:extent cx="685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-1036955</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-256540</wp:posOffset>
            </wp:positionV>
            <wp:extent cx="6858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548"/>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12,732</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16,729</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6,580</w:t>
            </w:r>
          </w:p>
        </w:tc>
        <w:tc>
          <w:tcPr>
            <w:tcW w:w="100" w:type="dxa"/>
            <w:vAlign w:val="bottom"/>
          </w:tcPr>
          <w:p>
            <w:pPr>
              <w:spacing w:after="0"/>
              <w:rPr>
                <w:sz w:val="15"/>
                <w:szCs w:val="15"/>
                <w:color w:val="auto"/>
              </w:rPr>
            </w:pPr>
          </w:p>
        </w:tc>
      </w:tr>
      <w:tr>
        <w:trPr>
          <w:trHeight w:val="175"/>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200"/>
              <w:spacing w:after="0"/>
              <w:rPr>
                <w:sz w:val="20"/>
                <w:szCs w:val="20"/>
                <w:color w:val="auto"/>
              </w:rPr>
            </w:pPr>
            <w:r>
              <w:rPr>
                <w:rFonts w:ascii="Arial" w:cs="Arial" w:eastAsia="Arial" w:hAnsi="Arial"/>
                <w:sz w:val="14"/>
                <w:szCs w:val="14"/>
                <w:color w:val="auto"/>
              </w:rPr>
              <w:t>Total interest income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13,666</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14,825</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23,719</w:t>
            </w:r>
          </w:p>
        </w:tc>
        <w:tc>
          <w:tcPr>
            <w:tcW w:w="100" w:type="dxa"/>
            <w:vAlign w:val="bottom"/>
          </w:tcPr>
          <w:p>
            <w:pPr>
              <w:spacing w:after="0"/>
              <w:rPr>
                <w:sz w:val="14"/>
                <w:szCs w:val="14"/>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5"/>
                <w:szCs w:val="15"/>
                <w:color w:val="auto"/>
              </w:rPr>
            </w:pPr>
          </w:p>
        </w:tc>
      </w:tr>
      <w:tr>
        <w:trPr>
          <w:trHeight w:val="176"/>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200"/>
              <w:spacing w:after="0"/>
              <w:rPr>
                <w:sz w:val="20"/>
                <w:szCs w:val="20"/>
                <w:color w:val="auto"/>
              </w:rPr>
            </w:pPr>
            <w:r>
              <w:rPr>
                <w:rFonts w:ascii="Arial" w:cs="Arial" w:eastAsia="Arial" w:hAnsi="Arial"/>
                <w:sz w:val="14"/>
                <w:szCs w:val="14"/>
                <w:color w:val="auto"/>
              </w:rPr>
              <w:t>Total payment-in-kind interest and dividend income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4"/>
                <w:szCs w:val="14"/>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200" w:type="dxa"/>
            <w:vAlign w:val="bottom"/>
          </w:tcPr>
          <w:p>
            <w:pPr>
              <w:spacing w:after="0"/>
              <w:rPr>
                <w:sz w:val="15"/>
                <w:szCs w:val="15"/>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200"/>
              <w:spacing w:after="0"/>
              <w:rPr>
                <w:sz w:val="20"/>
                <w:szCs w:val="20"/>
                <w:color w:val="auto"/>
              </w:rPr>
            </w:pPr>
            <w:r>
              <w:rPr>
                <w:rFonts w:ascii="Arial" w:cs="Arial" w:eastAsia="Arial" w:hAnsi="Arial"/>
                <w:sz w:val="14"/>
                <w:szCs w:val="14"/>
                <w:color w:val="auto"/>
              </w:rPr>
              <w:t>Total dividend income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8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FF0FC"/>
          </w:tcPr>
          <w:p>
            <w:pPr>
              <w:spacing w:after="0"/>
              <w:rPr>
                <w:sz w:val="15"/>
                <w:szCs w:val="15"/>
                <w:color w:val="auto"/>
              </w:rPr>
            </w:pPr>
          </w:p>
        </w:tc>
      </w:tr>
      <w:tr>
        <w:trPr>
          <w:trHeight w:val="169"/>
        </w:trPr>
        <w:tc>
          <w:tcPr>
            <w:tcW w:w="778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other income</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8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Borders>
              <w:top w:val="single" w:sz="8" w:color="CFF0FC"/>
            </w:tcBorders>
          </w:tcPr>
          <w:p>
            <w:pPr>
              <w:spacing w:after="0"/>
              <w:rPr>
                <w:sz w:val="14"/>
                <w:szCs w:val="14"/>
                <w:color w:val="auto"/>
              </w:rPr>
            </w:pPr>
          </w:p>
        </w:tc>
      </w:tr>
      <w:tr>
        <w:trPr>
          <w:trHeight w:val="169"/>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investment income</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14,927</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16,754</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26,446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15,144</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4,846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6,428</w:t>
            </w: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expense</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Administrative service fees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5"/>
                <w:szCs w:val="15"/>
                <w:color w:val="auto"/>
              </w:rPr>
            </w:pPr>
          </w:p>
        </w:tc>
      </w:tr>
      <w:tr>
        <w:trPr>
          <w:trHeight w:val="17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3,483</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20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16,089</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20,347</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26,388</w:t>
            </w:r>
          </w:p>
        </w:tc>
        <w:tc>
          <w:tcPr>
            <w:tcW w:w="100" w:type="dxa"/>
            <w:vAlign w:val="bottom"/>
          </w:tcPr>
          <w:p>
            <w:pPr>
              <w:spacing w:after="0"/>
              <w:rPr>
                <w:sz w:val="14"/>
                <w:szCs w:val="14"/>
                <w:color w:val="auto"/>
              </w:rPr>
            </w:pPr>
          </w:p>
        </w:tc>
      </w:tr>
      <w:tr>
        <w:trPr>
          <w:trHeight w:val="169"/>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INVESTMENT (LOSS) INCOME</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(1,162</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-2553970</wp:posOffset>
            </wp:positionV>
            <wp:extent cx="7683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-2553970</wp:posOffset>
            </wp:positionV>
            <wp:extent cx="6858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-2091055</wp:posOffset>
            </wp:positionV>
            <wp:extent cx="7683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-2091055</wp:posOffset>
            </wp:positionV>
            <wp:extent cx="6858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-1628140</wp:posOffset>
            </wp:positionV>
            <wp:extent cx="7683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-1628140</wp:posOffset>
            </wp:positionV>
            <wp:extent cx="6858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-1165225</wp:posOffset>
            </wp:positionV>
            <wp:extent cx="7683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-1165225</wp:posOffset>
            </wp:positionV>
            <wp:extent cx="6858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-925195</wp:posOffset>
            </wp:positionV>
            <wp:extent cx="7683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-925195</wp:posOffset>
            </wp:positionV>
            <wp:extent cx="6858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-247650</wp:posOffset>
            </wp:positionV>
            <wp:extent cx="7683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-247650</wp:posOffset>
            </wp:positionV>
            <wp:extent cx="6858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ind w:left="20" w:right="2880"/>
        <w:spacing w:after="0" w:line="262" w:lineRule="auto"/>
        <w:rPr>
          <w:sz w:val="20"/>
          <w:szCs w:val="20"/>
          <w:color w:val="auto"/>
        </w:rPr>
      </w:pPr>
      <w:r>
        <w:rPr>
          <w:rFonts w:ascii="Arial" w:cs="Arial" w:eastAsia="Arial" w:hAnsi="Arial"/>
          <w:sz w:val="14"/>
          <w:szCs w:val="14"/>
          <w:color w:val="auto"/>
        </w:rPr>
        <w:t>REALIZED AND UNREALIZED GAIN (LOSS) ON INVESTMENTS 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Non-control/non-affiliate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Affiliate investments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11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realized gain (loss) on investments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change in unrealized (depreciation)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Non-control/non-affiliate investments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Control investments</w:t>
      </w:r>
    </w:p>
    <w:p>
      <w:pPr>
        <w:spacing w:after="0" w:line="28" w:lineRule="exact"/>
        <w:rPr>
          <w:sz w:val="20"/>
          <w:szCs w:val="20"/>
          <w:color w:val="auto"/>
        </w:rPr>
      </w:pPr>
    </w:p>
    <w:p>
      <w:pPr>
        <w:ind w:left="200" w:right="2840"/>
        <w:spacing w:after="0" w:line="328" w:lineRule="auto"/>
        <w:rPr>
          <w:sz w:val="20"/>
          <w:szCs w:val="20"/>
          <w:color w:val="auto"/>
        </w:rPr>
      </w:pPr>
      <w:r>
        <w:rPr>
          <w:rFonts w:ascii="Arial" w:cs="Arial" w:eastAsia="Arial" w:hAnsi="Arial"/>
          <w:sz w:val="12"/>
          <w:szCs w:val="12"/>
          <w:color w:val="auto"/>
        </w:rPr>
        <w:t>Net change in unrealized (depreciation) appreciation on investments Total net realized and change in unrealized (loss)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45020" cy="5829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020" cy="5829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Net realized (loss) gain on extinguishment of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DECREASE IN NET ASSETS RESULTING FROM OPERATIONS</w:t>
      </w:r>
    </w:p>
    <w:p>
      <w:pPr>
        <w:spacing w:after="0" w:line="33" w:lineRule="exact"/>
        <w:rPr>
          <w:sz w:val="20"/>
          <w:szCs w:val="20"/>
          <w:color w:val="auto"/>
        </w:rPr>
      </w:pPr>
    </w:p>
    <w:p>
      <w:pPr>
        <w:ind w:left="120" w:right="3140" w:hanging="107"/>
        <w:spacing w:after="0" w:line="229" w:lineRule="auto"/>
        <w:rPr>
          <w:sz w:val="20"/>
          <w:szCs w:val="20"/>
          <w:color w:val="auto"/>
        </w:rPr>
      </w:pPr>
      <w:r>
        <w:rPr>
          <w:rFonts w:ascii="Arial" w:cs="Arial" w:eastAsia="Arial" w:hAnsi="Arial"/>
          <w:sz w:val="13"/>
          <w:szCs w:val="13"/>
          <w:color w:val="auto"/>
        </w:rPr>
        <w:t>NET DECREASE IN NET ASSETS PER SHARE RESULTING FROM OPERATIONS – BASIC &amp; DILUTED (SEE NOTE 11)</w:t>
      </w:r>
      <w:r>
        <w:rPr>
          <w:rFonts w:ascii="Arial" w:cs="Arial" w:eastAsia="Arial" w:hAnsi="Arial"/>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line="184" w:lineRule="auto"/>
        <w:rPr>
          <w:sz w:val="20"/>
          <w:szCs w:val="20"/>
          <w:color w:val="auto"/>
        </w:rPr>
      </w:pPr>
      <w:r>
        <w:rPr>
          <w:rFonts w:ascii="Arial" w:cs="Arial" w:eastAsia="Arial" w:hAnsi="Arial"/>
          <w:sz w:val="14"/>
          <w:szCs w:val="14"/>
          <w:color w:val="auto"/>
        </w:rPr>
        <w:t>WEIGHTED AVERAGE COMMON STOCK OUTSTANDING</w:t>
      </w:r>
    </w:p>
    <w:p>
      <w:pPr>
        <w:ind w:left="20" w:right="4500" w:firstLine="108"/>
        <w:spacing w:after="0" w:line="273" w:lineRule="auto"/>
        <w:rPr>
          <w:sz w:val="20"/>
          <w:szCs w:val="20"/>
          <w:color w:val="auto"/>
        </w:rPr>
      </w:pPr>
      <w:r>
        <w:rPr>
          <w:rFonts w:ascii="Arial" w:cs="Arial" w:eastAsia="Arial" w:hAnsi="Arial"/>
          <w:sz w:val="13"/>
          <w:szCs w:val="13"/>
          <w:color w:val="auto"/>
        </w:rPr>
        <w:t>– BASIC &amp; DILUTED (SEE NOTE 11)</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DISTRIBUTIONS PAID PER SHARE</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17,312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(10,442 )</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(25,016 )</w:t>
            </w:r>
          </w:p>
        </w:tc>
      </w:tr>
      <w:tr>
        <w:trPr>
          <w:trHeight w:val="175"/>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1,451</w:t>
            </w:r>
          </w:p>
        </w:tc>
        <w:tc>
          <w:tcPr>
            <w:tcW w:w="60" w:type="dxa"/>
            <w:vAlign w:val="bottom"/>
          </w:tcPr>
          <w:p>
            <w:pPr>
              <w:spacing w:after="0"/>
              <w:rPr>
                <w:sz w:val="15"/>
                <w:szCs w:val="15"/>
                <w:color w:val="auto"/>
              </w:rPr>
            </w:pPr>
          </w:p>
        </w:tc>
      </w:tr>
      <w:tr>
        <w:trPr>
          <w:trHeight w:val="181"/>
        </w:trPr>
        <w:tc>
          <w:tcPr>
            <w:tcW w:w="22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(5,215 )</w:t>
            </w:r>
          </w:p>
        </w:tc>
        <w:tc>
          <w:tcPr>
            <w:tcW w:w="200" w:type="dxa"/>
            <w:vAlign w:val="bottom"/>
          </w:tcPr>
          <w:p>
            <w:pPr>
              <w:spacing w:after="0"/>
              <w:rPr>
                <w:sz w:val="15"/>
                <w:szCs w:val="15"/>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(484 )</w:t>
            </w:r>
          </w:p>
        </w:tc>
      </w:tr>
      <w:tr>
        <w:trPr>
          <w:trHeight w:val="176"/>
        </w:trPr>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13,769</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(7,967</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(24,049</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339"/>
        </w:trPr>
        <w:tc>
          <w:tcPr>
            <w:tcW w:w="22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(25,434 )</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13,058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(5,509 )</w:t>
            </w:r>
          </w:p>
        </w:tc>
      </w:tr>
      <w:tr>
        <w:trPr>
          <w:trHeight w:val="175"/>
        </w:trPr>
        <w:tc>
          <w:tcPr>
            <w:tcW w:w="22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(1,208 )</w:t>
            </w:r>
          </w:p>
        </w:tc>
        <w:tc>
          <w:tcPr>
            <w:tcW w:w="20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(908 )</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(5,543 )</w:t>
            </w:r>
          </w:p>
        </w:tc>
      </w:tr>
      <w:tr>
        <w:trPr>
          <w:trHeight w:val="181"/>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(1,483 )</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(559 )</w:t>
            </w:r>
          </w:p>
        </w:tc>
      </w:tr>
      <w:tr>
        <w:trPr>
          <w:trHeight w:val="169"/>
        </w:trPr>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(24,631</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10,667</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(11,611</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(10,862</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(35,660</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4"/>
                <w:szCs w:val="14"/>
                <w:color w:val="auto"/>
              </w:rPr>
            </w:pPr>
          </w:p>
        </w:tc>
      </w:tr>
      <w:tr>
        <w:trPr>
          <w:trHeight w:val="169"/>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(12,024</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(35,447</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(4.44 )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(0.71 )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(13.08 )</w:t>
            </w:r>
          </w:p>
        </w:tc>
      </w:tr>
      <w:tr>
        <w:trPr>
          <w:trHeight w:val="317"/>
        </w:trPr>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2,711,068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2,709,169</w:t>
            </w:r>
          </w:p>
        </w:tc>
        <w:tc>
          <w:tcPr>
            <w:tcW w:w="60" w:type="dxa"/>
            <w:vAlign w:val="bottom"/>
          </w:tcPr>
          <w:p>
            <w:pPr>
              <w:spacing w:after="0"/>
              <w:rPr>
                <w:sz w:val="24"/>
                <w:szCs w:val="24"/>
                <w:color w:val="auto"/>
              </w:rPr>
            </w:pPr>
          </w:p>
        </w:tc>
      </w:tr>
      <w:tr>
        <w:trPr>
          <w:trHeight w:val="182"/>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5"/>
                <w:szCs w:val="15"/>
                <w:color w:val="auto"/>
              </w:rPr>
            </w:pPr>
          </w:p>
        </w:tc>
      </w:tr>
    </w:tbl>
    <w:p>
      <w:pPr>
        <w:spacing w:after="0" w:line="136" w:lineRule="exact"/>
        <w:rPr>
          <w:sz w:val="20"/>
          <w:szCs w:val="20"/>
          <w:color w:val="auto"/>
        </w:rPr>
      </w:pPr>
    </w:p>
    <w:p>
      <w:pPr>
        <w:sectPr>
          <w:pgSz w:w="11900" w:h="16838" w:orient="portrait"/>
          <w:cols w:equalWidth="0" w:num="2">
            <w:col w:w="7060" w:space="720"/>
            <w:col w:w="3460"/>
          </w:cols>
          <w:pgMar w:left="320" w:top="441" w:right="339" w:bottom="1440" w:gutter="0" w:footer="0" w:header="0"/>
          <w:type w:val="continuous"/>
        </w:sectPr>
      </w:pPr>
    </w:p>
    <w:p>
      <w:pPr>
        <w:ind w:left="520" w:hanging="512"/>
        <w:spacing w:after="0"/>
        <w:tabs>
          <w:tab w:leader="none" w:pos="520" w:val="left"/>
        </w:tabs>
        <w:numPr>
          <w:ilvl w:val="0"/>
          <w:numId w:val="62"/>
        </w:numPr>
        <w:rPr>
          <w:rFonts w:ascii="Arial" w:cs="Arial" w:eastAsia="Arial" w:hAnsi="Arial"/>
          <w:sz w:val="13"/>
          <w:szCs w:val="13"/>
          <w:b w:val="1"/>
          <w:bCs w:val="1"/>
          <w:color w:val="auto"/>
          <w:vertAlign w:val="superscript"/>
        </w:rPr>
      </w:pPr>
      <w:r>
        <w:rPr>
          <w:rFonts w:ascii="Arial" w:cs="Arial" w:eastAsia="Arial" w:hAnsi="Arial"/>
          <w:sz w:val="10"/>
          <w:szCs w:val="10"/>
          <w:color w:val="auto"/>
        </w:rPr>
        <w:t>Basic and diluted shares of the Company's common stock have been adjusted for the periods shown to reflect the one-for-six reverse stock split effected on August 21, 2020 on a retroactive basis, as described in Note 1.</w:t>
      </w:r>
    </w:p>
    <w:p>
      <w:pPr>
        <w:ind w:left="520" w:hanging="512"/>
        <w:spacing w:after="0" w:line="221" w:lineRule="auto"/>
        <w:tabs>
          <w:tab w:leader="none" w:pos="520" w:val="left"/>
        </w:tabs>
        <w:numPr>
          <w:ilvl w:val="0"/>
          <w:numId w:val="62"/>
        </w:numPr>
        <w:rPr>
          <w:rFonts w:ascii="Arial" w:cs="Arial" w:eastAsia="Arial" w:hAnsi="Arial"/>
          <w:sz w:val="13"/>
          <w:szCs w:val="13"/>
          <w:b w:val="1"/>
          <w:bCs w:val="1"/>
          <w:color w:val="auto"/>
          <w:vertAlign w:val="superscript"/>
        </w:rPr>
      </w:pPr>
      <w:r>
        <w:rPr>
          <w:rFonts w:ascii="Arial" w:cs="Arial" w:eastAsia="Arial" w:hAnsi="Arial"/>
          <w:sz w:val="10"/>
          <w:szCs w:val="10"/>
          <w:color w:val="auto"/>
        </w:rPr>
        <w:t>Dividends paid per share of the Company's common stock have been adjusted for the periods shown to reflect the one-for-six reverse stock split effected on August 21, 2020 on a retroactive basis, as described in Note 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72" w:name="page73"/>
    <w:bookmarkEnd w:id="72"/>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5"/>
              </w:rPr>
              <w:t>Paid in</w:t>
            </w:r>
          </w:p>
        </w:tc>
        <w:tc>
          <w:tcPr>
            <w:tcW w:w="120" w:type="dxa"/>
            <w:vAlign w:val="bottom"/>
          </w:tcPr>
          <w:p>
            <w:pPr>
              <w:spacing w:after="0"/>
              <w:rPr>
                <w:sz w:val="12"/>
                <w:szCs w:val="12"/>
                <w:color w:val="auto"/>
              </w:rPr>
            </w:pPr>
          </w:p>
        </w:tc>
        <w:tc>
          <w:tcPr>
            <w:tcW w:w="1200" w:type="dxa"/>
            <w:vAlign w:val="bottom"/>
            <w:gridSpan w:val="2"/>
          </w:tcPr>
          <w:p>
            <w:pPr>
              <w:jc w:val="center"/>
              <w:ind w:right="268"/>
              <w:spacing w:after="0" w:line="145" w:lineRule="exact"/>
              <w:rPr>
                <w:sz w:val="20"/>
                <w:szCs w:val="20"/>
                <w:color w:val="auto"/>
              </w:rPr>
            </w:pPr>
            <w:r>
              <w:rPr>
                <w:rFonts w:ascii="Arial" w:cs="Arial" w:eastAsia="Arial" w:hAnsi="Arial"/>
                <w:sz w:val="14"/>
                <w:szCs w:val="14"/>
                <w:b w:val="1"/>
                <w:bCs w:val="1"/>
                <w:color w:val="auto"/>
                <w:w w:val="95"/>
              </w:rPr>
              <w:t>Distributable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For the Years Ended December 31, 2020, 2021 and 2022</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Par Value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80"/>
              <w:spacing w:after="0" w:line="189" w:lineRule="exact"/>
              <w:rPr>
                <w:sz w:val="20"/>
                <w:szCs w:val="20"/>
                <w:color w:val="auto"/>
              </w:rPr>
            </w:pPr>
            <w:r>
              <w:rPr>
                <w:rFonts w:ascii="Arial" w:cs="Arial" w:eastAsia="Arial" w:hAnsi="Arial"/>
                <w:sz w:val="14"/>
                <w:szCs w:val="14"/>
                <w:b w:val="1"/>
                <w:bCs w:val="1"/>
                <w:color w:val="auto"/>
                <w:w w:val="90"/>
              </w:rPr>
              <w:t xml:space="preserve">Capital </w:t>
            </w:r>
            <w:r>
              <w:rPr>
                <w:rFonts w:ascii="Arial" w:cs="Arial" w:eastAsia="Arial" w:hAnsi="Arial"/>
                <w:sz w:val="19"/>
                <w:szCs w:val="19"/>
                <w:b w:val="1"/>
                <w:bCs w:val="1"/>
                <w:color w:val="auto"/>
                <w:w w:val="90"/>
                <w:vertAlign w:val="superscript"/>
              </w:rPr>
              <w:t>(1)</w:t>
            </w:r>
          </w:p>
        </w:tc>
        <w:tc>
          <w:tcPr>
            <w:tcW w:w="120" w:type="dxa"/>
            <w:vAlign w:val="bottom"/>
          </w:tcPr>
          <w:p>
            <w:pPr>
              <w:spacing w:after="0"/>
              <w:rPr>
                <w:sz w:val="16"/>
                <w:szCs w:val="16"/>
                <w:color w:val="auto"/>
              </w:rPr>
            </w:pPr>
          </w:p>
        </w:tc>
        <w:tc>
          <w:tcPr>
            <w:tcW w:w="12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2,700,628</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238,021</w:t>
            </w:r>
          </w:p>
        </w:tc>
        <w:tc>
          <w:tcPr>
            <w:tcW w:w="2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(89,935</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investment income</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20"/>
              <w:spacing w:after="0"/>
              <w:rPr>
                <w:sz w:val="20"/>
                <w:szCs w:val="20"/>
                <w:color w:val="auto"/>
              </w:rPr>
            </w:pPr>
            <w:r>
              <w:rPr>
                <w:rFonts w:ascii="Arial" w:cs="Arial" w:eastAsia="Arial" w:hAnsi="Arial"/>
                <w:sz w:val="14"/>
                <w:szCs w:val="14"/>
                <w:color w:val="auto"/>
              </w:rPr>
              <w:t>Net realized loss on investments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(24,049 )</w:t>
            </w: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(24,049 )</w:t>
            </w:r>
          </w:p>
        </w:tc>
        <w:tc>
          <w:tcPr>
            <w:tcW w:w="0" w:type="dxa"/>
            <w:vAlign w:val="bottom"/>
          </w:tcPr>
          <w:p>
            <w:pPr>
              <w:spacing w:after="0"/>
              <w:rPr>
                <w:sz w:val="1"/>
                <w:szCs w:val="1"/>
                <w:color w:val="auto"/>
              </w:rPr>
            </w:pPr>
          </w:p>
        </w:tc>
      </w:tr>
      <w:tr>
        <w:trPr>
          <w:trHeight w:val="176"/>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change in unrealized depreciation on investments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(11,611 )</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(11,611 )</w:t>
            </w:r>
          </w:p>
        </w:tc>
        <w:tc>
          <w:tcPr>
            <w:tcW w:w="0" w:type="dxa"/>
            <w:vAlign w:val="bottom"/>
          </w:tcPr>
          <w:p>
            <w:pPr>
              <w:spacing w:after="0"/>
              <w:rPr>
                <w:sz w:val="1"/>
                <w:szCs w:val="1"/>
                <w:color w:val="auto"/>
              </w:rPr>
            </w:pPr>
          </w:p>
        </w:tc>
      </w:tr>
      <w:tr>
        <w:trPr>
          <w:trHeight w:val="175"/>
        </w:trPr>
        <w:tc>
          <w:tcPr>
            <w:tcW w:w="4900" w:type="dxa"/>
            <w:vAlign w:val="bottom"/>
          </w:tcPr>
          <w:p>
            <w:pPr>
              <w:ind w:left="220"/>
              <w:spacing w:after="0"/>
              <w:rPr>
                <w:sz w:val="20"/>
                <w:szCs w:val="20"/>
                <w:color w:val="auto"/>
              </w:rPr>
            </w:pPr>
            <w:r>
              <w:rPr>
                <w:rFonts w:ascii="Arial" w:cs="Arial" w:eastAsia="Arial" w:hAnsi="Arial"/>
                <w:sz w:val="14"/>
                <w:szCs w:val="14"/>
                <w:color w:val="auto"/>
              </w:rPr>
              <w:t>Net realized gain on extinguishment of debt</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FF0FC"/>
          </w:tcPr>
          <w:p>
            <w:pPr>
              <w:ind w:left="220"/>
              <w:spacing w:after="0" w:line="143" w:lineRule="exact"/>
              <w:rPr>
                <w:sz w:val="20"/>
                <w:szCs w:val="20"/>
                <w:color w:val="auto"/>
              </w:rPr>
            </w:pPr>
            <w:r>
              <w:rPr>
                <w:rFonts w:ascii="Arial" w:cs="Arial" w:eastAsia="Arial" w:hAnsi="Arial"/>
                <w:sz w:val="14"/>
                <w:szCs w:val="14"/>
                <w:color w:val="auto"/>
              </w:rPr>
              <w:t>Fractional shares settled in cash as part of one-for-six</w:t>
            </w:r>
          </w:p>
        </w:tc>
        <w:tc>
          <w:tcPr>
            <w:tcW w:w="1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(13 )</w:t>
            </w:r>
          </w:p>
        </w:tc>
        <w:tc>
          <w:tcPr>
            <w:tcW w:w="1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4900" w:type="dxa"/>
            <w:vAlign w:val="bottom"/>
            <w:vMerge w:val="restart"/>
            <w:shd w:val="clear" w:color="auto" w:fill="CFF0FC"/>
          </w:tcPr>
          <w:p>
            <w:pPr>
              <w:ind w:left="320"/>
              <w:spacing w:after="0"/>
              <w:rPr>
                <w:sz w:val="20"/>
                <w:szCs w:val="20"/>
                <w:color w:val="auto"/>
              </w:rPr>
            </w:pPr>
            <w:r>
              <w:rPr>
                <w:rFonts w:ascii="Arial" w:cs="Arial" w:eastAsia="Arial" w:hAnsi="Arial"/>
                <w:sz w:val="14"/>
                <w:szCs w:val="14"/>
                <w:color w:val="auto"/>
              </w:rPr>
              <w:t>reverse stock split</w:t>
            </w:r>
          </w:p>
        </w:tc>
        <w:tc>
          <w:tcPr>
            <w:tcW w:w="134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0" w:type="dxa"/>
            <w:vAlign w:val="bottom"/>
            <w:gridSpan w:val="2"/>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900" w:type="dxa"/>
            <w:vAlign w:val="bottom"/>
            <w:vMerge w:val="continue"/>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20"/>
              <w:spacing w:after="0"/>
              <w:rPr>
                <w:sz w:val="20"/>
                <w:szCs w:val="20"/>
                <w:color w:val="auto"/>
              </w:rPr>
            </w:pPr>
            <w:r>
              <w:rPr>
                <w:rFonts w:ascii="Arial" w:cs="Arial" w:eastAsia="Arial" w:hAnsi="Arial"/>
                <w:sz w:val="14"/>
                <w:szCs w:val="14"/>
                <w:color w:val="auto"/>
              </w:rPr>
              <w:t>Distributions to Shareholders: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Stock issued under dividend reinvestment plan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(4,053 )</w:t>
            </w: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(4,053 )</w:t>
            </w:r>
          </w:p>
        </w:tc>
        <w:tc>
          <w:tcPr>
            <w:tcW w:w="0" w:type="dxa"/>
            <w:vAlign w:val="bottom"/>
          </w:tcPr>
          <w:p>
            <w:pPr>
              <w:spacing w:after="0"/>
              <w:rPr>
                <w:sz w:val="1"/>
                <w:szCs w:val="1"/>
                <w:color w:val="auto"/>
              </w:rPr>
            </w:pPr>
          </w:p>
        </w:tc>
      </w:tr>
      <w:tr>
        <w:trPr>
          <w:trHeight w:val="175"/>
        </w:trPr>
        <w:tc>
          <w:tcPr>
            <w:tcW w:w="49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Return of capital</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(3,398 )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900" w:type="dxa"/>
            <w:vAlign w:val="bottom"/>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(5,476 )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5,476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0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BALANCE, December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229,481</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(120,561</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220"/>
              <w:spacing w:after="0"/>
              <w:rPr>
                <w:sz w:val="20"/>
                <w:szCs w:val="20"/>
                <w:color w:val="auto"/>
              </w:rPr>
            </w:pPr>
            <w:r>
              <w:rPr>
                <w:rFonts w:ascii="Arial" w:cs="Arial" w:eastAsia="Arial" w:hAnsi="Arial"/>
                <w:sz w:val="14"/>
                <w:szCs w:val="14"/>
                <w:color w:val="auto"/>
              </w:rPr>
              <w:t>Net investment loss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(3,593 )</w:t>
            </w: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(3,593 )</w:t>
            </w:r>
          </w:p>
        </w:tc>
        <w:tc>
          <w:tcPr>
            <w:tcW w:w="0" w:type="dxa"/>
            <w:vAlign w:val="bottom"/>
          </w:tcPr>
          <w:p>
            <w:pPr>
              <w:spacing w:after="0"/>
              <w:rPr>
                <w:sz w:val="1"/>
                <w:szCs w:val="1"/>
                <w:color w:val="auto"/>
              </w:rPr>
            </w:pPr>
          </w:p>
        </w:tc>
      </w:tr>
      <w:tr>
        <w:trPr>
          <w:trHeight w:val="176"/>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loss on investments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(7,967 )</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(7,967 )</w:t>
            </w:r>
          </w:p>
        </w:tc>
        <w:tc>
          <w:tcPr>
            <w:tcW w:w="0" w:type="dxa"/>
            <w:vAlign w:val="bottom"/>
          </w:tcPr>
          <w:p>
            <w:pPr>
              <w:spacing w:after="0"/>
              <w:rPr>
                <w:sz w:val="1"/>
                <w:szCs w:val="1"/>
                <w:color w:val="auto"/>
              </w:rPr>
            </w:pPr>
          </w:p>
        </w:tc>
      </w:tr>
      <w:tr>
        <w:trPr>
          <w:trHeight w:val="175"/>
        </w:trPr>
        <w:tc>
          <w:tcPr>
            <w:tcW w:w="4900" w:type="dxa"/>
            <w:vAlign w:val="bottom"/>
          </w:tcPr>
          <w:p>
            <w:pPr>
              <w:ind w:left="220"/>
              <w:spacing w:after="0"/>
              <w:rPr>
                <w:sz w:val="20"/>
                <w:szCs w:val="20"/>
                <w:color w:val="auto"/>
              </w:rPr>
            </w:pPr>
            <w:r>
              <w:rPr>
                <w:rFonts w:ascii="Arial" w:cs="Arial" w:eastAsia="Arial" w:hAnsi="Arial"/>
                <w:sz w:val="14"/>
                <w:szCs w:val="14"/>
                <w:color w:val="auto"/>
              </w:rPr>
              <w:t>Net change in unrealized depreciation on investments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10,667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gain on extinguishment of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(1,025 )</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(1,025 )</w:t>
            </w:r>
          </w:p>
        </w:tc>
        <w:tc>
          <w:tcPr>
            <w:tcW w:w="0" w:type="dxa"/>
            <w:vAlign w:val="bottom"/>
          </w:tcPr>
          <w:p>
            <w:pPr>
              <w:spacing w:after="0"/>
              <w:rPr>
                <w:sz w:val="1"/>
                <w:szCs w:val="1"/>
                <w:color w:val="auto"/>
              </w:rPr>
            </w:pPr>
          </w:p>
        </w:tc>
      </w:tr>
      <w:tr>
        <w:trPr>
          <w:trHeight w:val="176"/>
        </w:trPr>
        <w:tc>
          <w:tcPr>
            <w:tcW w:w="4900" w:type="dxa"/>
            <w:vAlign w:val="bottom"/>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(40,635 )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40,635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BALANCE, December 31,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(81,844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ind w:left="220"/>
              <w:spacing w:after="0"/>
              <w:rPr>
                <w:sz w:val="20"/>
                <w:szCs w:val="20"/>
                <w:color w:val="auto"/>
              </w:rPr>
            </w:pPr>
            <w:r>
              <w:rPr>
                <w:rFonts w:ascii="Arial" w:cs="Arial" w:eastAsia="Arial" w:hAnsi="Arial"/>
                <w:sz w:val="14"/>
                <w:szCs w:val="14"/>
                <w:color w:val="auto"/>
              </w:rPr>
              <w:t>Net investment loss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(1,162 )</w:t>
            </w:r>
          </w:p>
        </w:tc>
        <w:tc>
          <w:tcPr>
            <w:tcW w:w="2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(1,162 )</w:t>
            </w:r>
          </w:p>
        </w:tc>
        <w:tc>
          <w:tcPr>
            <w:tcW w:w="0" w:type="dxa"/>
            <w:vAlign w:val="bottom"/>
          </w:tcPr>
          <w:p>
            <w:pPr>
              <w:spacing w:after="0"/>
              <w:rPr>
                <w:sz w:val="1"/>
                <w:szCs w:val="1"/>
                <w:color w:val="auto"/>
              </w:rPr>
            </w:pPr>
          </w:p>
        </w:tc>
      </w:tr>
      <w:tr>
        <w:trPr>
          <w:trHeight w:val="189"/>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gain on investments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220"/>
              <w:spacing w:after="0"/>
              <w:rPr>
                <w:sz w:val="20"/>
                <w:szCs w:val="20"/>
                <w:color w:val="auto"/>
              </w:rPr>
            </w:pPr>
            <w:r>
              <w:rPr>
                <w:rFonts w:ascii="Arial" w:cs="Arial" w:eastAsia="Arial" w:hAnsi="Arial"/>
                <w:sz w:val="14"/>
                <w:szCs w:val="14"/>
                <w:color w:val="auto"/>
              </w:rPr>
              <w:t>Net change in unrealized depreciation on investments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(24,631 )</w:t>
            </w:r>
          </w:p>
        </w:tc>
        <w:tc>
          <w:tcPr>
            <w:tcW w:w="24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(24,631 )</w:t>
            </w:r>
          </w:p>
        </w:tc>
        <w:tc>
          <w:tcPr>
            <w:tcW w:w="0" w:type="dxa"/>
            <w:vAlign w:val="bottom"/>
          </w:tcPr>
          <w:p>
            <w:pPr>
              <w:spacing w:after="0"/>
              <w:rPr>
                <w:sz w:val="1"/>
                <w:szCs w:val="1"/>
                <w:color w:val="auto"/>
              </w:rPr>
            </w:pPr>
          </w:p>
        </w:tc>
      </w:tr>
      <w:tr>
        <w:trPr>
          <w:trHeight w:val="175"/>
        </w:trPr>
        <w:tc>
          <w:tcPr>
            <w:tcW w:w="49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(2,192 )</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00" w:type="dxa"/>
            <w:vAlign w:val="bottom"/>
          </w:tcPr>
          <w:p>
            <w:pPr>
              <w:ind w:left="60"/>
              <w:spacing w:after="0"/>
              <w:rPr>
                <w:sz w:val="20"/>
                <w:szCs w:val="20"/>
                <w:color w:val="auto"/>
              </w:rPr>
            </w:pPr>
            <w:r>
              <w:rPr>
                <w:rFonts w:ascii="Arial" w:cs="Arial" w:eastAsia="Arial" w:hAnsi="Arial"/>
                <w:sz w:val="14"/>
                <w:szCs w:val="14"/>
                <w:color w:val="auto"/>
              </w:rPr>
              <w:t>BALANCE, December 31, 2022</w:t>
            </w:r>
          </w:p>
        </w:tc>
        <w:tc>
          <w:tcPr>
            <w:tcW w:w="1100" w:type="dxa"/>
            <w:vAlign w:val="bottom"/>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191,038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8"/>
              <w:spacing w:after="0"/>
              <w:rPr>
                <w:sz w:val="20"/>
                <w:szCs w:val="20"/>
                <w:color w:val="auto"/>
              </w:rPr>
            </w:pPr>
            <w:r>
              <w:rPr>
                <w:rFonts w:ascii="Arial" w:cs="Arial" w:eastAsia="Arial" w:hAnsi="Arial"/>
                <w:sz w:val="14"/>
                <w:szCs w:val="14"/>
                <w:color w:val="auto"/>
              </w:rPr>
              <w:t>(96,060 )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-616585</wp:posOffset>
            </wp:positionV>
            <wp:extent cx="7683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-616585</wp:posOffset>
            </wp:positionV>
            <wp:extent cx="6858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-616585</wp:posOffset>
            </wp:positionV>
            <wp:extent cx="6858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-616585</wp:posOffset>
            </wp:positionV>
            <wp:extent cx="6858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-145415</wp:posOffset>
            </wp:positionV>
            <wp:extent cx="7683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-145415</wp:posOffset>
            </wp:positionV>
            <wp:extent cx="6858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-145415</wp:posOffset>
            </wp:positionV>
            <wp:extent cx="6858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-145415</wp:posOffset>
            </wp:positionV>
            <wp:extent cx="6858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2" w:lineRule="exact"/>
        <w:rPr>
          <w:sz w:val="20"/>
          <w:szCs w:val="20"/>
          <w:color w:val="auto"/>
        </w:rPr>
      </w:pPr>
    </w:p>
    <w:p>
      <w:pPr>
        <w:ind w:left="520" w:hanging="512"/>
        <w:spacing w:after="0" w:line="252" w:lineRule="auto"/>
        <w:tabs>
          <w:tab w:leader="none" w:pos="520" w:val="left"/>
        </w:tabs>
        <w:numPr>
          <w:ilvl w:val="0"/>
          <w:numId w:val="63"/>
        </w:numPr>
        <w:rPr>
          <w:rFonts w:ascii="Arial" w:cs="Arial" w:eastAsia="Arial" w:hAnsi="Arial"/>
          <w:sz w:val="8"/>
          <w:szCs w:val="8"/>
          <w:b w:val="1"/>
          <w:bCs w:val="1"/>
          <w:color w:val="auto"/>
        </w:rPr>
      </w:pPr>
      <w:r>
        <w:rPr>
          <w:rFonts w:ascii="Arial" w:cs="Arial" w:eastAsia="Arial" w:hAnsi="Arial"/>
          <w:sz w:val="12"/>
          <w:szCs w:val="12"/>
          <w:color w:val="auto"/>
        </w:rPr>
        <w:t>Shares of the Company’s common stock and shares issued under the Company’s dividend reinvestment plan have been adjusted for the periods shown to reflect the one-for-six reverse stock split effected on August 21, 2020 on a retroactive basis, as described in Note 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ind w:right="20"/>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Net decrease in net assets resulting from operations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(12,024 )</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(1,918 )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(35,447 )</w:t>
            </w:r>
          </w:p>
        </w:tc>
      </w:tr>
      <w:tr>
        <w:trPr>
          <w:trHeight w:val="143"/>
        </w:trPr>
        <w:tc>
          <w:tcPr>
            <w:tcW w:w="556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8"/>
              </w:rPr>
              <w:t>Adjustments to reconcile net decrease in net assets resulting from operations to net cash</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(used in) provided by operating activities: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0"/>
              <w:spacing w:after="0"/>
              <w:rPr>
                <w:sz w:val="20"/>
                <w:szCs w:val="20"/>
                <w:color w:val="auto"/>
              </w:rPr>
            </w:pPr>
            <w:r>
              <w:rPr>
                <w:rFonts w:ascii="Arial" w:cs="Arial" w:eastAsia="Arial" w:hAnsi="Arial"/>
                <w:sz w:val="14"/>
                <w:szCs w:val="14"/>
                <w:color w:val="auto"/>
              </w:rPr>
              <w:t>Purchase of investments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(107,698 )</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(89,432 )</w:t>
            </w: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(21,070 )</w:t>
            </w:r>
          </w:p>
        </w:tc>
      </w:tr>
      <w:tr>
        <w:trPr>
          <w:trHeight w:val="176"/>
        </w:trPr>
        <w:tc>
          <w:tcPr>
            <w:tcW w:w="5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Repayments and sales of investments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94,034</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169,616</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75,761</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0"/>
              <w:spacing w:after="0"/>
              <w:rPr>
                <w:sz w:val="20"/>
                <w:szCs w:val="20"/>
                <w:color w:val="auto"/>
              </w:rPr>
            </w:pPr>
            <w:r>
              <w:rPr>
                <w:rFonts w:ascii="Arial" w:cs="Arial" w:eastAsia="Arial" w:hAnsi="Arial"/>
                <w:sz w:val="14"/>
                <w:szCs w:val="14"/>
                <w:color w:val="auto"/>
              </w:rPr>
              <w:t>Net realized (gain) loss on investments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(13,769 )</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7,967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24,049</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24,631</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(10,667 )</w:t>
            </w: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11,611</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0"/>
              <w:spacing w:after="0"/>
              <w:rPr>
                <w:sz w:val="20"/>
                <w:szCs w:val="20"/>
                <w:color w:val="auto"/>
              </w:rPr>
            </w:pPr>
            <w:r>
              <w:rPr>
                <w:rFonts w:ascii="Arial" w:cs="Arial" w:eastAsia="Arial" w:hAnsi="Arial"/>
                <w:sz w:val="14"/>
                <w:szCs w:val="14"/>
                <w:color w:val="auto"/>
              </w:rPr>
              <w:t>Net realized (loss) gain on extinguishment of debt</w:t>
            </w:r>
          </w:p>
        </w:tc>
        <w:tc>
          <w:tcPr>
            <w:tcW w:w="1080" w:type="dxa"/>
            <w:vAlign w:val="bottom"/>
          </w:tcPr>
          <w:p>
            <w:pPr>
              <w:spacing w:after="0"/>
              <w:rPr>
                <w:sz w:val="15"/>
                <w:szCs w:val="15"/>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(155 )</w:t>
            </w:r>
          </w:p>
        </w:tc>
      </w:tr>
      <w:tr>
        <w:trPr>
          <w:trHeight w:val="175"/>
        </w:trPr>
        <w:tc>
          <w:tcPr>
            <w:tcW w:w="5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Payment-in-kind interest and dividends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(1,106 )</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(456 )</w:t>
            </w: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(1,923 )</w:t>
            </w:r>
          </w:p>
        </w:tc>
      </w:tr>
      <w:tr>
        <w:trPr>
          <w:trHeight w:val="176"/>
        </w:trPr>
        <w:tc>
          <w:tcPr>
            <w:tcW w:w="5560" w:type="dxa"/>
            <w:vAlign w:val="bottom"/>
          </w:tcPr>
          <w:p>
            <w:pPr>
              <w:ind w:left="200"/>
              <w:spacing w:after="0"/>
              <w:rPr>
                <w:sz w:val="20"/>
                <w:szCs w:val="20"/>
                <w:color w:val="auto"/>
              </w:rPr>
            </w:pPr>
            <w:r>
              <w:rPr>
                <w:rFonts w:ascii="Arial" w:cs="Arial" w:eastAsia="Arial" w:hAnsi="Arial"/>
                <w:sz w:val="14"/>
                <w:szCs w:val="14"/>
                <w:color w:val="auto"/>
              </w:rPr>
              <w:t>Accretion of original issue discount on investments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(1,495 )</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(525 )</w:t>
            </w: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(588 )</w:t>
            </w:r>
          </w:p>
        </w:tc>
      </w:tr>
      <w:tr>
        <w:trPr>
          <w:trHeight w:val="175"/>
        </w:trPr>
        <w:tc>
          <w:tcPr>
            <w:tcW w:w="5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fees and original issue discount</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0"/>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and dividend receivable</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(649 )</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1,357</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(541 )</w:t>
            </w:r>
          </w:p>
        </w:tc>
      </w:tr>
      <w:tr>
        <w:trPr>
          <w:trHeight w:val="175"/>
        </w:trPr>
        <w:tc>
          <w:tcPr>
            <w:tcW w:w="5560" w:type="dxa"/>
            <w:vAlign w:val="bottom"/>
          </w:tcPr>
          <w:p>
            <w:pPr>
              <w:ind w:left="300"/>
              <w:spacing w:after="0"/>
              <w:rPr>
                <w:sz w:val="20"/>
                <w:szCs w:val="20"/>
                <w:color w:val="auto"/>
              </w:rPr>
            </w:pPr>
            <w:r>
              <w:rPr>
                <w:rFonts w:ascii="Arial" w:cs="Arial" w:eastAsia="Arial" w:hAnsi="Arial"/>
                <w:sz w:val="14"/>
                <w:szCs w:val="14"/>
                <w:color w:val="auto"/>
              </w:rPr>
              <w:t>Prepaid expenses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676</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(2,281 )</w:t>
            </w: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(453 )</w:t>
            </w:r>
          </w:p>
        </w:tc>
      </w:tr>
      <w:tr>
        <w:trPr>
          <w:trHeight w:val="176"/>
        </w:trPr>
        <w:tc>
          <w:tcPr>
            <w:tcW w:w="5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Receivable for unsettled trades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(685 )</w:t>
            </w: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560" w:type="dxa"/>
            <w:vAlign w:val="bottom"/>
          </w:tcPr>
          <w:p>
            <w:pPr>
              <w:ind w:left="300"/>
              <w:spacing w:after="0"/>
              <w:rPr>
                <w:sz w:val="20"/>
                <w:szCs w:val="20"/>
                <w:color w:val="auto"/>
              </w:rPr>
            </w:pPr>
            <w:r>
              <w:rPr>
                <w:rFonts w:ascii="Arial" w:cs="Arial" w:eastAsia="Arial" w:hAnsi="Arial"/>
                <w:sz w:val="14"/>
                <w:szCs w:val="14"/>
                <w:color w:val="auto"/>
              </w:rPr>
              <w:t>Other assets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(65 )</w:t>
            </w:r>
          </w:p>
        </w:tc>
        <w:tc>
          <w:tcPr>
            <w:tcW w:w="3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Management and incentive fees payable</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(132 )</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(2,777 )</w:t>
            </w: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300"/>
              <w:spacing w:after="0"/>
              <w:rPr>
                <w:sz w:val="20"/>
                <w:szCs w:val="20"/>
                <w:color w:val="auto"/>
              </w:rPr>
            </w:pPr>
            <w:r>
              <w:rPr>
                <w:rFonts w:ascii="Arial" w:cs="Arial" w:eastAsia="Arial" w:hAnsi="Arial"/>
                <w:sz w:val="14"/>
                <w:szCs w:val="14"/>
                <w:color w:val="auto"/>
              </w:rPr>
              <w:t>Interest and financing fees payable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(777 )</w:t>
            </w: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(751 )</w:t>
            </w:r>
          </w:p>
        </w:tc>
      </w:tr>
      <w:tr>
        <w:trPr>
          <w:trHeight w:val="176"/>
        </w:trPr>
        <w:tc>
          <w:tcPr>
            <w:tcW w:w="55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Payable for unsettled trades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(9,265 )</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9,265</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560" w:type="dxa"/>
            <w:vAlign w:val="bottom"/>
          </w:tcPr>
          <w:p>
            <w:pPr>
              <w:ind w:left="300"/>
              <w:spacing w:after="0"/>
              <w:rPr>
                <w:sz w:val="20"/>
                <w:szCs w:val="20"/>
                <w:color w:val="auto"/>
              </w:rPr>
            </w:pPr>
            <w:r>
              <w:rPr>
                <w:rFonts w:ascii="Arial" w:cs="Arial" w:eastAsia="Arial" w:hAnsi="Arial"/>
                <w:sz w:val="14"/>
                <w:szCs w:val="14"/>
                <w:color w:val="auto"/>
              </w:rPr>
              <w:t>Accounts payable and accrued expenses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(422 )</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(490 )</w:t>
            </w:r>
          </w:p>
        </w:tc>
      </w:tr>
      <w:tr>
        <w:trPr>
          <w:trHeight w:val="16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(25,606</w:t>
            </w:r>
          </w:p>
        </w:tc>
        <w:tc>
          <w:tcPr>
            <w:tcW w:w="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82,240</w:t>
            </w:r>
          </w:p>
        </w:tc>
        <w:tc>
          <w:tcPr>
            <w:tcW w:w="2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53,113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 of SBA-guaranteed debentures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(91,000 )</w:t>
            </w: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(59,000 )</w:t>
            </w:r>
          </w:p>
        </w:tc>
      </w:tr>
      <w:tr>
        <w:trPr>
          <w:trHeight w:val="175"/>
        </w:trPr>
        <w:tc>
          <w:tcPr>
            <w:tcW w:w="5560" w:type="dxa"/>
            <w:vAlign w:val="bottom"/>
          </w:tcPr>
          <w:p>
            <w:pPr>
              <w:ind w:left="120"/>
              <w:spacing w:after="0"/>
              <w:rPr>
                <w:sz w:val="20"/>
                <w:szCs w:val="20"/>
                <w:color w:val="auto"/>
              </w:rPr>
            </w:pPr>
            <w:r>
              <w:rPr>
                <w:rFonts w:ascii="Arial" w:cs="Arial" w:eastAsia="Arial" w:hAnsi="Arial"/>
                <w:sz w:val="14"/>
                <w:szCs w:val="14"/>
                <w:color w:val="auto"/>
              </w:rPr>
              <w:t>Prepayment penalty on SBA-guaranteed debentures</w:t>
            </w:r>
          </w:p>
        </w:tc>
        <w:tc>
          <w:tcPr>
            <w:tcW w:w="1080" w:type="dxa"/>
            <w:vAlign w:val="bottom"/>
          </w:tcPr>
          <w:p>
            <w:pPr>
              <w:spacing w:after="0"/>
              <w:rPr>
                <w:sz w:val="15"/>
                <w:szCs w:val="15"/>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(519 )</w:t>
            </w:r>
          </w:p>
        </w:tc>
        <w:tc>
          <w:tcPr>
            <w:tcW w:w="400" w:type="dxa"/>
            <w:vAlign w:val="bottom"/>
          </w:tcPr>
          <w:p>
            <w:pPr>
              <w:spacing w:after="0"/>
              <w:rPr>
                <w:sz w:val="15"/>
                <w:szCs w:val="15"/>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2026 Notes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49,000</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Proceeds from issuance of 2032 Convertible Notes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13,950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 of 2022 Notes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(22,833 )</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(50,000 )</w:t>
            </w: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(1,980 )</w:t>
            </w: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Repayment of 2022 Convertible Notes</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(52,088 )</w:t>
            </w:r>
          </w:p>
        </w:tc>
        <w:tc>
          <w:tcPr>
            <w:tcW w:w="3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Borrowings under KeyBank Credit Facility</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82,632</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560" w:type="dxa"/>
            <w:vAlign w:val="bottom"/>
          </w:tcPr>
          <w:p>
            <w:pPr>
              <w:ind w:left="120"/>
              <w:spacing w:after="0"/>
              <w:rPr>
                <w:sz w:val="20"/>
                <w:szCs w:val="20"/>
                <w:color w:val="auto"/>
              </w:rPr>
            </w:pPr>
            <w:r>
              <w:rPr>
                <w:rFonts w:ascii="Arial" w:cs="Arial" w:eastAsia="Arial" w:hAnsi="Arial"/>
                <w:sz w:val="14"/>
                <w:szCs w:val="14"/>
                <w:color w:val="auto"/>
              </w:rPr>
              <w:t>Repayments under KeyBank Credit Facility</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(26,695 )</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(25,000 )</w:t>
            </w:r>
          </w:p>
        </w:tc>
        <w:tc>
          <w:tcPr>
            <w:tcW w:w="400" w:type="dxa"/>
            <w:vAlign w:val="bottom"/>
          </w:tcPr>
          <w:p>
            <w:pPr>
              <w:spacing w:after="0"/>
              <w:rPr>
                <w:sz w:val="15"/>
                <w:szCs w:val="15"/>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Distributions paid to shareholders</w:t>
            </w:r>
          </w:p>
        </w:tc>
        <w:tc>
          <w:tcPr>
            <w:tcW w:w="10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(3,719 )</w:t>
            </w:r>
          </w:p>
        </w:tc>
      </w:tr>
      <w:tr>
        <w:trPr>
          <w:trHeight w:val="175"/>
        </w:trPr>
        <w:tc>
          <w:tcPr>
            <w:tcW w:w="5560" w:type="dxa"/>
            <w:vAlign w:val="bottom"/>
          </w:tcPr>
          <w:p>
            <w:pPr>
              <w:ind w:left="120"/>
              <w:spacing w:after="0"/>
              <w:rPr>
                <w:sz w:val="20"/>
                <w:szCs w:val="20"/>
                <w:color w:val="auto"/>
              </w:rPr>
            </w:pPr>
            <w:r>
              <w:rPr>
                <w:rFonts w:ascii="Arial" w:cs="Arial" w:eastAsia="Arial" w:hAnsi="Arial"/>
                <w:sz w:val="14"/>
                <w:szCs w:val="14"/>
                <w:color w:val="auto"/>
              </w:rPr>
              <w:t>Deferred financing fees paid</w:t>
            </w:r>
          </w:p>
        </w:tc>
        <w:tc>
          <w:tcPr>
            <w:tcW w:w="108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(1,623 )</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(607 )</w:t>
            </w:r>
          </w:p>
        </w:tc>
        <w:tc>
          <w:tcPr>
            <w:tcW w:w="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(793 )</w:t>
            </w:r>
          </w:p>
        </w:tc>
      </w:tr>
      <w:tr>
        <w:trPr>
          <w:trHeight w:val="20"/>
        </w:trPr>
        <w:tc>
          <w:tcPr>
            <w:tcW w:w="5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8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(6,657 )</w:t>
            </w:r>
          </w:p>
        </w:tc>
        <w:tc>
          <w:tcPr>
            <w:tcW w:w="3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(93,126 )</w:t>
            </w:r>
          </w:p>
        </w:tc>
        <w:tc>
          <w:tcPr>
            <w:tcW w:w="4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128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13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56"/>
        </w:trPr>
        <w:tc>
          <w:tcPr>
            <w:tcW w:w="5560" w:type="dxa"/>
            <w:vAlign w:val="bottom"/>
          </w:tcPr>
          <w:p>
            <w:pPr>
              <w:ind w:left="20"/>
              <w:spacing w:after="0" w:line="156" w:lineRule="exact"/>
              <w:rPr>
                <w:sz w:val="20"/>
                <w:szCs w:val="20"/>
                <w:color w:val="auto"/>
              </w:rPr>
            </w:pPr>
            <w:r>
              <w:rPr>
                <w:rFonts w:ascii="Arial" w:cs="Arial" w:eastAsia="Arial" w:hAnsi="Arial"/>
                <w:sz w:val="14"/>
                <w:szCs w:val="14"/>
                <w:color w:val="auto"/>
              </w:rPr>
              <w:t>NET DECREASE IN CASH AND CASH EQUIVALENTS</w:t>
            </w:r>
          </w:p>
        </w:tc>
        <w:tc>
          <w:tcPr>
            <w:tcW w:w="1080" w:type="dxa"/>
            <w:vAlign w:val="bottom"/>
          </w:tcPr>
          <w:p>
            <w:pPr>
              <w:spacing w:after="0"/>
              <w:rPr>
                <w:sz w:val="13"/>
                <w:szCs w:val="13"/>
                <w:color w:val="auto"/>
              </w:rPr>
            </w:pPr>
          </w:p>
        </w:tc>
        <w:tc>
          <w:tcPr>
            <w:tcW w:w="88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(32,263 )</w:t>
            </w:r>
          </w:p>
        </w:tc>
        <w:tc>
          <w:tcPr>
            <w:tcW w:w="380" w:type="dxa"/>
            <w:vAlign w:val="bottom"/>
          </w:tcPr>
          <w:p>
            <w:pPr>
              <w:spacing w:after="0"/>
              <w:rPr>
                <w:sz w:val="13"/>
                <w:szCs w:val="13"/>
                <w:color w:val="auto"/>
              </w:rPr>
            </w:pPr>
          </w:p>
        </w:tc>
        <w:tc>
          <w:tcPr>
            <w:tcW w:w="15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(10,886 )</w:t>
            </w:r>
          </w:p>
        </w:tc>
        <w:tc>
          <w:tcPr>
            <w:tcW w:w="400" w:type="dxa"/>
            <w:vAlign w:val="bottom"/>
          </w:tcPr>
          <w:p>
            <w:pPr>
              <w:spacing w:after="0"/>
              <w:rPr>
                <w:sz w:val="13"/>
                <w:szCs w:val="13"/>
                <w:color w:val="auto"/>
              </w:rPr>
            </w:pPr>
          </w:p>
        </w:tc>
        <w:tc>
          <w:tcPr>
            <w:tcW w:w="14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(12,379 )</w:t>
            </w:r>
          </w:p>
        </w:tc>
      </w:tr>
      <w:tr>
        <w:trPr>
          <w:trHeight w:val="175"/>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49,942</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56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6,793</w:t>
            </w:r>
          </w:p>
        </w:tc>
        <w:tc>
          <w:tcPr>
            <w:tcW w:w="26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39,056</w:t>
            </w:r>
          </w:p>
        </w:tc>
        <w:tc>
          <w:tcPr>
            <w:tcW w:w="24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49,942</w:t>
            </w:r>
          </w:p>
        </w:tc>
        <w:tc>
          <w:tcPr>
            <w:tcW w:w="100" w:type="dxa"/>
            <w:vAlign w:val="bottom"/>
          </w:tcPr>
          <w:p>
            <w:pPr>
              <w:spacing w:after="0"/>
              <w:rPr>
                <w:sz w:val="14"/>
                <w:szCs w:val="14"/>
                <w:color w:val="auto"/>
              </w:rPr>
            </w:pPr>
          </w:p>
        </w:tc>
      </w:tr>
      <w:tr>
        <w:trPr>
          <w:trHeight w:val="20"/>
        </w:trPr>
        <w:tc>
          <w:tcPr>
            <w:tcW w:w="5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5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10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5560" w:type="dxa"/>
            <w:vAlign w:val="bottom"/>
          </w:tcPr>
          <w:p>
            <w:pPr>
              <w:ind w:left="120"/>
              <w:spacing w:after="0"/>
              <w:rPr>
                <w:sz w:val="20"/>
                <w:szCs w:val="20"/>
                <w:color w:val="auto"/>
              </w:rPr>
            </w:pPr>
            <w:r>
              <w:rPr>
                <w:rFonts w:ascii="Arial" w:cs="Arial" w:eastAsia="Arial" w:hAnsi="Arial"/>
                <w:sz w:val="14"/>
                <w:szCs w:val="14"/>
                <w:color w:val="auto"/>
              </w:rPr>
              <w:t>Cash paid for interest</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6,412</w:t>
            </w:r>
          </w:p>
        </w:tc>
        <w:tc>
          <w:tcPr>
            <w:tcW w:w="26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10,604</w:t>
            </w:r>
          </w:p>
        </w:tc>
        <w:tc>
          <w:tcPr>
            <w:tcW w:w="24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12,806</w:t>
            </w:r>
          </w:p>
        </w:tc>
        <w:tc>
          <w:tcPr>
            <w:tcW w:w="100" w:type="dxa"/>
            <w:vAlign w:val="bottom"/>
          </w:tcPr>
          <w:p>
            <w:pPr>
              <w:spacing w:after="0"/>
              <w:rPr>
                <w:sz w:val="15"/>
                <w:szCs w:val="15"/>
                <w:color w:val="auto"/>
              </w:rPr>
            </w:pPr>
          </w:p>
        </w:tc>
      </w:tr>
      <w:tr>
        <w:trPr>
          <w:trHeight w:val="143"/>
        </w:trPr>
        <w:tc>
          <w:tcPr>
            <w:tcW w:w="55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SUPPLEMENTAL DISCLOSURE OF NON-CASH INVESTING AND</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5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TRANSACTIONS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4"/>
                <w:szCs w:val="14"/>
                <w:color w:val="auto"/>
              </w:rPr>
              <w:t>Distributions paid through dividend reinvestment plan share issuances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-2292350</wp:posOffset>
            </wp:positionV>
            <wp:extent cx="7683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-2292350</wp:posOffset>
            </wp:positionV>
            <wp:extent cx="6858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-2292350</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-937895</wp:posOffset>
            </wp:positionV>
            <wp:extent cx="252857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8570" cy="1371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-689610</wp:posOffset>
            </wp:positionV>
            <wp:extent cx="76835"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-689610</wp:posOffset>
            </wp:positionV>
            <wp:extent cx="6858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-689610</wp:posOffset>
            </wp:positionV>
            <wp:extent cx="6858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w w:val="90"/>
              </w:rPr>
              <w:t>Par/Shares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2"/>
                <w:szCs w:val="12"/>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Industry</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Floor (+)</w:t>
            </w:r>
          </w:p>
        </w:tc>
        <w:tc>
          <w:tcPr>
            <w:tcW w:w="100" w:type="dxa"/>
            <w:vAlign w:val="bottom"/>
          </w:tcPr>
          <w:p>
            <w:pPr>
              <w:spacing w:after="0"/>
              <w:rPr>
                <w:sz w:val="12"/>
                <w:szCs w:val="12"/>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Maturity</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1"/>
              </w:rPr>
              <w:t>Fair Value</w:t>
            </w:r>
          </w:p>
        </w:tc>
        <w:tc>
          <w:tcPr>
            <w:tcW w:w="200" w:type="dxa"/>
            <w:vAlign w:val="bottom"/>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Footnotes</w:t>
            </w:r>
          </w:p>
        </w:tc>
      </w:tr>
      <w:tr>
        <w:trPr>
          <w:trHeight w:val="142"/>
        </w:trPr>
        <w:tc>
          <w:tcPr>
            <w:tcW w:w="472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- 186.6%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- 137.7%</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Accordion Partners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10.83%</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+ 6.25%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08/29/2029</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4,565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4,457</w:t>
            </w:r>
          </w:p>
        </w:tc>
        <w:tc>
          <w:tcPr>
            <w:tcW w:w="2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4,463</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Accordion Partners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+ 6.25%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08/31/2028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(33 )</w:t>
            </w: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(29 )</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Accurate Background,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10.03%</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03/26/2027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4,302</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AIDC Intermediateco 2, LLC (Peak Technologies)</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10.44%</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+ 6.40%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07/22/2027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4,857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12/18/2022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6,941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6,941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5,988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0"/>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15.38%</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1"/>
              </w:rPr>
              <w:t>L + 4.75%, 6.25%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01/01/2025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2,459</w:t>
            </w: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5"/>
        </w:trPr>
        <w:tc>
          <w:tcPr>
            <w:tcW w:w="2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PIK</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5"/>
        </w:trPr>
        <w:tc>
          <w:tcPr>
            <w:tcW w:w="2800" w:type="dxa"/>
            <w:vAlign w:val="bottom"/>
          </w:tcPr>
          <w:p>
            <w:pPr>
              <w:ind w:left="20"/>
              <w:spacing w:after="0" w:line="125" w:lineRule="exact"/>
              <w:rPr>
                <w:sz w:val="20"/>
                <w:szCs w:val="20"/>
                <w:color w:val="auto"/>
              </w:rPr>
            </w:pPr>
            <w:r>
              <w:rPr>
                <w:rFonts w:ascii="Arial" w:cs="Arial" w:eastAsia="Arial" w:hAnsi="Arial"/>
                <w:sz w:val="11"/>
                <w:szCs w:val="11"/>
                <w:color w:val="auto"/>
              </w:rPr>
              <w:t>American Clinical Solutions, LLC</w:t>
            </w:r>
          </w:p>
        </w:tc>
        <w:tc>
          <w:tcPr>
            <w:tcW w:w="120" w:type="dxa"/>
            <w:vAlign w:val="bottom"/>
          </w:tcPr>
          <w:p>
            <w:pPr>
              <w:spacing w:after="0"/>
              <w:rPr>
                <w:sz w:val="10"/>
                <w:szCs w:val="10"/>
                <w:color w:val="auto"/>
              </w:rPr>
            </w:pPr>
          </w:p>
        </w:tc>
        <w:tc>
          <w:tcPr>
            <w:tcW w:w="1800" w:type="dxa"/>
            <w:vAlign w:val="bottom"/>
          </w:tcPr>
          <w:p>
            <w:pPr>
              <w:spacing w:after="0" w:line="125" w:lineRule="exact"/>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1"/>
              </w:rPr>
              <w:t>11.27%</w:t>
            </w:r>
          </w:p>
        </w:tc>
        <w:tc>
          <w:tcPr>
            <w:tcW w:w="10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1"/>
                <w:szCs w:val="11"/>
                <w:color w:val="auto"/>
                <w:w w:val="91"/>
              </w:rPr>
              <w:t>L + 7.00%, 4.27%</w:t>
            </w:r>
          </w:p>
        </w:tc>
        <w:tc>
          <w:tcPr>
            <w:tcW w:w="100" w:type="dxa"/>
            <w:vAlign w:val="bottom"/>
          </w:tcPr>
          <w:p>
            <w:pPr>
              <w:spacing w:after="0"/>
              <w:rPr>
                <w:sz w:val="10"/>
                <w:szCs w:val="10"/>
                <w:color w:val="auto"/>
              </w:rPr>
            </w:pPr>
          </w:p>
        </w:tc>
        <w:tc>
          <w:tcPr>
            <w:tcW w:w="540" w:type="dxa"/>
            <w:vAlign w:val="bottom"/>
          </w:tcPr>
          <w:p>
            <w:pPr>
              <w:jc w:val="right"/>
              <w:ind w:right="166"/>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12/31/2024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3,500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3,500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auto"/>
              </w:rPr>
              <w:t>3,203</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rPr>
              <w:t>PIK</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9.88%</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9.88%</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1,131</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Beta Plus Technologies</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8.87%</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+ 4.75%</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07/02/2029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2,993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Beta Plus Technologies (Revolver)</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+ 4.25%</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07/02/2027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(18 )</w:t>
            </w: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Bradshaw International,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10.19%</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10/21/2027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Bradshaw International, Inc. (Revolver)</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10/21/2026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(18 )</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(71 )</w:t>
            </w: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CIMSense</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9.92%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12/17/2026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Critical Nurse Staffing,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10.48%</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10/30/2026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5,771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5,765</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Critical Nurse Staffing,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10.70%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10/30/2026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Datalink,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11.48%</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+ 6.75%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11/23/2026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5,843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5,799</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Dentive,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11.53%</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+ 7.00%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12/26/2028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Dentive, LLC (Revolver)</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+ 7.00%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12/26/2028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(6 )</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(6 )</w:t>
            </w: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Dodge Data &amp; Analytics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9.79%</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+ 4.75%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02/12/2029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Epic Staffing Group</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10.40%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+ 6.00%</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06/28/2029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3,856</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Florida Food Products,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Staples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9.32%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10/18/2028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Fortis Payment Solutions</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9.93%</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+ 5.25%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02/13/2026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2,903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2,886</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Grindr Capital,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12.52%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+ 8.00%</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11/14/2027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Heads Up Technologies</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10.14%</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08/10/2028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2,926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2,889</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Hudson Hospital OpCo,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12.22%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+ 8.00%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3.00%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11/04/2023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12.22%</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+ 8.00%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3.00%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11/04/2023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3,967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3,927</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IJKG OpCo,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12.22%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+ 8.00%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3.00%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11/04/2023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25"/>
        </w:trPr>
        <w:tc>
          <w:tcPr>
            <w:tcW w:w="2800" w:type="dxa"/>
            <w:vAlign w:val="bottom"/>
          </w:tcPr>
          <w:p>
            <w:pPr>
              <w:ind w:left="20"/>
              <w:spacing w:after="0" w:line="125" w:lineRule="exact"/>
              <w:rPr>
                <w:sz w:val="20"/>
                <w:szCs w:val="20"/>
                <w:color w:val="auto"/>
              </w:rPr>
            </w:pPr>
            <w:r>
              <w:rPr>
                <w:rFonts w:ascii="Arial" w:cs="Arial" w:eastAsia="Arial" w:hAnsi="Arial"/>
                <w:sz w:val="11"/>
                <w:szCs w:val="11"/>
                <w:color w:val="auto"/>
              </w:rPr>
              <w:t>JO ET Holdings Limited</w:t>
            </w:r>
          </w:p>
        </w:tc>
        <w:tc>
          <w:tcPr>
            <w:tcW w:w="120" w:type="dxa"/>
            <w:vAlign w:val="bottom"/>
          </w:tcPr>
          <w:p>
            <w:pPr>
              <w:spacing w:after="0"/>
              <w:rPr>
                <w:sz w:val="10"/>
                <w:szCs w:val="10"/>
                <w:color w:val="auto"/>
              </w:rPr>
            </w:pPr>
          </w:p>
        </w:tc>
        <w:tc>
          <w:tcPr>
            <w:tcW w:w="1800" w:type="dxa"/>
            <w:vAlign w:val="bottom"/>
          </w:tcPr>
          <w:p>
            <w:pPr>
              <w:spacing w:after="0" w:line="125" w:lineRule="exact"/>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1"/>
              </w:rPr>
              <w:t>17.53%</w:t>
            </w:r>
          </w:p>
        </w:tc>
        <w:tc>
          <w:tcPr>
            <w:tcW w:w="10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1"/>
                <w:szCs w:val="11"/>
                <w:color w:val="auto"/>
                <w:w w:val="87"/>
              </w:rPr>
              <w:t>SOFR + 6.00%,</w:t>
            </w:r>
          </w:p>
        </w:tc>
        <w:tc>
          <w:tcPr>
            <w:tcW w:w="640" w:type="dxa"/>
            <w:vAlign w:val="bottom"/>
            <w:gridSpan w:val="2"/>
          </w:tcPr>
          <w:p>
            <w:pPr>
              <w:jc w:val="right"/>
              <w:ind w:right="66"/>
              <w:spacing w:after="0" w:line="125" w:lineRule="exact"/>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12/15/2026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1,063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1,047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auto"/>
              </w:rPr>
              <w:t>1,049</w:t>
            </w:r>
          </w:p>
        </w:tc>
        <w:tc>
          <w:tcPr>
            <w:tcW w:w="20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color w:val="auto"/>
              </w:rPr>
              <w:t>(16)</w:t>
            </w: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7.00% PIK</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Entertainment</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11.62%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2.00%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05/01/2024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7,459</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Keg Logistics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10.70%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11/23/2027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7,460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7,368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7,198</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Keg Logistics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10.32%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11/23/2027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10.43%</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1,679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Marble Point Credit Management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10.75%</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08/11/2028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5,504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5,382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5,504</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Marble Point Credit Management LLC (Revolver)</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08/11/2028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(20 )</w:t>
            </w: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Material Handling Systems,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10.08%</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06/08/2029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1,736</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Money Transfer Acquisition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12.67%</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+ 8.25%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12/14/2027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6,860</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Neptune BidCo US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Communication Services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8.82%</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+ 5.00%</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04/11/2029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896</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Patriot Pickle,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Staples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10.16%</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+ 5.43%</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04/13/2027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2,897</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Premier Imaging,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10.13%</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01/02/2025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2,596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RN Enterprises,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10.78%</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+ 6.50%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12/23/2025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Sequoia Healthcare Management,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 Management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11/04/2023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(7)</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Shock Doctor,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9.37%</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+ 5.00%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05/14/2024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2,232</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South Street Securities Holdings,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09/20/2027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STG Logistics</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10.32%</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03/24/2028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2,494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2,447</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Symplr Software,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8.69%</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+ 4.50%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12/22/2027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Wealth Enhancement Group,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8"/>
              </w:rPr>
              <w:t>SOFR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10/02/2027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6,933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6,897</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49"/>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Wealth Enhancement Group, LLC (Revolver)</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10/02/2027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(2 )</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(4 )</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r>
      <w:tr>
        <w:trPr>
          <w:trHeight w:val="146"/>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Borders>
              <w:top w:val="single" w:sz="8" w:color="CFF0FC"/>
            </w:tcBorders>
          </w:tcPr>
          <w:p>
            <w:pPr>
              <w:spacing w:after="0"/>
              <w:rPr>
                <w:sz w:val="12"/>
                <w:szCs w:val="12"/>
                <w:color w:val="auto"/>
              </w:rPr>
            </w:pPr>
          </w:p>
        </w:tc>
        <w:tc>
          <w:tcPr>
            <w:tcW w:w="18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136,961</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0"/>
              </w:rPr>
              <w:t>130,810</w:t>
            </w:r>
          </w:p>
        </w:tc>
        <w:tc>
          <w:tcPr>
            <w:tcW w:w="200" w:type="dxa"/>
            <w:vAlign w:val="bottom"/>
            <w:tcBorders>
              <w:top w:val="single" w:sz="8" w:color="CFF0FC"/>
            </w:tcBorders>
          </w:tcPr>
          <w:p>
            <w:pPr>
              <w:spacing w:after="0"/>
              <w:rPr>
                <w:sz w:val="12"/>
                <w:szCs w:val="12"/>
                <w:color w:val="auto"/>
              </w:rPr>
            </w:pPr>
          </w:p>
        </w:tc>
        <w:tc>
          <w:tcPr>
            <w:tcW w:w="680" w:type="dxa"/>
            <w:vAlign w:val="bottom"/>
            <w:tcBorders>
              <w:top w:val="single" w:sz="8" w:color="CFF0FC"/>
            </w:tcBorders>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- 5.9%</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14.50% PIK</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2,912</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Online Merchandise Retailer</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12.94%</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0.50%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08/28/2025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884</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(8)(16)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Ivanti Software,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12.01%</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+ 7.25%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0.50%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12/01/2028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3,000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2,987</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7,401</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5,551</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38"/>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Subordinated Debt - 27.2%</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Business Services</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13.17%</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+ 8.50%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09/29/2027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12.50% PIK</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05/29/2028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1,600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Tubular Textile Machinery, Inc.</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Textile Equipment Manufacturer</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5.00%</w:t>
            </w: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10/29/2027</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5,094</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5,094</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5,001</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6"/>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26,571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25,851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Collateralized Loan Obligations - 5.2%</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JMP Credit Advisors CLO IV Ltd.</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24.43%</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07/17/2029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7,891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1,723</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(13)(15)</w:t>
            </w:r>
          </w:p>
        </w:tc>
      </w:tr>
      <w:tr>
        <w:trPr>
          <w:trHeight w:val="148"/>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JMP Credit Advisors CLO V Ltd.</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2.16%</w:t>
            </w: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07/17/2030</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7,320</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4,462</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3,249</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(13)(15)</w:t>
            </w:r>
          </w:p>
        </w:tc>
      </w:tr>
      <w:tr>
        <w:trPr>
          <w:trHeight w:val="146"/>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Collateralized Loan Obligations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6,185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- 2.3%</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15,553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1,276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54,084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3,949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78,900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102,261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Entertainment</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467,784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ind w:left="20"/>
              <w:spacing w:after="0"/>
              <w:rPr>
                <w:sz w:val="20"/>
                <w:szCs w:val="20"/>
                <w:color w:val="auto"/>
              </w:rPr>
            </w:pPr>
            <w:r>
              <w:rPr>
                <w:rFonts w:ascii="Arial" w:cs="Arial" w:eastAsia="Arial" w:hAnsi="Arial"/>
                <w:sz w:val="11"/>
                <w:szCs w:val="11"/>
                <w:color w:val="auto"/>
              </w:rPr>
              <w:t>(6)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MicroHoldco,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General Industrial</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740,237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(11)</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Household Product Manufacturer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758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A</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500</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540</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671</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6"/>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7,752</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- 8.3%</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20,092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r>
      <w:tr>
        <w:trPr>
          <w:trHeight w:val="130"/>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9"/>
              </w:rPr>
              <w:t>Alternative Biomedical Solutions, LLC - Membership Unit</w:t>
            </w: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49,295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spacing w:after="0"/>
              <w:rPr>
                <w:sz w:val="11"/>
                <w:szCs w:val="11"/>
                <w:color w:val="auto"/>
              </w:rPr>
            </w:pPr>
          </w:p>
        </w:tc>
      </w:tr>
      <w:tr>
        <w:trPr>
          <w:trHeight w:val="145"/>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Warrants</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196</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(6)</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6,030,384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3,198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Aperture Dodge 18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w w:val="89"/>
              </w:rPr>
              <w:t>2,033,247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2,033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2,033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 - Class A</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Online Merchandise Retailer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217,013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Electronic Machine Repair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181,818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271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South Street Securities Holdings, Inc. - Warrants</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U.S. BioTek Laboratories, LLC - Class 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578</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6,565</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7,896</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2"/>
        </w:trPr>
        <w:tc>
          <w:tcPr>
            <w:tcW w:w="472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191,435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177,268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-3676650</wp:posOffset>
            </wp:positionV>
            <wp:extent cx="68580" cy="111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-3676650</wp:posOffset>
            </wp:positionV>
            <wp:extent cx="68580" cy="1111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-3085465</wp:posOffset>
            </wp:positionV>
            <wp:extent cx="6858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-3085465</wp:posOffset>
            </wp:positionV>
            <wp:extent cx="6858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-2699385</wp:posOffset>
            </wp:positionV>
            <wp:extent cx="68580" cy="1111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-2699385</wp:posOffset>
            </wp:positionV>
            <wp:extent cx="6858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-2305050</wp:posOffset>
            </wp:positionV>
            <wp:extent cx="6858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-2305050</wp:posOffset>
            </wp:positionV>
            <wp:extent cx="68580" cy="1111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-1344930</wp:posOffset>
            </wp:positionV>
            <wp:extent cx="68580" cy="111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-1344930</wp:posOffset>
            </wp:positionV>
            <wp:extent cx="68580" cy="1117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-111125</wp:posOffset>
            </wp:positionV>
            <wp:extent cx="68580" cy="1117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-111125</wp:posOffset>
            </wp:positionV>
            <wp:extent cx="68580" cy="1117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40"/>
          </w:cols>
          <w:pgMar w:left="320" w:top="130" w:right="339" w:bottom="559"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559"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w w:val="90"/>
              </w:rPr>
              <w:t>Par/Shares</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2"/>
                <w:szCs w:val="12"/>
                <w:color w:val="auto"/>
              </w:rPr>
            </w:pPr>
          </w:p>
        </w:tc>
        <w:tc>
          <w:tcPr>
            <w:tcW w:w="1800" w:type="dxa"/>
            <w:vAlign w:val="bottom"/>
          </w:tcPr>
          <w:p>
            <w:pPr>
              <w:ind w:left="700"/>
              <w:spacing w:after="0"/>
              <w:rPr>
                <w:sz w:val="20"/>
                <w:szCs w:val="20"/>
                <w:color w:val="auto"/>
              </w:rPr>
            </w:pPr>
            <w:r>
              <w:rPr>
                <w:rFonts w:ascii="Arial" w:cs="Arial" w:eastAsia="Arial" w:hAnsi="Arial"/>
                <w:sz w:val="11"/>
                <w:szCs w:val="11"/>
                <w:b w:val="1"/>
                <w:bCs w:val="1"/>
                <w:color w:val="auto"/>
              </w:rPr>
              <w:t>Industry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Floor (+)</w:t>
            </w:r>
          </w:p>
        </w:tc>
        <w:tc>
          <w:tcPr>
            <w:tcW w:w="100" w:type="dxa"/>
            <w:vAlign w:val="bottom"/>
          </w:tcPr>
          <w:p>
            <w:pPr>
              <w:spacing w:after="0"/>
              <w:rPr>
                <w:sz w:val="12"/>
                <w:szCs w:val="12"/>
                <w:color w:val="auto"/>
              </w:rPr>
            </w:pP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rPr>
              <w:t>Maturity</w:t>
            </w:r>
          </w:p>
        </w:tc>
        <w:tc>
          <w:tcPr>
            <w:tcW w:w="7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1"/>
              </w:rPr>
              <w:t>Fair Value</w:t>
            </w:r>
          </w:p>
        </w:tc>
        <w:tc>
          <w:tcPr>
            <w:tcW w:w="200" w:type="dxa"/>
            <w:vAlign w:val="bottom"/>
          </w:tcPr>
          <w:p>
            <w:pPr>
              <w:spacing w:after="0"/>
              <w:rPr>
                <w:sz w:val="12"/>
                <w:szCs w:val="12"/>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Footnotes</w:t>
            </w:r>
          </w:p>
        </w:tc>
      </w:tr>
      <w:tr>
        <w:trPr>
          <w:trHeight w:val="146"/>
        </w:trPr>
        <w:tc>
          <w:tcPr>
            <w:tcW w:w="2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6"/>
              </w:rPr>
              <w:t>Investments in Affiliated Portfolio Companies - 27.7%^</w:t>
            </w:r>
          </w:p>
        </w:tc>
        <w:tc>
          <w:tcPr>
            <w:tcW w:w="120" w:type="dxa"/>
            <w:vAlign w:val="bottom"/>
            <w:shd w:val="clear" w:color="auto" w:fill="CFF0FC"/>
          </w:tcPr>
          <w:p>
            <w:pPr>
              <w:spacing w:after="0"/>
              <w:rPr>
                <w:sz w:val="12"/>
                <w:szCs w:val="12"/>
                <w:color w:val="auto"/>
              </w:rPr>
            </w:pPr>
          </w:p>
        </w:tc>
        <w:tc>
          <w:tcPr>
            <w:tcW w:w="18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First Lien/Senior Secured Debt - 6.4%</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04/01/2022</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RAM Payment, LLC (First Out)</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9.12%</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1.50%</w:t>
            </w:r>
          </w:p>
        </w:tc>
        <w:tc>
          <w:tcPr>
            <w:tcW w:w="88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01/04/2024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939</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939</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(16)</w:t>
            </w: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RAM Payment, LLC (Last Out)</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80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12.45%</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40" w:type="dxa"/>
            <w:vAlign w:val="bottom"/>
            <w:tcBorders>
              <w:bottom w:val="single" w:sz="8" w:color="CFF0FC"/>
            </w:tcBorders>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1.50%</w:t>
            </w:r>
          </w:p>
        </w:tc>
        <w:tc>
          <w:tcPr>
            <w:tcW w:w="8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01/04/2024</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2,547</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2,547</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2,547</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(10)(16)</w:t>
            </w: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6,086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6,086</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- 1.0%</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04/01/2022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388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0"/>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Sierra Hamilton Holdings Corporation</w:t>
            </w: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w w:val="96"/>
              </w:rPr>
              <w:t>Oil &amp; Gas Engineering and Consulting</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15.00% PIK</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09/12/2023</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(9)</w:t>
            </w:r>
          </w:p>
        </w:tc>
      </w:tr>
      <w:tr>
        <w:trPr>
          <w:trHeight w:val="145"/>
        </w:trPr>
        <w:tc>
          <w:tcPr>
            <w:tcW w:w="2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Services</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Data Processing &amp; Digital Marketing</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(11)</w:t>
            </w:r>
          </w:p>
        </w:tc>
      </w:tr>
      <w:tr>
        <w:trPr>
          <w:trHeight w:val="146"/>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913</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8"/>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Joint Ventures - 0.4%</w:t>
            </w:r>
          </w:p>
        </w:tc>
        <w:tc>
          <w:tcPr>
            <w:tcW w:w="120" w:type="dxa"/>
            <w:vAlign w:val="bottom"/>
            <w:tcBorders>
              <w:top w:val="single" w:sz="8" w:color="CFF0FC"/>
            </w:tcBorders>
          </w:tcPr>
          <w:p>
            <w:pPr>
              <w:spacing w:after="0"/>
              <w:rPr>
                <w:sz w:val="11"/>
                <w:szCs w:val="11"/>
                <w:color w:val="auto"/>
              </w:rPr>
            </w:pPr>
          </w:p>
        </w:tc>
        <w:tc>
          <w:tcPr>
            <w:tcW w:w="18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Great Lakes Funding II LLC - Series A</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Financials</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414</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414</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403</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(12)(15)</w:t>
            </w: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Joint Ventures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403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- 8.7%</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GA Communications, Inc. - Series A-1</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Advertising &amp; Marketing Services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3,477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3,562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GreenPark Infrastructure, LLC - Series A</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(6)</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8.00% PIK</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1,904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1,360</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(14)</w:t>
            </w: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6.00% PIK</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86,000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1,135</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3,165</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(14)</w:t>
            </w: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6,716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8,287</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- 11.2%</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Burgaflex Holdings, LLC - Class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Automobile Part Manufacturer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1,253,198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1,504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2,802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Burgaflex Holdings, LLC - Class B</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Automobile Part Manufacturer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1,085,073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2,190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GA Communications, Inc. - Series B-1</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Advertising &amp; Marketing Services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GreenPark Infrastructure, LLC - Series M-1</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8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(6)(12)</w:t>
            </w: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Nth Degree Investment Group,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Business Services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6,088,000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6,088</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5,320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25"/>
        </w:trPr>
        <w:tc>
          <w:tcPr>
            <w:tcW w:w="2800" w:type="dxa"/>
            <w:vAlign w:val="bottom"/>
          </w:tcPr>
          <w:p>
            <w:pPr>
              <w:ind w:left="20"/>
              <w:spacing w:after="0" w:line="125" w:lineRule="exact"/>
              <w:rPr>
                <w:sz w:val="20"/>
                <w:szCs w:val="20"/>
                <w:color w:val="auto"/>
              </w:rPr>
            </w:pPr>
            <w:r>
              <w:rPr>
                <w:rFonts w:ascii="Arial" w:cs="Arial" w:eastAsia="Arial" w:hAnsi="Arial"/>
                <w:sz w:val="11"/>
                <w:szCs w:val="11"/>
                <w:color w:val="auto"/>
              </w:rPr>
              <w:t>Sierra Hamilton Holdings Corporation</w:t>
            </w:r>
          </w:p>
        </w:tc>
        <w:tc>
          <w:tcPr>
            <w:tcW w:w="120" w:type="dxa"/>
            <w:vAlign w:val="bottom"/>
          </w:tcPr>
          <w:p>
            <w:pPr>
              <w:spacing w:after="0"/>
              <w:rPr>
                <w:sz w:val="10"/>
                <w:szCs w:val="10"/>
                <w:color w:val="auto"/>
              </w:rPr>
            </w:pPr>
          </w:p>
        </w:tc>
        <w:tc>
          <w:tcPr>
            <w:tcW w:w="1800" w:type="dxa"/>
            <w:vAlign w:val="bottom"/>
          </w:tcPr>
          <w:p>
            <w:pPr>
              <w:spacing w:after="0" w:line="125" w:lineRule="exact"/>
              <w:rPr>
                <w:sz w:val="20"/>
                <w:szCs w:val="20"/>
                <w:color w:val="auto"/>
              </w:rPr>
            </w:pPr>
            <w:r>
              <w:rPr>
                <w:rFonts w:ascii="Arial" w:cs="Arial" w:eastAsia="Arial" w:hAnsi="Arial"/>
                <w:sz w:val="11"/>
                <w:szCs w:val="11"/>
                <w:color w:val="auto"/>
                <w:w w:val="96"/>
              </w:rPr>
              <w:t>Oil &amp; Gas Engineering and Consulting</w:t>
            </w:r>
          </w:p>
        </w:tc>
        <w:tc>
          <w:tcPr>
            <w:tcW w:w="10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540" w:type="dxa"/>
            <w:vAlign w:val="bottom"/>
          </w:tcPr>
          <w:p>
            <w:pPr>
              <w:jc w:val="right"/>
              <w:ind w:right="166"/>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15,068,00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6,958</w:t>
            </w:r>
          </w:p>
        </w:tc>
        <w:tc>
          <w:tcPr>
            <w:tcW w:w="7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254</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1"/>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Services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2"/>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14,983</w:t>
            </w:r>
          </w:p>
        </w:tc>
        <w:tc>
          <w:tcPr>
            <w:tcW w:w="2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10,635</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Investments in Affiliated Portfolio Companies^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29,081</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26,324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Investments - 214.3%</w:t>
            </w:r>
          </w:p>
        </w:tc>
        <w:tc>
          <w:tcPr>
            <w:tcW w:w="12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3"/>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220,516</w:t>
            </w: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2"/>
              </w:rPr>
              <w:t>$  203,592</w:t>
            </w:r>
          </w:p>
        </w:tc>
        <w:tc>
          <w:tcPr>
            <w:tcW w:w="2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-2716530</wp:posOffset>
            </wp:positionV>
            <wp:extent cx="68580" cy="1111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-2716530</wp:posOffset>
            </wp:positionV>
            <wp:extent cx="68580" cy="1111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-2048510</wp:posOffset>
            </wp:positionV>
            <wp:extent cx="6858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-2048510</wp:posOffset>
            </wp:positionV>
            <wp:extent cx="68580"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-1851025</wp:posOffset>
            </wp:positionV>
            <wp:extent cx="68580"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-1851025</wp:posOffset>
            </wp:positionV>
            <wp:extent cx="68580" cy="1111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-1268095</wp:posOffset>
            </wp:positionV>
            <wp:extent cx="68580"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-1268095</wp:posOffset>
            </wp:positionV>
            <wp:extent cx="68580"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-231140</wp:posOffset>
            </wp:positionV>
            <wp:extent cx="68580" cy="1117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-231140</wp:posOffset>
            </wp:positionV>
            <wp:extent cx="68580" cy="1117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2" w:lineRule="exact"/>
        <w:rPr>
          <w:sz w:val="20"/>
          <w:szCs w:val="20"/>
          <w:color w:val="auto"/>
        </w:rPr>
      </w:pPr>
    </w:p>
    <w:p>
      <w:pPr>
        <w:ind w:firstLine="8"/>
        <w:spacing w:after="0" w:line="243" w:lineRule="auto"/>
        <w:tabs>
          <w:tab w:leader="none" w:pos="233" w:val="left"/>
        </w:tabs>
        <w:numPr>
          <w:ilvl w:val="0"/>
          <w:numId w:val="64"/>
        </w:numPr>
        <w:rPr>
          <w:rFonts w:ascii="Arial" w:cs="Arial" w:eastAsia="Arial" w:hAnsi="Arial"/>
          <w:sz w:val="12"/>
          <w:szCs w:val="12"/>
          <w:color w:val="auto"/>
        </w:rPr>
      </w:pPr>
      <w:r>
        <w:rPr>
          <w:rFonts w:ascii="Arial" w:cs="Arial" w:eastAsia="Arial" w:hAnsi="Arial"/>
          <w:sz w:val="12"/>
          <w:szCs w:val="12"/>
          <w:color w:val="auto"/>
        </w:rPr>
        <w:t>As defined in the Investment Company Act, the investment is deemed to be an “affiliated person” of the Company because the Company owns, either directly or indirectly, 5% or more of the portfolio company’s outstanding voting securities.</w:t>
      </w:r>
    </w:p>
    <w:p>
      <w:pPr>
        <w:spacing w:after="0" w:line="234" w:lineRule="auto"/>
        <w:rPr>
          <w:rFonts w:ascii="Arial" w:cs="Arial" w:eastAsia="Arial" w:hAnsi="Arial"/>
          <w:sz w:val="12"/>
          <w:szCs w:val="12"/>
          <w:color w:val="auto"/>
        </w:rPr>
      </w:pPr>
      <w:r>
        <w:rPr>
          <w:rFonts w:ascii="Arial" w:cs="Arial" w:eastAsia="Arial" w:hAnsi="Arial"/>
          <w:sz w:val="12"/>
          <w:szCs w:val="12"/>
          <w:color w:val="auto"/>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1" w:lineRule="exact"/>
        <w:rPr>
          <w:sz w:val="20"/>
          <w:szCs w:val="20"/>
          <w:color w:val="auto"/>
        </w:rPr>
      </w:pPr>
    </w:p>
    <w:p>
      <w:pPr>
        <w:jc w:val="both"/>
        <w:ind w:firstLine="8"/>
        <w:spacing w:after="0" w:line="313" w:lineRule="auto"/>
        <w:tabs>
          <w:tab w:leader="none" w:pos="248" w:val="left"/>
        </w:tabs>
        <w:numPr>
          <w:ilvl w:val="0"/>
          <w:numId w:val="65"/>
        </w:numPr>
        <w:rPr>
          <w:rFonts w:ascii="Arial" w:cs="Arial" w:eastAsia="Arial" w:hAnsi="Arial"/>
          <w:sz w:val="9"/>
          <w:szCs w:val="9"/>
          <w:color w:val="auto"/>
        </w:rPr>
      </w:pPr>
      <w:r>
        <w:rPr>
          <w:rFonts w:ascii="Arial" w:cs="Arial" w:eastAsia="Arial" w:hAnsi="Arial"/>
          <w:sz w:val="9"/>
          <w:szCs w:val="9"/>
          <w:color w:val="auto"/>
        </w:rPr>
        <w:t>Represents the actual interest rate for partially or fully funded debt in effect as of the reporting date. Variable rate loans bear interest at a rate that may be determined by the larger of the floor of the reference to either LIBOR (“L”), SOFR, or alternate base rate, unless otherwise noted) at the borrower’s option, which reset periodically based on the terms of the credit agreement. L loans are typically indexed to 6 month, 3 month, or 1 month L rates. SOFR loans are typically indexed to 6 month, 3 month, or 1 month SOFR rates. As of December 31, 2022, rates for the 6 month, 3 month, and 1 month L are 5.14%, 4.77%, and 4.39%, respectively. As of December 31, 2022, rates for the 6 month, 3 month, and 1 month SOFR are 4.78%, 4.59%, and 4.36%, respectively. For investments with multiple reference rates or alternate base rates, the interest rate shown is the weighted average interest rate in effect at December 31, 2022.</w:t>
      </w:r>
    </w:p>
    <w:p>
      <w:pPr>
        <w:spacing w:after="0" w:line="232" w:lineRule="auto"/>
        <w:rPr>
          <w:rFonts w:ascii="Arial" w:cs="Arial" w:eastAsia="Arial" w:hAnsi="Arial"/>
          <w:sz w:val="9"/>
          <w:szCs w:val="9"/>
          <w:color w:val="auto"/>
        </w:rPr>
      </w:pPr>
      <w:r>
        <w:rPr>
          <w:rFonts w:ascii="Arial" w:cs="Arial" w:eastAsia="Arial" w:hAnsi="Arial"/>
          <w:sz w:val="12"/>
          <w:szCs w:val="12"/>
          <w:color w:val="auto"/>
        </w:rPr>
        <w:t>(++) Par amount is presented for debt investments, while the number of shares or units owned is presented for equity investments.</w:t>
      </w:r>
    </w:p>
    <w:p>
      <w:pPr>
        <w:ind w:left="520" w:hanging="512"/>
        <w:spacing w:after="0" w:line="190"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All investments valued using unobservable inputs (Level 3), unless otherwise noted.</w:t>
      </w:r>
    </w:p>
    <w:p>
      <w:pPr>
        <w:ind w:left="520" w:hanging="512"/>
        <w:spacing w:after="0" w:line="201" w:lineRule="auto"/>
        <w:tabs>
          <w:tab w:leader="none" w:pos="520" w:val="left"/>
        </w:tabs>
        <w:numPr>
          <w:ilvl w:val="0"/>
          <w:numId w:val="66"/>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All debt investments are income producing, unless otherwise noted. Equity and warrant investments are non-income producing, unless otherwise noted.</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Percentages are based on net assets as of December 31, 2022.</w:t>
      </w:r>
    </w:p>
    <w:p>
      <w:pPr>
        <w:ind w:left="520" w:hanging="512"/>
        <w:spacing w:after="0" w:line="201" w:lineRule="auto"/>
        <w:tabs>
          <w:tab w:leader="none" w:pos="520" w:val="left"/>
        </w:tabs>
        <w:numPr>
          <w:ilvl w:val="0"/>
          <w:numId w:val="66"/>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Investment is held through our Taxable Subsidiary (See Note 1).</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Non-accrual investment.</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1.0% of interest payable in cash. 9.0% of interest payable in cash or paid-in-kind at borrower’s election.</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15.0% of interest payable in cash or paid-in-kind at borrower’s election.</w:t>
      </w:r>
    </w:p>
    <w:p>
      <w:pPr>
        <w:ind w:left="520" w:hanging="512"/>
        <w:spacing w:after="0" w:line="18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cash rate equals the approximate current yield on our last-out portion of the unitranche facility.</w:t>
      </w:r>
    </w:p>
    <w:p>
      <w:pPr>
        <w:ind w:left="520" w:hanging="512"/>
        <w:spacing w:after="0" w:line="186"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investment has been exited or sold. The residual value reflects estimated earnout, escrow, or other proceeds expected post-closing.</w:t>
      </w:r>
    </w:p>
    <w:p>
      <w:pPr>
        <w:ind w:left="520" w:hanging="512"/>
        <w:spacing w:after="0" w:line="189"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Company has an unfunded loan or investment commitment to the portfolio company at December 31, 2022 (See Note 2).</w:t>
      </w:r>
    </w:p>
    <w:p>
      <w:pPr>
        <w:jc w:val="both"/>
        <w:ind w:left="520" w:hanging="512"/>
        <w:spacing w:after="0" w:line="211" w:lineRule="auto"/>
        <w:tabs>
          <w:tab w:leader="none" w:pos="520" w:val="left"/>
        </w:tabs>
        <w:numPr>
          <w:ilvl w:val="0"/>
          <w:numId w:val="66"/>
        </w:numPr>
        <w:rPr>
          <w:rFonts w:ascii="Arial" w:cs="Arial" w:eastAsia="Arial" w:hAnsi="Arial"/>
          <w:sz w:val="16"/>
          <w:szCs w:val="16"/>
          <w:b w:val="1"/>
          <w:bCs w:val="1"/>
          <w:color w:val="auto"/>
          <w:vertAlign w:val="superscript"/>
        </w:rPr>
      </w:pPr>
      <w:r>
        <w:rPr>
          <w:rFonts w:ascii="Arial" w:cs="Arial" w:eastAsia="Arial" w:hAnsi="Arial"/>
          <w:sz w:val="12"/>
          <w:szCs w:val="12"/>
          <w:color w:val="auto"/>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520" w:hanging="512"/>
        <w:spacing w:after="0" w:line="186"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equity investment is income producing, based on rate disclosed.</w:t>
      </w:r>
    </w:p>
    <w:p>
      <w:pPr>
        <w:ind w:left="520" w:right="20" w:hanging="512"/>
        <w:spacing w:after="0" w:line="217" w:lineRule="auto"/>
        <w:tabs>
          <w:tab w:leader="none" w:pos="520" w:val="left"/>
        </w:tabs>
        <w:numPr>
          <w:ilvl w:val="0"/>
          <w:numId w:val="66"/>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97.5% of the Company’s total assets and non-qualifying assets represent 2.5% of the Company’s total assets.</w:t>
      </w:r>
    </w:p>
    <w:p>
      <w:pPr>
        <w:ind w:left="520" w:hanging="512"/>
        <w:spacing w:after="0" w:line="180" w:lineRule="auto"/>
        <w:tabs>
          <w:tab w:leader="none" w:pos="520" w:val="left"/>
        </w:tabs>
        <w:numPr>
          <w:ilvl w:val="0"/>
          <w:numId w:val="66"/>
        </w:numPr>
        <w:rPr>
          <w:rFonts w:ascii="Arial" w:cs="Arial" w:eastAsia="Arial" w:hAnsi="Arial"/>
          <w:sz w:val="16"/>
          <w:szCs w:val="16"/>
          <w:b w:val="1"/>
          <w:bCs w:val="1"/>
          <w:color w:val="auto"/>
          <w:vertAlign w:val="superscript"/>
        </w:rPr>
      </w:pPr>
      <w:r>
        <w:rPr>
          <w:rFonts w:ascii="Arial" w:cs="Arial" w:eastAsia="Arial" w:hAnsi="Arial"/>
          <w:sz w:val="12"/>
          <w:szCs w:val="12"/>
          <w:color w:val="auto"/>
        </w:rPr>
        <w:t>All or a portion of this security is pledged as collateral under the KeyBank Credit Facility and held through the Company’s wholly-owned subsidiary, Capitala Business Lending, LLC.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Interest Rate</w:t>
            </w: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86"/>
              </w:rPr>
              <w:t>Par/Shares</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2"/>
                <w:szCs w:val="12"/>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Industry</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Floor (+)</w:t>
            </w:r>
          </w:p>
        </w:tc>
        <w:tc>
          <w:tcPr>
            <w:tcW w:w="100" w:type="dxa"/>
            <w:vAlign w:val="bottom"/>
          </w:tcPr>
          <w:p>
            <w:pPr>
              <w:spacing w:after="0"/>
              <w:rPr>
                <w:sz w:val="12"/>
                <w:szCs w:val="12"/>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Maturity</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Fair Value</w:t>
            </w:r>
          </w:p>
        </w:tc>
        <w:tc>
          <w:tcPr>
            <w:tcW w:w="200" w:type="dxa"/>
            <w:vAlign w:val="bottom"/>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42"/>
        </w:trPr>
        <w:tc>
          <w:tcPr>
            <w:tcW w:w="472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- 121.5%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- 82.5%</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Accordion Partners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6.50%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09/24/2027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    13,965</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    13,736</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   13,719</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Accordion Partners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09/30/2026</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(71 )</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(68 )</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Accurate Background,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03/26/2027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2,999</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2,740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2,760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12/18/2022</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6,824</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American Clinical Solutions,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12/31/2022</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3,500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3,500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3,468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6.25%</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07/21/2027</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1,234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1,217</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1,236</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6.25%</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07/21/2027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1,250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1,232</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BigMouth,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Products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11/14/2021</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1,513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Bradshaw International,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6.75%</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10/21/2027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506</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493</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Bradshaw International, Inc.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6.75%</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10/21/2026</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Critical Nurse Staffing,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10/30/2026</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5,923</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5,806</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5,805</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Critical Nurse Staffing,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10/30/2026</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(17 )</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(17 )</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Freedom Electronics, LLC (First Out)</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Electronic Machine Repair</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2.00%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12/20/2023</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2,588</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2,588</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2,588</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 (Last Out)</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Electronic Machine Repair</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8.67%</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12/20/2023</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(10)(17)</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01/14/2022</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4,673</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4,673</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4,619</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J5 Infrastructure Partners,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Wireless Deployment Services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1.80%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12/20/2024</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JO ET Holdings Limited</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14.00%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L + 6.00%, 7.00 PIK</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12/15/2026</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Entertainment</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9.50%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+ 7.50%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2.00%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05/01/2024</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8,397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Keg Logistics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11/23/2027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7,535</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7,424</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7,422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Keg Logistics LLC (Revolver)</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11/23/2027</w:t>
            </w: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(13 )</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(13 )</w:t>
            </w: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Consumer Discretionary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6.25%</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07/21/2027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3,000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2,944</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2,939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Marble Point Credit Management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08/11/2028</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5,801</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5,651</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5,656</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Marble Point Credit Management LLC (Revolver)</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08/11/2028</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(24 )</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(62 )</w:t>
            </w: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Premier Imaging,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12/29/2028</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2,063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Rotolo Consultants,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Industrials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+ 8.00%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12/21/2026</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990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Sequoia Healthcare Management,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 Management</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12.80%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01/14/2022</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Wealth Enhancement Group,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6.75%</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10/02/2027</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3,725</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3,699</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3,686</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Wealth Enhancement Group, LLC (Revolver)</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6.75%</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tcBorders>
              <w:bottom w:val="single" w:sz="8" w:color="CFF0FC"/>
            </w:tcBorders>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1.00%</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10/02/2027</w:t>
            </w: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2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164</w:t>
            </w:r>
          </w:p>
        </w:tc>
        <w:tc>
          <w:tcPr>
            <w:tcW w:w="2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93,728</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88,312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- 11.9%</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BLST Operating Company,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Online Merchandise Retailer</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1.50%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08/28/2025</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1,780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1,780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1,780</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(8)(17)</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Ivanti Software, Inc.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7.75%</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+ 7.25%</w:t>
            </w:r>
          </w:p>
        </w:tc>
        <w:tc>
          <w:tcPr>
            <w:tcW w:w="640" w:type="dxa"/>
            <w:vAlign w:val="bottom"/>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0.50%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12/01/2028</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7,000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6,965</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rPr>
                <w:sz w:val="20"/>
                <w:szCs w:val="20"/>
                <w:color w:val="auto"/>
              </w:rPr>
            </w:pPr>
            <w:r>
              <w:rPr>
                <w:rFonts w:ascii="Arial" w:cs="Arial" w:eastAsia="Arial" w:hAnsi="Arial"/>
                <w:sz w:val="11"/>
                <w:szCs w:val="11"/>
                <w:color w:val="auto"/>
              </w:rPr>
              <w:t>Mandolin Technology Intermediate Holdings,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0.50%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07/23/2029</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4,000</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3,971</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12,716</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12,778</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Subordinated Debt - 4.7%</w:t>
            </w:r>
          </w:p>
        </w:tc>
        <w:tc>
          <w:tcPr>
            <w:tcW w:w="120" w:type="dxa"/>
            <w:vAlign w:val="bottom"/>
            <w:tcBorders>
              <w:top w:val="single" w:sz="8" w:color="CFF0FC"/>
            </w:tcBorders>
          </w:tcPr>
          <w:p>
            <w:pPr>
              <w:spacing w:after="0"/>
              <w:rPr>
                <w:sz w:val="11"/>
                <w:szCs w:val="11"/>
                <w:color w:val="auto"/>
              </w:rPr>
            </w:pPr>
          </w:p>
        </w:tc>
        <w:tc>
          <w:tcPr>
            <w:tcW w:w="18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6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Tubular Textile Machinery, Inc.</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Textile Equipment Manufacturer</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5.00%</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10/29/2027</w:t>
            </w: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- 2.5%</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13,811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1,275</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48,025</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3,943</w:t>
            </w: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78,900</w:t>
            </w:r>
          </w:p>
        </w:tc>
        <w:tc>
          <w:tcPr>
            <w:tcW w:w="2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Entertainment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467,784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480</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MicroHoldco,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General Industrial</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740,237</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645</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Household Product Manufacturer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379</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U.S. BioTek Laboratories, LLC - Class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D</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2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101</w:t>
            </w:r>
          </w:p>
        </w:tc>
        <w:tc>
          <w:tcPr>
            <w:tcW w:w="2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7,823</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2,681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- 19.8%</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20,092</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800</w:t>
            </w:r>
          </w:p>
        </w:tc>
        <w:tc>
          <w:tcPr>
            <w:tcW w:w="2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9"/>
              </w:rPr>
              <w:t>Alternative Biomedical Solutions, LLC - Membership Unit</w:t>
            </w: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80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Warrants</w:t>
            </w:r>
          </w:p>
        </w:tc>
        <w:tc>
          <w:tcPr>
            <w:tcW w:w="120" w:type="dxa"/>
            <w:vAlign w:val="bottom"/>
            <w:shd w:val="clear" w:color="auto" w:fill="CFF0FC"/>
          </w:tcPr>
          <w:p>
            <w:pPr>
              <w:spacing w:after="0"/>
              <w:rPr>
                <w:sz w:val="5"/>
                <w:szCs w:val="5"/>
                <w:color w:val="auto"/>
              </w:rPr>
            </w:pPr>
          </w:p>
        </w:tc>
        <w:tc>
          <w:tcPr>
            <w:tcW w:w="18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20" w:type="dxa"/>
            <w:vAlign w:val="bottom"/>
            <w:vMerge w:val="continue"/>
            <w:shd w:val="clear" w:color="auto" w:fill="CFF0FC"/>
          </w:tcPr>
          <w:p>
            <w:pPr>
              <w:spacing w:after="0"/>
              <w:rPr>
                <w:sz w:val="5"/>
                <w:szCs w:val="5"/>
                <w:color w:val="auto"/>
              </w:rPr>
            </w:pP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49,295</w:t>
            </w:r>
          </w:p>
        </w:tc>
        <w:tc>
          <w:tcPr>
            <w:tcW w:w="200" w:type="dxa"/>
            <w:vAlign w:val="bottom"/>
            <w:shd w:val="clear" w:color="auto" w:fill="CFF0FC"/>
          </w:tcPr>
          <w:p>
            <w:pPr>
              <w:spacing w:after="0"/>
              <w:rPr>
                <w:sz w:val="5"/>
                <w:szCs w:val="5"/>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8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6,030,384</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3,198</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5,587</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 - Class A</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Online Merchandise Retailer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217,013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4,171</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Burke America Parts Group,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Home Repair Parts Manufacturer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3,062</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Electronic Machine Repair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JMP CLO IV Ltd.</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17.72%</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07/17/2029</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7,891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3,592</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3,474</w:t>
            </w:r>
          </w:p>
        </w:tc>
        <w:tc>
          <w:tcPr>
            <w:tcW w:w="20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(15)(13)</w:t>
            </w:r>
          </w:p>
        </w:tc>
        <w:tc>
          <w:tcPr>
            <w:tcW w:w="0" w:type="dxa"/>
            <w:vAlign w:val="bottom"/>
          </w:tcPr>
          <w:p>
            <w:pPr>
              <w:spacing w:after="0"/>
              <w:rPr>
                <w:sz w:val="1"/>
                <w:szCs w:val="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JMP CLO V Ltd.</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20.89%</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07/17/2030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7,320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4,448</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(15)(13)</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rPr>
                <w:sz w:val="20"/>
                <w:szCs w:val="20"/>
                <w:color w:val="auto"/>
              </w:rPr>
            </w:pPr>
            <w:r>
              <w:rPr>
                <w:rFonts w:ascii="Arial" w:cs="Arial" w:eastAsia="Arial" w:hAnsi="Arial"/>
                <w:sz w:val="11"/>
                <w:szCs w:val="11"/>
                <w:color w:val="auto"/>
              </w:rPr>
              <w:t>U.S. BioTek Laboratories, LLC - Class 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578</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12,512</w:t>
            </w:r>
          </w:p>
        </w:tc>
        <w:tc>
          <w:tcPr>
            <w:tcW w:w="2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21,170</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131,829</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129,991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-3093720</wp:posOffset>
            </wp:positionV>
            <wp:extent cx="68580" cy="1111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-3093720</wp:posOffset>
            </wp:positionV>
            <wp:extent cx="68580" cy="1111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-2502535</wp:posOffset>
            </wp:positionV>
            <wp:extent cx="6858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-2502535</wp:posOffset>
            </wp:positionV>
            <wp:extent cx="6858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-2305050</wp:posOffset>
            </wp:positionV>
            <wp:extent cx="68580" cy="1117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-2305050</wp:posOffset>
            </wp:positionV>
            <wp:extent cx="68580" cy="1117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-1344930</wp:posOffset>
            </wp:positionV>
            <wp:extent cx="68580" cy="1111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-1344930</wp:posOffset>
            </wp:positionV>
            <wp:extent cx="68580" cy="1111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-110490</wp:posOffset>
            </wp:positionV>
            <wp:extent cx="68580" cy="1111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-110490</wp:posOffset>
            </wp:positionV>
            <wp:extent cx="68580" cy="1111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0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w w:val="90"/>
              </w:rPr>
              <w:t>Par/Shares</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2"/>
                <w:szCs w:val="12"/>
                <w:color w:val="auto"/>
              </w:rPr>
            </w:pPr>
          </w:p>
        </w:tc>
        <w:tc>
          <w:tcPr>
            <w:tcW w:w="1800" w:type="dxa"/>
            <w:vAlign w:val="bottom"/>
          </w:tcPr>
          <w:p>
            <w:pPr>
              <w:ind w:left="700"/>
              <w:spacing w:after="0"/>
              <w:rPr>
                <w:sz w:val="20"/>
                <w:szCs w:val="20"/>
                <w:color w:val="auto"/>
              </w:rPr>
            </w:pPr>
            <w:r>
              <w:rPr>
                <w:rFonts w:ascii="Arial" w:cs="Arial" w:eastAsia="Arial" w:hAnsi="Arial"/>
                <w:sz w:val="11"/>
                <w:szCs w:val="11"/>
                <w:b w:val="1"/>
                <w:bCs w:val="1"/>
                <w:color w:val="auto"/>
              </w:rPr>
              <w:t>Industry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Floor (+)</w:t>
            </w:r>
          </w:p>
        </w:tc>
        <w:tc>
          <w:tcPr>
            <w:tcW w:w="100" w:type="dxa"/>
            <w:vAlign w:val="bottom"/>
          </w:tcPr>
          <w:p>
            <w:pPr>
              <w:spacing w:after="0"/>
              <w:rPr>
                <w:sz w:val="12"/>
                <w:szCs w:val="12"/>
                <w:color w:val="auto"/>
              </w:rPr>
            </w:pP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rPr>
              <w:t>Maturity</w:t>
            </w:r>
          </w:p>
        </w:tc>
        <w:tc>
          <w:tcPr>
            <w:tcW w:w="7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1"/>
              </w:rPr>
              <w:t>Fair Value</w:t>
            </w:r>
          </w:p>
        </w:tc>
        <w:tc>
          <w:tcPr>
            <w:tcW w:w="200" w:type="dxa"/>
            <w:vAlign w:val="bottom"/>
          </w:tcPr>
          <w:p>
            <w:pPr>
              <w:spacing w:after="0"/>
              <w:rPr>
                <w:sz w:val="12"/>
                <w:szCs w:val="12"/>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Footnotes</w:t>
            </w:r>
          </w:p>
        </w:tc>
      </w:tr>
      <w:tr>
        <w:trPr>
          <w:trHeight w:val="146"/>
        </w:trPr>
        <w:tc>
          <w:tcPr>
            <w:tcW w:w="2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6"/>
              </w:rPr>
              <w:t>Investments in Affiliated Portfolio Companies - 57.3%^</w:t>
            </w:r>
          </w:p>
        </w:tc>
        <w:tc>
          <w:tcPr>
            <w:tcW w:w="120" w:type="dxa"/>
            <w:vAlign w:val="bottom"/>
            <w:shd w:val="clear" w:color="auto" w:fill="CFF0FC"/>
          </w:tcPr>
          <w:p>
            <w:pPr>
              <w:spacing w:after="0"/>
              <w:rPr>
                <w:sz w:val="12"/>
                <w:szCs w:val="12"/>
                <w:color w:val="auto"/>
              </w:rPr>
            </w:pPr>
          </w:p>
        </w:tc>
        <w:tc>
          <w:tcPr>
            <w:tcW w:w="18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First Lien/Senior Secured Debt - 5.9%</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01/31/2022</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RAM Payment, LLC (First Out)</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6.50%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1.50%</w:t>
            </w:r>
          </w:p>
        </w:tc>
        <w:tc>
          <w:tcPr>
            <w:tcW w:w="88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01/04/2024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998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(17)</w:t>
            </w: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RAM Payment, LLC (Last Out)</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9.86%</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01/04/2024</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(10)(17)</w:t>
            </w: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6,304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6,304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- 16.3%</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Business Services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13.50%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89"/>
              </w:rPr>
              <w:t>L + 13.00%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0.50%</w:t>
            </w:r>
          </w:p>
        </w:tc>
        <w:tc>
          <w:tcPr>
            <w:tcW w:w="88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04/30/2022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16,451</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(17)</w:t>
            </w: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6.00%</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01/31/2022</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25"/>
        </w:trPr>
        <w:tc>
          <w:tcPr>
            <w:tcW w:w="2800" w:type="dxa"/>
            <w:vAlign w:val="bottom"/>
          </w:tcPr>
          <w:p>
            <w:pPr>
              <w:ind w:left="20"/>
              <w:spacing w:after="0" w:line="125" w:lineRule="exact"/>
              <w:rPr>
                <w:sz w:val="20"/>
                <w:szCs w:val="20"/>
                <w:color w:val="auto"/>
              </w:rPr>
            </w:pPr>
            <w:r>
              <w:rPr>
                <w:rFonts w:ascii="Arial" w:cs="Arial" w:eastAsia="Arial" w:hAnsi="Arial"/>
                <w:sz w:val="11"/>
                <w:szCs w:val="11"/>
                <w:color w:val="auto"/>
              </w:rPr>
              <w:t>Sierra Hamilton Holdings Corporation</w:t>
            </w:r>
          </w:p>
        </w:tc>
        <w:tc>
          <w:tcPr>
            <w:tcW w:w="120" w:type="dxa"/>
            <w:vAlign w:val="bottom"/>
          </w:tcPr>
          <w:p>
            <w:pPr>
              <w:spacing w:after="0"/>
              <w:rPr>
                <w:sz w:val="10"/>
                <w:szCs w:val="10"/>
                <w:color w:val="auto"/>
              </w:rPr>
            </w:pPr>
          </w:p>
        </w:tc>
        <w:tc>
          <w:tcPr>
            <w:tcW w:w="1800" w:type="dxa"/>
            <w:vAlign w:val="bottom"/>
          </w:tcPr>
          <w:p>
            <w:pPr>
              <w:spacing w:after="0" w:line="125" w:lineRule="exact"/>
              <w:rPr>
                <w:sz w:val="20"/>
                <w:szCs w:val="20"/>
                <w:color w:val="auto"/>
              </w:rPr>
            </w:pPr>
            <w:r>
              <w:rPr>
                <w:rFonts w:ascii="Arial" w:cs="Arial" w:eastAsia="Arial" w:hAnsi="Arial"/>
                <w:sz w:val="11"/>
                <w:szCs w:val="11"/>
                <w:color w:val="auto"/>
                <w:w w:val="96"/>
              </w:rPr>
              <w:t>Oil &amp; Gas Engineering and Consulting</w:t>
            </w:r>
          </w:p>
        </w:tc>
        <w:tc>
          <w:tcPr>
            <w:tcW w:w="80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1"/>
              </w:rPr>
              <w:t>15.00%</w:t>
            </w:r>
          </w:p>
        </w:tc>
        <w:tc>
          <w:tcPr>
            <w:tcW w:w="10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540" w:type="dxa"/>
            <w:vAlign w:val="bottom"/>
          </w:tcPr>
          <w:p>
            <w:pPr>
              <w:jc w:val="right"/>
              <w:ind w:right="166"/>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09/12/2023</w:t>
            </w:r>
          </w:p>
        </w:tc>
        <w:tc>
          <w:tcPr>
            <w:tcW w:w="7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1"/>
                <w:szCs w:val="11"/>
                <w:color w:val="auto"/>
              </w:rPr>
              <w:t>3</w:t>
            </w:r>
          </w:p>
        </w:tc>
        <w:tc>
          <w:tcPr>
            <w:tcW w:w="7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w:t>
            </w:r>
          </w:p>
        </w:tc>
        <w:tc>
          <w:tcPr>
            <w:tcW w:w="880" w:type="dxa"/>
            <w:vAlign w:val="bottom"/>
            <w:gridSpan w:val="2"/>
          </w:tcPr>
          <w:p>
            <w:pPr>
              <w:ind w:left="220"/>
              <w:spacing w:after="0" w:line="125" w:lineRule="exact"/>
              <w:rPr>
                <w:sz w:val="20"/>
                <w:szCs w:val="20"/>
                <w:color w:val="auto"/>
              </w:rPr>
            </w:pPr>
            <w:r>
              <w:rPr>
                <w:rFonts w:ascii="Arial" w:cs="Arial" w:eastAsia="Arial" w:hAnsi="Arial"/>
                <w:sz w:val="11"/>
                <w:szCs w:val="11"/>
                <w:color w:val="auto"/>
              </w:rPr>
              <w:t>(9)</w:t>
            </w:r>
          </w:p>
        </w:tc>
      </w:tr>
      <w:tr>
        <w:trPr>
          <w:trHeight w:val="140"/>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Services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Data Processing &amp; Digital Marketing</w:t>
            </w: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2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(11)</w:t>
            </w:r>
          </w:p>
        </w:tc>
      </w:tr>
      <w:tr>
        <w:trPr>
          <w:trHeight w:val="146"/>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17,332</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17,412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- 10.1%</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GA Communications, Inc. - Series A-1</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Advertising &amp; Marketing Services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3,477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4,394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QSR Franchisor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202,336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6.00% PIK</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1,786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1,898</w:t>
            </w:r>
          </w:p>
        </w:tc>
        <w:tc>
          <w:tcPr>
            <w:tcW w:w="880" w:type="dxa"/>
            <w:vAlign w:val="bottom"/>
            <w:gridSpan w:val="2"/>
          </w:tcPr>
          <w:p>
            <w:pPr>
              <w:ind w:left="220"/>
              <w:spacing w:after="0"/>
              <w:rPr>
                <w:sz w:val="20"/>
                <w:szCs w:val="20"/>
                <w:color w:val="auto"/>
              </w:rPr>
            </w:pPr>
            <w:r>
              <w:rPr>
                <w:rFonts w:ascii="Arial" w:cs="Arial" w:eastAsia="Arial" w:hAnsi="Arial"/>
                <w:sz w:val="11"/>
                <w:szCs w:val="11"/>
                <w:color w:val="auto"/>
              </w:rPr>
              <w:t>(14)</w:t>
            </w: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8.00% PIK</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86,000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1,066</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3,726</w:t>
            </w:r>
          </w:p>
        </w:tc>
        <w:tc>
          <w:tcPr>
            <w:tcW w:w="8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1"/>
                <w:szCs w:val="11"/>
                <w:color w:val="auto"/>
              </w:rPr>
              <w:t>(14)</w:t>
            </w: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6,766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10,861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- 25.0%</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Burgaflex Holdings, LLC - Class A</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Automobile Part Manufacturer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1,253,198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1,504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1,193</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Burgaflex Holdings, LLC - Class B</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Automobile Part Manufacturer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1,085,073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Business Services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3,263</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16,319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GA Communications, Inc. - Series B-1</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Advertising &amp; Marketing Services</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200,000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185</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QSR Franchisor</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2,593,234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1,224</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7,164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4"/>
        </w:trPr>
        <w:tc>
          <w:tcPr>
            <w:tcW w:w="2800" w:type="dxa"/>
            <w:vAlign w:val="bottom"/>
          </w:tcPr>
          <w:p>
            <w:pPr>
              <w:ind w:left="20"/>
              <w:spacing w:after="0"/>
              <w:rPr>
                <w:sz w:val="20"/>
                <w:szCs w:val="20"/>
                <w:color w:val="auto"/>
              </w:rPr>
            </w:pPr>
            <w:r>
              <w:rPr>
                <w:rFonts w:ascii="Arial" w:cs="Arial" w:eastAsia="Arial" w:hAnsi="Arial"/>
                <w:sz w:val="11"/>
                <w:szCs w:val="11"/>
                <w:color w:val="auto"/>
              </w:rPr>
              <w:t>Nth Degree Investment Group, LLC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Business Services</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6,088,000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6,088</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0"/>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Sierra Hamilton Holdings Corporation</w:t>
            </w: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1"/>
                <w:szCs w:val="11"/>
                <w:color w:val="auto"/>
                <w:w w:val="96"/>
              </w:rPr>
              <w:t>Oil &amp; Gas Engineering and Consulting</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15,068,00</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6,958</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1"/>
        </w:trPr>
        <w:tc>
          <w:tcPr>
            <w:tcW w:w="2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Services</w:t>
            </w: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19,401</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26,782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Investments in Affiliated Portfolio Companies^</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49,803</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8"/>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w w:val="94"/>
              </w:rPr>
              <w:t>Investments in Controlled Portfolio Companies - 6.4%^^</w:t>
            </w:r>
          </w:p>
        </w:tc>
        <w:tc>
          <w:tcPr>
            <w:tcW w:w="120" w:type="dxa"/>
            <w:vAlign w:val="bottom"/>
            <w:tcBorders>
              <w:top w:val="single" w:sz="8" w:color="CFF0FC"/>
            </w:tcBorders>
          </w:tcPr>
          <w:p>
            <w:pPr>
              <w:spacing w:after="0"/>
              <w:rPr>
                <w:sz w:val="11"/>
                <w:szCs w:val="11"/>
                <w:color w:val="auto"/>
              </w:rPr>
            </w:pPr>
          </w:p>
        </w:tc>
        <w:tc>
          <w:tcPr>
            <w:tcW w:w="18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r>
      <w:tr>
        <w:trPr>
          <w:trHeight w:val="153"/>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- 3.4%</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48"/>
        </w:trPr>
        <w:tc>
          <w:tcPr>
            <w:tcW w:w="2800" w:type="dxa"/>
            <w:vAlign w:val="bottom"/>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10.50%</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tcPr>
          <w:p>
            <w:pPr>
              <w:jc w:val="right"/>
              <w:ind w:right="66"/>
              <w:spacing w:after="0"/>
              <w:rPr>
                <w:sz w:val="20"/>
                <w:szCs w:val="20"/>
                <w:color w:val="auto"/>
              </w:rPr>
            </w:pPr>
            <w:r>
              <w:rPr>
                <w:rFonts w:ascii="Arial" w:cs="Arial" w:eastAsia="Arial" w:hAnsi="Arial"/>
                <w:sz w:val="11"/>
                <w:szCs w:val="11"/>
                <w:color w:val="auto"/>
              </w:rPr>
              <w:t>2.00%</w:t>
            </w:r>
          </w:p>
        </w:tc>
        <w:tc>
          <w:tcPr>
            <w:tcW w:w="88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03/31/2022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3,635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3,635</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8"/>
        </w:trPr>
        <w:tc>
          <w:tcPr>
            <w:tcW w:w="280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Preferred Stock and Units - 3.0%</w:t>
            </w:r>
          </w:p>
        </w:tc>
        <w:tc>
          <w:tcPr>
            <w:tcW w:w="120" w:type="dxa"/>
            <w:vAlign w:val="bottom"/>
            <w:tcBorders>
              <w:top w:val="single" w:sz="8" w:color="CFF0FC"/>
            </w:tcBorders>
          </w:tcPr>
          <w:p>
            <w:pPr>
              <w:spacing w:after="0"/>
              <w:rPr>
                <w:sz w:val="11"/>
                <w:szCs w:val="11"/>
                <w:color w:val="auto"/>
              </w:rPr>
            </w:pPr>
          </w:p>
        </w:tc>
        <w:tc>
          <w:tcPr>
            <w:tcW w:w="18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r>
      <w:tr>
        <w:trPr>
          <w:trHeight w:val="153"/>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Vology, Inc. - Class A</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9,041,810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5,215</w:t>
            </w:r>
          </w:p>
        </w:tc>
        <w:tc>
          <w:tcPr>
            <w:tcW w:w="2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3,204</w:t>
            </w:r>
          </w:p>
        </w:tc>
        <w:tc>
          <w:tcPr>
            <w:tcW w:w="20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5,215</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2"/>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5"/>
              </w:rPr>
              <w:t>Total Investments in Controlled Portfolio Companies^^</w:t>
            </w:r>
          </w:p>
        </w:tc>
        <w:tc>
          <w:tcPr>
            <w:tcW w:w="12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8,850</w:t>
            </w:r>
          </w:p>
        </w:tc>
        <w:tc>
          <w:tcPr>
            <w:tcW w:w="2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6,839</w:t>
            </w:r>
          </w:p>
        </w:tc>
        <w:tc>
          <w:tcPr>
            <w:tcW w:w="2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r>
      <w:tr>
        <w:trPr>
          <w:trHeight w:val="142"/>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Total Investments - 185.2%</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190,482</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  198,189</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-3402330</wp:posOffset>
            </wp:positionV>
            <wp:extent cx="68580" cy="1111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-3402330</wp:posOffset>
            </wp:positionV>
            <wp:extent cx="68580" cy="1111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-2742565</wp:posOffset>
            </wp:positionV>
            <wp:extent cx="68580" cy="1117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-2742565</wp:posOffset>
            </wp:positionV>
            <wp:extent cx="68580" cy="1117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-2159635</wp:posOffset>
            </wp:positionV>
            <wp:extent cx="68580" cy="1111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-2159635</wp:posOffset>
            </wp:positionV>
            <wp:extent cx="68580" cy="1111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-1130935</wp:posOffset>
            </wp:positionV>
            <wp:extent cx="68580" cy="111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-1130935</wp:posOffset>
            </wp:positionV>
            <wp:extent cx="68580" cy="111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-925195</wp:posOffset>
            </wp:positionV>
            <wp:extent cx="6858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-925195</wp:posOffset>
            </wp:positionV>
            <wp:extent cx="6858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-530860</wp:posOffset>
            </wp:positionV>
            <wp:extent cx="6858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-530860</wp:posOffset>
            </wp:positionV>
            <wp:extent cx="68580"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-334010</wp:posOffset>
            </wp:positionV>
            <wp:extent cx="68580" cy="1111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-334010</wp:posOffset>
            </wp:positionV>
            <wp:extent cx="68580" cy="1111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6858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-128270</wp:posOffset>
            </wp:positionV>
            <wp:extent cx="6858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6" w:lineRule="exact"/>
        <w:rPr>
          <w:sz w:val="20"/>
          <w:szCs w:val="20"/>
          <w:color w:val="auto"/>
        </w:rPr>
      </w:pPr>
    </w:p>
    <w:p>
      <w:pPr>
        <w:ind w:firstLine="8"/>
        <w:spacing w:after="0" w:line="243" w:lineRule="auto"/>
        <w:tabs>
          <w:tab w:leader="none" w:pos="233" w:val="left"/>
        </w:tabs>
        <w:numPr>
          <w:ilvl w:val="0"/>
          <w:numId w:val="67"/>
        </w:numPr>
        <w:rPr>
          <w:rFonts w:ascii="Arial" w:cs="Arial" w:eastAsia="Arial" w:hAnsi="Arial"/>
          <w:sz w:val="12"/>
          <w:szCs w:val="12"/>
          <w:color w:val="auto"/>
        </w:rPr>
      </w:pPr>
      <w:r>
        <w:rPr>
          <w:rFonts w:ascii="Arial" w:cs="Arial" w:eastAsia="Arial" w:hAnsi="Arial"/>
          <w:sz w:val="12"/>
          <w:szCs w:val="12"/>
          <w:color w:val="auto"/>
        </w:rPr>
        <w:t>As defined in the Investment Company Act, the investment is deemed to be an “affiliated person” of the Company because the Company owns, either directly or indirectly, 5% or more of the portfolio company’s outstanding voting securities.</w:t>
      </w:r>
    </w:p>
    <w:p>
      <w:pPr>
        <w:spacing w:after="0" w:line="234" w:lineRule="auto"/>
        <w:rPr>
          <w:rFonts w:ascii="Arial" w:cs="Arial" w:eastAsia="Arial" w:hAnsi="Arial"/>
          <w:sz w:val="12"/>
          <w:szCs w:val="12"/>
          <w:color w:val="auto"/>
        </w:rPr>
      </w:pPr>
      <w:r>
        <w:rPr>
          <w:rFonts w:ascii="Arial" w:cs="Arial" w:eastAsia="Arial" w:hAnsi="Arial"/>
          <w:sz w:val="12"/>
          <w:szCs w:val="12"/>
          <w:color w:val="auto"/>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1" w:lineRule="exact"/>
        <w:rPr>
          <w:sz w:val="20"/>
          <w:szCs w:val="20"/>
          <w:color w:val="auto"/>
        </w:rPr>
      </w:pPr>
    </w:p>
    <w:p>
      <w:pPr>
        <w:jc w:val="both"/>
        <w:ind w:firstLine="8"/>
        <w:spacing w:after="0" w:line="256" w:lineRule="auto"/>
        <w:tabs>
          <w:tab w:leader="none" w:pos="242"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 investments with multiple reference rates or alternate base rates, the interest rate shown is the weighted average interest rate in effect at December 31, 2021.</w:t>
      </w:r>
    </w:p>
    <w:p>
      <w:pPr>
        <w:spacing w:after="0" w:line="232" w:lineRule="auto"/>
        <w:rPr>
          <w:rFonts w:ascii="Arial" w:cs="Arial" w:eastAsia="Arial" w:hAnsi="Arial"/>
          <w:sz w:val="11"/>
          <w:szCs w:val="11"/>
          <w:color w:val="auto"/>
        </w:rPr>
      </w:pPr>
      <w:r>
        <w:rPr>
          <w:rFonts w:ascii="Arial" w:cs="Arial" w:eastAsia="Arial" w:hAnsi="Arial"/>
          <w:sz w:val="12"/>
          <w:szCs w:val="12"/>
          <w:color w:val="auto"/>
        </w:rPr>
        <w:t>(++) Par amount is presented for debt investments, while the number of shares or units owned is presented for equity investments.</w:t>
      </w:r>
    </w:p>
    <w:p>
      <w:pPr>
        <w:ind w:left="520" w:hanging="512"/>
        <w:spacing w:after="0" w:line="190"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All investments valued using unobservable inputs (Level 3), unless otherwise noted.</w:t>
      </w:r>
    </w:p>
    <w:p>
      <w:pPr>
        <w:ind w:left="520" w:hanging="512"/>
        <w:spacing w:after="0" w:line="201" w:lineRule="auto"/>
        <w:tabs>
          <w:tab w:leader="none" w:pos="520" w:val="left"/>
        </w:tabs>
        <w:numPr>
          <w:ilvl w:val="0"/>
          <w:numId w:val="69"/>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All debt investments are income producing, unless otherwise noted. Equity and warrant investments are non-income producing, unless otherwise noted.</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Percentages are based on net assets as of December 31, 2021.</w:t>
      </w:r>
    </w:p>
    <w:p>
      <w:pPr>
        <w:ind w:left="520" w:hanging="512"/>
        <w:spacing w:after="0" w:line="201" w:lineRule="auto"/>
        <w:tabs>
          <w:tab w:leader="none" w:pos="520" w:val="left"/>
        </w:tabs>
        <w:numPr>
          <w:ilvl w:val="0"/>
          <w:numId w:val="69"/>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Investment is held through our Taxable Subsidiary (See Note 1).</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Non-accrual investment.</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1.0% of interest payable in cash. 9.0% of interest payable in cash or paid-in-kind at borrower’s election.</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15.0% of interest payable in cash or paid-in-kind at borrower’s election.</w:t>
      </w:r>
    </w:p>
    <w:p>
      <w:pPr>
        <w:ind w:left="520" w:hanging="512"/>
        <w:spacing w:after="0" w:line="18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cash rate equals the approximate current yield on our last-out portion of the unitranche facility.</w:t>
      </w:r>
    </w:p>
    <w:p>
      <w:pPr>
        <w:ind w:left="520" w:hanging="512"/>
        <w:spacing w:after="0" w:line="185"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investment has been exited or sold. The residual value reflects estimated earnout, escrow, or other proceeds expected post-closing.</w:t>
      </w:r>
    </w:p>
    <w:p>
      <w:pPr>
        <w:ind w:left="520" w:hanging="512"/>
        <w:spacing w:after="0" w:line="189"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Company has an unfunded loan or investment commitment to the portfolio company at December 31, 2021 (See Note 2).</w:t>
      </w:r>
    </w:p>
    <w:p>
      <w:pPr>
        <w:jc w:val="both"/>
        <w:ind w:left="520" w:hanging="512"/>
        <w:spacing w:after="0" w:line="211" w:lineRule="auto"/>
        <w:tabs>
          <w:tab w:leader="none" w:pos="520" w:val="left"/>
        </w:tabs>
        <w:numPr>
          <w:ilvl w:val="0"/>
          <w:numId w:val="69"/>
        </w:numPr>
        <w:rPr>
          <w:rFonts w:ascii="Arial" w:cs="Arial" w:eastAsia="Arial" w:hAnsi="Arial"/>
          <w:sz w:val="16"/>
          <w:szCs w:val="16"/>
          <w:b w:val="1"/>
          <w:bCs w:val="1"/>
          <w:color w:val="auto"/>
          <w:vertAlign w:val="superscript"/>
        </w:rPr>
      </w:pPr>
      <w:r>
        <w:rPr>
          <w:rFonts w:ascii="Arial" w:cs="Arial" w:eastAsia="Arial" w:hAnsi="Arial"/>
          <w:sz w:val="12"/>
          <w:szCs w:val="12"/>
          <w:color w:val="auto"/>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520" w:hanging="512"/>
        <w:spacing w:after="0" w:line="185"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equity investment is income producing, based on rate disclosed.</w:t>
      </w:r>
    </w:p>
    <w:p>
      <w:pPr>
        <w:ind w:left="520" w:right="20" w:hanging="512"/>
        <w:spacing w:after="0" w:line="217" w:lineRule="auto"/>
        <w:tabs>
          <w:tab w:leader="none" w:pos="52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spacing w:after="0" w:line="1" w:lineRule="exact"/>
        <w:rPr>
          <w:rFonts w:ascii="Arial" w:cs="Arial" w:eastAsia="Arial" w:hAnsi="Arial"/>
          <w:sz w:val="15"/>
          <w:szCs w:val="15"/>
          <w:b w:val="1"/>
          <w:bCs w:val="1"/>
          <w:color w:val="auto"/>
          <w:vertAlign w:val="superscript"/>
        </w:rPr>
      </w:pPr>
    </w:p>
    <w:p>
      <w:pPr>
        <w:ind w:left="520" w:hanging="512"/>
        <w:spacing w:after="0" w:line="201" w:lineRule="auto"/>
        <w:tabs>
          <w:tab w:leader="none" w:pos="520" w:val="left"/>
        </w:tabs>
        <w:numPr>
          <w:ilvl w:val="0"/>
          <w:numId w:val="69"/>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w:t>
      </w:r>
    </w:p>
    <w:p>
      <w:pPr>
        <w:ind w:left="520" w:hanging="512"/>
        <w:spacing w:after="0" w:line="180" w:lineRule="auto"/>
        <w:tabs>
          <w:tab w:leader="none" w:pos="520" w:val="left"/>
        </w:tabs>
        <w:numPr>
          <w:ilvl w:val="0"/>
          <w:numId w:val="69"/>
        </w:numPr>
        <w:rPr>
          <w:rFonts w:ascii="Arial" w:cs="Arial" w:eastAsia="Arial" w:hAnsi="Arial"/>
          <w:sz w:val="16"/>
          <w:szCs w:val="16"/>
          <w:b w:val="1"/>
          <w:bCs w:val="1"/>
          <w:color w:val="auto"/>
          <w:vertAlign w:val="superscript"/>
        </w:rPr>
      </w:pPr>
      <w:r>
        <w:rPr>
          <w:rFonts w:ascii="Arial" w:cs="Arial" w:eastAsia="Arial" w:hAnsi="Arial"/>
          <w:sz w:val="12"/>
          <w:szCs w:val="12"/>
          <w:color w:val="auto"/>
        </w:rPr>
        <w:t>All or a portion of this security is pledged as collateral under the KeyBank Credit Facility and held through the Company’s wholly-owned subsidiary, Capitala Business Lending, LLC.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w:t>
      </w:r>
    </w:p>
    <w:p>
      <w:pPr>
        <w:spacing w:after="0" w:line="140"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231F20"/>
        </w:rPr>
        <w:t xml:space="preserve">Logan Ridge Finance Corporation </w:t>
      </w:r>
      <w:r>
        <w:rPr>
          <w:rFonts w:ascii="Arial" w:cs="Arial" w:eastAsia="Arial" w:hAnsi="Arial"/>
          <w:sz w:val="14"/>
          <w:szCs w:val="14"/>
          <w:color w:val="000000"/>
        </w:rPr>
        <w:t>(“Logan Ridge”, the “Company”, “we”, “us”, and “our”) is an externally managed non-diversified closed-end management investment company</w:t>
      </w:r>
      <w:r>
        <w:rPr>
          <w:rFonts w:ascii="Arial" w:cs="Arial" w:eastAsia="Arial" w:hAnsi="Arial"/>
          <w:sz w:val="14"/>
          <w:szCs w:val="14"/>
          <w:color w:val="231F20"/>
        </w:rPr>
        <w:t xml:space="preserve"> </w:t>
      </w:r>
      <w:r>
        <w:rPr>
          <w:rFonts w:ascii="Arial" w:cs="Arial" w:eastAsia="Arial" w:hAnsi="Arial"/>
          <w:sz w:val="14"/>
          <w:szCs w:val="14"/>
          <w:color w:val="000000"/>
        </w:rPr>
        <w:t xml:space="preserve">incorporated in Maryland on February 21, 2013. The Company has elected to be regulated as a business development company (“BDC”) under the Investment Company Act of 1940, as amended (the “1940 Act”). In addition, for U.S. federal income tax purposes, the Company has elected to be treated, and intends to comply with the requirements to continue to qualify annually, as a regulated investment company (“RIC”) under Subchapter M of the Internal Revenue Code of 1986, as amended (the “Code”). The Company commenced operations on May 24, 2013 and completed its initial public offering (“IPO”) on September 30, 2013. The Company is managed by </w:t>
      </w:r>
      <w:r>
        <w:rPr>
          <w:rFonts w:ascii="Arial" w:cs="Arial" w:eastAsia="Arial" w:hAnsi="Arial"/>
          <w:sz w:val="14"/>
          <w:szCs w:val="14"/>
          <w:color w:val="231F20"/>
        </w:rPr>
        <w:t>Mount Logan Management LLC</w:t>
      </w:r>
      <w:r>
        <w:rPr>
          <w:rFonts w:ascii="Arial" w:cs="Arial" w:eastAsia="Arial" w:hAnsi="Arial"/>
          <w:sz w:val="14"/>
          <w:szCs w:val="14"/>
          <w:color w:val="000000"/>
        </w:rPr>
        <w:t xml:space="preserve"> (the “Adviser”), an investment adviser that is registered as an investment adviser under the Investment Advisers Act of 1940, as amended, and an affiliate of BC Partners LLP (“BC Partners”). </w:t>
      </w:r>
      <w:r>
        <w:rPr>
          <w:rFonts w:ascii="Arial" w:cs="Arial" w:eastAsia="Arial" w:hAnsi="Arial"/>
          <w:sz w:val="14"/>
          <w:szCs w:val="14"/>
          <w:color w:val="231F20"/>
        </w:rPr>
        <w:t>BC Partners Management LLC</w:t>
      </w:r>
      <w:r>
        <w:rPr>
          <w:rFonts w:ascii="Arial" w:cs="Arial" w:eastAsia="Arial" w:hAnsi="Arial"/>
          <w:sz w:val="14"/>
          <w:szCs w:val="14"/>
          <w:color w:val="000000"/>
        </w:rPr>
        <w:t xml:space="preserve"> (the “Administrator”), also an affiliate of BC Partners, provides administrative services necessary for the Company to operate.</w:t>
      </w:r>
    </w:p>
    <w:p>
      <w:pPr>
        <w:spacing w:after="0" w:line="104"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0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 xml:space="preserve">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w:t>
      </w:r>
      <w:r>
        <w:rPr>
          <w:rFonts w:ascii="Arial" w:cs="Arial" w:eastAsia="Arial" w:hAnsi="Arial"/>
          <w:sz w:val="13"/>
          <w:szCs w:val="13"/>
          <w:color w:val="231F20"/>
        </w:rPr>
        <w:t>On June 10, 2021, Fund</w:t>
      </w:r>
      <w:r>
        <w:rPr>
          <w:rFonts w:ascii="Arial" w:cs="Arial" w:eastAsia="Arial" w:hAnsi="Arial"/>
          <w:sz w:val="13"/>
          <w:szCs w:val="13"/>
          <w:color w:val="auto"/>
        </w:rPr>
        <w:t xml:space="preserve"> </w:t>
      </w:r>
      <w:r>
        <w:rPr>
          <w:rFonts w:ascii="Arial" w:cs="Arial" w:eastAsia="Arial" w:hAnsi="Arial"/>
          <w:sz w:val="13"/>
          <w:szCs w:val="13"/>
          <w:color w:val="231F20"/>
        </w:rPr>
        <w:t>III repaid its SBA-guaranteed debentures and relinquished its SBIC license. Accordingly, as of December 31, 2022 and 2021, there were no SBA-guaranteed debentures outstanding.</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 xml:space="preserve">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7 for more details about the KeyBank Credit Facility. The financial statements of CBL are consolidated with those of </w:t>
      </w:r>
      <w:r>
        <w:rPr>
          <w:rFonts w:ascii="Arial" w:cs="Arial" w:eastAsia="Arial" w:hAnsi="Arial"/>
          <w:sz w:val="14"/>
          <w:szCs w:val="14"/>
          <w:color w:val="231F20"/>
        </w:rPr>
        <w:t>Logan Ridge Finance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Stock Split</w:t>
      </w:r>
    </w:p>
    <w:p>
      <w:pPr>
        <w:spacing w:after="0" w:line="14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9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40"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1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0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4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accompanying consolidated financial statements have been prepared in accordance with U.S. generally accepted accounting principles (“U.S. GAAP”) pursuant to the requirements for reporting on Form 10-K and Regulation S-X, as appropriate. These consolidated financial statements reflect adjustments that in the opinion of the Company are necessary for the fair presentation of the financial position and results of operations as of and for the periods presented herein. The Company is considered an investment company as defined in Accounting Standards Codification (“ASC”) Topic 946 — Financial Services — Investment Companies (“ASC 946”) and therefore applies the accounting and reporting guidance applicable to investment companies. The Company has evaluated subsequent events through the date of issuance of the consolidated financial statements.</w:t>
      </w:r>
    </w:p>
    <w:p>
      <w:pPr>
        <w:spacing w:after="0" w:line="11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Company’s financial statements as of December 31, 2022 and 2021 and for the years ended December 31, 2022, 2021 and 2020 are presented on a consolidated basis. The consolidated financial statements of the Company include the accounts of the Company and its wholly owned subsidiaries, including Fund II, Fund III, CBL, and the Taxable Subsidiaries.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in the Preparation of Financial Statements</w:t>
      </w:r>
    </w:p>
    <w:p>
      <w:pPr>
        <w:spacing w:after="0" w:line="12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Classification</w:t>
      </w:r>
    </w:p>
    <w:p>
      <w:pPr>
        <w:spacing w:after="0" w:line="127"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or more of the voting securities of such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Investments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spacing w:after="0" w:line="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spacing w:after="0" w:line="93"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Adviser undertakes a multi-step valuation process, which includes, among other procedures, the following:</w:t>
      </w:r>
    </w:p>
    <w:p>
      <w:pPr>
        <w:spacing w:after="0" w:line="82" w:lineRule="exact"/>
        <w:rPr>
          <w:sz w:val="20"/>
          <w:szCs w:val="20"/>
          <w:color w:val="auto"/>
        </w:rPr>
      </w:pPr>
    </w:p>
    <w:p>
      <w:pPr>
        <w:jc w:val="both"/>
        <w:ind w:left="780" w:hanging="263"/>
        <w:spacing w:after="0" w:line="238"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spacing w:after="0" w:line="47" w:lineRule="exact"/>
        <w:rPr>
          <w:rFonts w:ascii="Arial" w:cs="Arial" w:eastAsia="Arial" w:hAnsi="Arial"/>
          <w:sz w:val="14"/>
          <w:szCs w:val="14"/>
          <w:color w:val="auto"/>
        </w:rPr>
      </w:pPr>
    </w:p>
    <w:p>
      <w:pPr>
        <w:ind w:left="780" w:hanging="263"/>
        <w:spacing w:after="0"/>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Preliminary valuations are reviewed and discussed with management of the Adviser and investment professionals; and</w:t>
      </w:r>
    </w:p>
    <w:p>
      <w:pPr>
        <w:spacing w:after="0" w:line="55"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spacing w:after="0" w:line="1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1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the inputs used to measure these fair values into the following hierarchy as defined by current accounting guidance: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Unadjusted quoted prices in active markets for identical assets or liabilities that are accessible to the Company.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Level 2: Quoted prices for similar assets or liabilities in active markets, or quoted prices for identical or similar assets or liabilities in markets that are not active, or other observable inputs other than quoted prices.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 Significant inputs that are unobservable for an asset or liability.</w:t>
      </w:r>
    </w:p>
    <w:p>
      <w:pPr>
        <w:spacing w:after="0" w:line="13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2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3"/>
          <w:szCs w:val="13"/>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3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 loans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04"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 possible</w:t>
      </w:r>
      <w:r>
        <w:rPr>
          <w:rFonts w:ascii="Arial" w:cs="Arial" w:eastAsia="Arial" w:hAnsi="Arial"/>
          <w:sz w:val="14"/>
          <w:szCs w:val="14"/>
          <w:i w:val="1"/>
          <w:iCs w:val="1"/>
          <w:color w:val="auto"/>
        </w:rPr>
        <w:t xml:space="preserve"> </w:t>
      </w:r>
      <w:r>
        <w:rPr>
          <w:rFonts w:ascii="Arial" w:cs="Arial" w:eastAsia="Arial" w:hAnsi="Arial"/>
          <w:sz w:val="14"/>
          <w:szCs w:val="14"/>
          <w:color w:val="auto"/>
        </w:rPr>
        <w:t>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Gains and losses on investment sales:  </w:t>
      </w:r>
      <w:r>
        <w:rPr>
          <w:rFonts w:ascii="Arial" w:cs="Arial" w:eastAsia="Arial" w:hAnsi="Arial"/>
          <w:sz w:val="14"/>
          <w:szCs w:val="14"/>
          <w:color w:val="auto"/>
        </w:rPr>
        <w:t>Realized gains and losses on investments are recognized using the specific identification method.</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 that</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 income</w:t>
      </w:r>
      <w:r>
        <w:rPr>
          <w:rFonts w:ascii="Arial" w:cs="Arial" w:eastAsia="Arial" w:hAnsi="Arial"/>
          <w:sz w:val="14"/>
          <w:szCs w:val="14"/>
          <w:i w:val="1"/>
          <w:iCs w:val="1"/>
          <w:color w:val="auto"/>
        </w:rPr>
        <w:t xml:space="preserve"> </w:t>
      </w:r>
      <w:r>
        <w:rPr>
          <w:rFonts w:ascii="Arial" w:cs="Arial" w:eastAsia="Arial" w:hAnsi="Arial"/>
          <w:sz w:val="14"/>
          <w:szCs w:val="14"/>
          <w:color w:val="auto"/>
        </w:rPr>
        <w:t>upon prepayment of the loan.</w:t>
      </w:r>
    </w:p>
    <w:p>
      <w:pPr>
        <w:spacing w:after="0" w:line="106" w:lineRule="exact"/>
        <w:rPr>
          <w:sz w:val="20"/>
          <w:szCs w:val="20"/>
          <w:color w:val="auto"/>
        </w:rPr>
      </w:pPr>
    </w:p>
    <w:p>
      <w:pPr>
        <w:jc w:val="both"/>
        <w:ind w:firstLine="509"/>
        <w:spacing w:after="0" w:line="335" w:lineRule="auto"/>
        <w:rPr>
          <w:sz w:val="20"/>
          <w:szCs w:val="20"/>
          <w:color w:val="auto"/>
        </w:rPr>
      </w:pPr>
      <w:r>
        <w:rPr>
          <w:rFonts w:ascii="Arial" w:cs="Arial" w:eastAsia="Arial" w:hAnsi="Arial"/>
          <w:sz w:val="12"/>
          <w:szCs w:val="12"/>
          <w:i w:val="1"/>
          <w:iCs w:val="1"/>
          <w:color w:val="auto"/>
        </w:rPr>
        <w:t xml:space="preserve">Other income: </w:t>
      </w:r>
      <w:r>
        <w:rPr>
          <w:rFonts w:ascii="Arial" w:cs="Arial" w:eastAsia="Arial" w:hAnsi="Arial"/>
          <w:sz w:val="12"/>
          <w:szCs w:val="12"/>
          <w:color w:val="auto"/>
        </w:rPr>
        <w:t>Origination fees (to the extent services are performed to earn such income), amendment fees, consent fees, and other fees associated with investments in portfolio</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are recognized as income when they are earned. Prepayment penalties received by the Company for debt instruments repaid prior to maturity date are recorded as income upon receipt.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 Expenses</w:t>
      </w:r>
    </w:p>
    <w:p>
      <w:pPr>
        <w:spacing w:after="0" w:line="1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Financing Fees</w:t>
      </w:r>
    </w:p>
    <w:p>
      <w:pPr>
        <w:spacing w:after="0" w:line="12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 xml:space="preserve">Costs incurred to issue the Company’s debt obligations are capitalized and are amortized over the term of the debt agreements under the effective interest method. </w:t>
      </w:r>
      <w:r>
        <w:rPr>
          <w:rFonts w:ascii="Arial" w:cs="Arial" w:eastAsia="Arial" w:hAnsi="Arial"/>
          <w:sz w:val="14"/>
          <w:szCs w:val="14"/>
          <w:color w:val="231F20"/>
        </w:rPr>
        <w:t>Deferred financing fees</w:t>
      </w:r>
      <w:r>
        <w:rPr>
          <w:rFonts w:ascii="Arial" w:cs="Arial" w:eastAsia="Arial" w:hAnsi="Arial"/>
          <w:sz w:val="14"/>
          <w:szCs w:val="14"/>
          <w:color w:val="auto"/>
        </w:rPr>
        <w:t xml:space="preserve"> </w:t>
      </w:r>
      <w:r>
        <w:rPr>
          <w:rFonts w:ascii="Arial" w:cs="Arial" w:eastAsia="Arial" w:hAnsi="Arial"/>
          <w:sz w:val="14"/>
          <w:szCs w:val="14"/>
          <w:color w:val="231F20"/>
        </w:rPr>
        <w:t>are presented as a direct deduction from the carrying amount of the corresponding debt liability in the Statement of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14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Retroactive Adjustments for Reverse Stock Split</w:t>
      </w:r>
    </w:p>
    <w:p>
      <w:pPr>
        <w:spacing w:after="0" w:line="14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and 2021, the Company had the following unfunded commitments to existing portfolio companies (dollars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338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Accordion Partners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Accordion Partners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1,531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Beta Plus Technologies (Revolver)</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4"/>
                <w:szCs w:val="14"/>
                <w:color w:val="auto"/>
              </w:rPr>
              <w:t>Bradshaw International, Inc.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Critical Nurse Staffing,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4"/>
                <w:szCs w:val="14"/>
                <w:color w:val="auto"/>
              </w:rPr>
              <w:t>Critical Nurse Staffing,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Dentive,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Dentive,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Epic Staffing Group</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Great Lakes Funding II LLC - Series A</w:t>
            </w:r>
          </w:p>
        </w:tc>
        <w:tc>
          <w:tcPr>
            <w:tcW w:w="3480" w:type="dxa"/>
            <w:vAlign w:val="bottom"/>
          </w:tcPr>
          <w:p>
            <w:pPr>
              <w:ind w:left="480"/>
              <w:spacing w:after="0"/>
              <w:rPr>
                <w:sz w:val="20"/>
                <w:szCs w:val="20"/>
                <w:color w:val="auto"/>
              </w:rPr>
            </w:pPr>
            <w:r>
              <w:rPr>
                <w:rFonts w:ascii="Arial" w:cs="Arial" w:eastAsia="Arial" w:hAnsi="Arial"/>
                <w:sz w:val="14"/>
                <w:szCs w:val="14"/>
                <w:color w:val="auto"/>
              </w:rPr>
              <w:t>Joint Venture</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GreenPark Infrastructure, LLC - Series M-1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Common Stock and Membership Units</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J5 Infrastructure Partners,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Keg Logistics LLC (Revolver)</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20"/>
              <w:spacing w:after="0"/>
              <w:rPr>
                <w:sz w:val="20"/>
                <w:szCs w:val="20"/>
                <w:color w:val="auto"/>
              </w:rPr>
            </w:pPr>
            <w:r>
              <w:rPr>
                <w:rFonts w:ascii="Arial" w:cs="Arial" w:eastAsia="Arial" w:hAnsi="Arial"/>
                <w:sz w:val="14"/>
                <w:szCs w:val="14"/>
                <w:color w:val="auto"/>
              </w:rPr>
              <w:t>Marble Point Credit Management LLC (Revolver)</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Premier Imaging, LLC</w:t>
            </w:r>
            <w:r>
              <w:rPr>
                <w:rFonts w:ascii="Arial" w:cs="Arial" w:eastAsia="Arial" w:hAnsi="Arial"/>
                <w:sz w:val="19"/>
                <w:szCs w:val="19"/>
                <w:color w:val="auto"/>
                <w:vertAlign w:val="superscript"/>
              </w:rPr>
              <w:t>(1)</w:t>
            </w:r>
          </w:p>
        </w:tc>
        <w:tc>
          <w:tcPr>
            <w:tcW w:w="34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20"/>
              <w:spacing w:after="0" w:line="175" w:lineRule="exact"/>
              <w:rPr>
                <w:sz w:val="20"/>
                <w:szCs w:val="20"/>
                <w:color w:val="auto"/>
              </w:rPr>
            </w:pPr>
            <w:r>
              <w:rPr>
                <w:rFonts w:ascii="Arial" w:cs="Arial" w:eastAsia="Arial" w:hAnsi="Arial"/>
                <w:sz w:val="14"/>
                <w:szCs w:val="14"/>
                <w:color w:val="auto"/>
              </w:rPr>
              <w:t>Wealth Enhancement Group, LLC</w:t>
            </w:r>
            <w:r>
              <w:rPr>
                <w:rFonts w:ascii="Arial" w:cs="Arial" w:eastAsia="Arial" w:hAnsi="Arial"/>
                <w:sz w:val="19"/>
                <w:szCs w:val="19"/>
                <w:color w:val="auto"/>
                <w:vertAlign w:val="superscript"/>
              </w:rPr>
              <w:t>(1)</w:t>
            </w:r>
          </w:p>
        </w:tc>
        <w:tc>
          <w:tcPr>
            <w:tcW w:w="3480" w:type="dxa"/>
            <w:vAlign w:val="bottom"/>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3,275</w:t>
            </w:r>
          </w:p>
        </w:tc>
        <w:tc>
          <w:tcPr>
            <w:tcW w:w="100" w:type="dxa"/>
            <w:vAlign w:val="bottom"/>
          </w:tcPr>
          <w:p>
            <w:pPr>
              <w:spacing w:after="0"/>
              <w:rPr>
                <w:sz w:val="15"/>
                <w:szCs w:val="15"/>
                <w:color w:val="auto"/>
              </w:rPr>
            </w:pPr>
          </w:p>
        </w:tc>
      </w:tr>
      <w:tr>
        <w:trPr>
          <w:trHeight w:val="176"/>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Wealth Enhancement Group, LLC (Revolver)</w:t>
            </w:r>
          </w:p>
        </w:tc>
        <w:tc>
          <w:tcPr>
            <w:tcW w:w="34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First Lien/Senior Secured Debt</w:t>
            </w:r>
          </w:p>
        </w:tc>
        <w:tc>
          <w:tcPr>
            <w:tcW w:w="26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380" w:type="dxa"/>
            <w:vAlign w:val="bottom"/>
          </w:tcPr>
          <w:p>
            <w:pPr>
              <w:ind w:left="20"/>
              <w:spacing w:after="0" w:line="155" w:lineRule="exact"/>
              <w:rPr>
                <w:sz w:val="20"/>
                <w:szCs w:val="20"/>
                <w:color w:val="auto"/>
              </w:rPr>
            </w:pPr>
            <w:r>
              <w:rPr>
                <w:rFonts w:ascii="Arial" w:cs="Arial" w:eastAsia="Arial" w:hAnsi="Arial"/>
                <w:sz w:val="14"/>
                <w:szCs w:val="14"/>
                <w:color w:val="auto"/>
              </w:rPr>
              <w:t>Total Unfunded Commitments</w:t>
            </w:r>
          </w:p>
        </w:tc>
        <w:tc>
          <w:tcPr>
            <w:tcW w:w="3480" w:type="dxa"/>
            <w:vAlign w:val="bottom"/>
          </w:tcPr>
          <w:p>
            <w:pPr>
              <w:spacing w:after="0"/>
              <w:rPr>
                <w:sz w:val="14"/>
                <w:szCs w:val="14"/>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13,787</w:t>
            </w:r>
          </w:p>
        </w:tc>
        <w:tc>
          <w:tcPr>
            <w:tcW w:w="38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820" w:type="dxa"/>
            <w:vAlign w:val="bottom"/>
          </w:tcPr>
          <w:p>
            <w:pPr>
              <w:jc w:val="right"/>
              <w:spacing w:after="0" w:line="155" w:lineRule="exact"/>
              <w:rPr>
                <w:sz w:val="20"/>
                <w:szCs w:val="20"/>
                <w:color w:val="auto"/>
              </w:rPr>
            </w:pPr>
            <w:r>
              <w:rPr>
                <w:rFonts w:ascii="Arial" w:cs="Arial" w:eastAsia="Arial" w:hAnsi="Arial"/>
                <w:sz w:val="14"/>
                <w:szCs w:val="14"/>
                <w:color w:val="auto"/>
              </w:rPr>
              <w:t>25,138</w:t>
            </w:r>
          </w:p>
        </w:tc>
        <w:tc>
          <w:tcPr>
            <w:tcW w:w="10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-144780</wp:posOffset>
            </wp:positionV>
            <wp:extent cx="6858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7"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6"/>
          <w:szCs w:val="16"/>
          <w:color w:val="auto"/>
          <w:vertAlign w:val="superscript"/>
        </w:rPr>
      </w:pPr>
      <w:r>
        <w:rPr>
          <w:rFonts w:ascii="Arial" w:cs="Arial" w:eastAsia="Arial" w:hAnsi="Arial"/>
          <w:sz w:val="12"/>
          <w:szCs w:val="12"/>
          <w:color w:val="auto"/>
        </w:rPr>
        <w:t>Delayed-draw term loan.</w:t>
      </w:r>
    </w:p>
    <w:p>
      <w:pPr>
        <w:spacing w:after="0" w:line="12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9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management’s opinion, no direct losses with respect to litigation contingencies were probable as of December 31, 2022 and 2021.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40"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tax years ended December 31, 2022, 2021, 2020 and 2019 remain subject to examination by U.S. federal, state, and local tax authorities. No material interest expense or penalties have been assessed for the years ended December 31, 2022, 2021 and 2020. If the Company was required to recognize interest and penalties, if any, related to unrecognized tax benefits this would be recognized as income tax expense in the consolidated statements of operations.</w:t>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December 31, 2022 and 2021, the Company recorded a net deferred tax asset of zero, respectively. For the years ended December 31, 2022, 2021 and 2020, the Company recorded a tax provision (benefit) of $0.1 million, zero and zero, respectively. As of December 31, 2022 and 2021, the valuation allowance on the Company’s deferred tax asset was $4.0 million and $2.5 million, respectively. For the years ended December 31, 2022, 2021 and 2020, the Company recognized an increase (decrease) in the valuation allowance of $1.5 million, $(2.1) million, and $1.4 million, respectively.</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For income tax purposes, the Company has paid distributions on its shares of common stock from ordinary income in the amount of zero, zero, and $0.7 million during the tax years ended December 31, 2022, 2021 and 2020, respectively. For income tax purposes, the Company has paid distributions on its shares of common stock that were accounted for as a return of capital in the amount of zero, zero, and $3.4 million for the tax years ended December 31, 2022, 2021 and 2020, respectively.</w:t>
      </w:r>
    </w:p>
    <w:p>
      <w:pPr>
        <w:spacing w:after="0" w:line="10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ASC Topic 740 — Income Taxes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2022 and 2021, there were no uncertain tax positions.</w:t>
      </w:r>
    </w:p>
    <w:p>
      <w:pPr>
        <w:spacing w:after="0" w:line="116"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1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2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Investment Risk, Concentration of Credit Risk and Liquidity Risk</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Investment Adviser may attempt to minimize this risk by maintaining low debt-to-liquidation values with each debt investment and the collateral underlying the debt investment.</w:t>
      </w:r>
    </w:p>
    <w:p>
      <w:pPr>
        <w:spacing w:after="0" w:line="14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Recent Accounting Pronouncements</w:t>
      </w:r>
    </w:p>
    <w:p>
      <w:pPr>
        <w:spacing w:after="0" w:line="12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In June 2022, the Financial Accounting Standards Board issued Accounting Standards Update 2022-03, Fair Value Measurement (Topic 820) – Fair Value Measurement of Equity Securities Subject to Contractual Sale Restrictions (ASU 2022-03). The accounting standard update clarifies the guidance in Topic 820 when measuring the fair value of an equity security subject to contractual restrictions that prohibit the sale of an equity security and introduces new disclosure requirements for equity securities subject to contractual sale restrictions and measured at fair value in accordance with Topic 820. The amendments are effective for fiscal years beginning after December 15, 2023, and interim periods within those fiscal years. The Company has evaluated the impact of adopting this new accounting standard and the impact of the adoption is not material to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Investments and Fair Value Measurements</w:t>
      </w:r>
    </w:p>
    <w:p>
      <w:pPr>
        <w:spacing w:after="0" w:line="14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December 31, 2022, our portfolio consisted of investments in 59 portfolio companies with a fair value of approximately $203.6 million.</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20"/>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ind w:right="20"/>
        <w:spacing w:after="0" w:line="233" w:lineRule="auto"/>
        <w:rPr>
          <w:sz w:val="20"/>
          <w:szCs w:val="20"/>
          <w:color w:val="auto"/>
        </w:rPr>
      </w:pPr>
      <w:r>
        <w:rPr>
          <w:rFonts w:ascii="Arial" w:cs="Arial" w:eastAsia="Arial" w:hAnsi="Arial"/>
          <w:sz w:val="14"/>
          <w:szCs w:val="14"/>
          <w:color w:val="auto"/>
        </w:rPr>
        <w:t>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2022, 1.9%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104" w:lineRule="exact"/>
        <w:rPr>
          <w:sz w:val="20"/>
          <w:szCs w:val="20"/>
          <w:color w:val="auto"/>
        </w:rPr>
      </w:pPr>
    </w:p>
    <w:p>
      <w:pPr>
        <w:jc w:val="both"/>
        <w:ind w:right="40" w:firstLine="509"/>
        <w:spacing w:after="0" w:line="290"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84"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3"/>
          <w:szCs w:val="13"/>
          <w:color w:val="auto"/>
        </w:rPr>
        <w:t>During the year ended December 31, 2022, the Company made approximately $107.7 million of investments and had approximately $94.0 million in repayments and sales, resulting in net deployment of approximately $13.7 million for the year. During the year ended December 31, 2021, the Company made approximately $89.4 million of investments and had approximately $169.6 million in repayments and sales, resulting in net repayments and sales of approximately $80.2 million for the year. During the year ended December 31, 2020, the Company made approximately $21.1 million of investments and had approximately $75.8 million in repayments and sales, resulting in net repayments and sales of approximately $54.7 million for the year.</w:t>
      </w:r>
    </w:p>
    <w:p>
      <w:pPr>
        <w:spacing w:after="0" w:line="107"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As of December 31, 2022, the Company’s Adviser approved the fair value of the Company’s investment portfolio of approximately $203.6 million in good faith in accordance with the Company’s valuation procedures. The Company’s Adviser approved the fair value of the Company’s investment portfolio as of December 31, 2022 with input from third-party valuation firms and the Investment Adviser, as valuation designee, based on information known or knowable as of the valuation date, including trailing and forward looking data.</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composition of our investments as of December 31, 2022, at amortized cost and fair value was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4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143,047</w:t>
            </w:r>
          </w:p>
        </w:tc>
        <w:tc>
          <w:tcPr>
            <w:tcW w:w="26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136,896</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8,283</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3.8 %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6,464</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26,571</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12.0 %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25,851</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6,185</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2.8 %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4,972</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0.2 %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36,016</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16.3 %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29,006</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14.2 %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220,516</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203,592</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composition of our investments as of December 31, 2021, at amortized cost and fair value was as follows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4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6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30,048</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15.8 %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30,190</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2.6 %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51,717</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27.2 %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64,698</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15"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3"/>
          <w:szCs w:val="13"/>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01"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4" w:lineRule="exact"/>
        <w:rPr>
          <w:sz w:val="20"/>
          <w:szCs w:val="20"/>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Level 1 — Valuations based on quoted prices in active markets for identical assets or liabilities that the Company has the ability to access.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Level 2 — Valuations based on inputs other than quoted prices in active markets, which are either directly or indirectly observable.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Level 3 — Valuations based on inputs that are unobservable and significant to the overall fair value measurement.</w:t>
      </w:r>
    </w:p>
    <w:p>
      <w:pPr>
        <w:spacing w:after="0" w:line="123" w:lineRule="exact"/>
        <w:rPr>
          <w:sz w:val="20"/>
          <w:szCs w:val="20"/>
          <w:color w:val="auto"/>
        </w:rPr>
      </w:pPr>
    </w:p>
    <w:p>
      <w:pPr>
        <w:jc w:val="both"/>
        <w:ind w:right="20" w:firstLine="509"/>
        <w:spacing w:after="0" w:line="290" w:lineRule="auto"/>
        <w:rPr>
          <w:sz w:val="20"/>
          <w:szCs w:val="20"/>
          <w:color w:val="auto"/>
        </w:rPr>
      </w:pPr>
      <w:r>
        <w:rPr>
          <w:rFonts w:ascii="Arial" w:cs="Arial" w:eastAsia="Arial" w:hAnsi="Arial"/>
          <w:sz w:val="13"/>
          <w:szCs w:val="13"/>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84"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the fair value measurements of investments, by major class, as of December 31, 2022 (dollars in thousands), according to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Fair Value Measurements</w:t>
            </w: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78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136,896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136,896</w:t>
            </w:r>
          </w:p>
        </w:tc>
        <w:tc>
          <w:tcPr>
            <w:tcW w:w="100" w:type="dxa"/>
            <w:vAlign w:val="bottom"/>
            <w:shd w:val="clear" w:color="auto" w:fill="CFF0FC"/>
          </w:tcPr>
          <w:p>
            <w:pPr>
              <w:spacing w:after="0"/>
              <w:rPr>
                <w:sz w:val="14"/>
                <w:szCs w:val="14"/>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7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6,464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25,851</w:t>
            </w: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7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4,972</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Equity</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29,006</w:t>
            </w:r>
          </w:p>
        </w:tc>
        <w:tc>
          <w:tcPr>
            <w:tcW w:w="100" w:type="dxa"/>
            <w:vAlign w:val="bottom"/>
          </w:tcPr>
          <w:p>
            <w:pPr>
              <w:spacing w:after="0"/>
              <w:rPr>
                <w:sz w:val="15"/>
                <w:szCs w:val="15"/>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203,189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203,592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the fair value measurements of investments, by major class, as of December 31, 2021 (dollars in thousands), according to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100" w:type="dxa"/>
            <w:vAlign w:val="bottom"/>
            <w:shd w:val="clear" w:color="auto" w:fill="CFF0FC"/>
          </w:tcPr>
          <w:p>
            <w:pPr>
              <w:spacing w:after="0"/>
              <w:rPr>
                <w:sz w:val="14"/>
                <w:szCs w:val="14"/>
                <w:color w:val="auto"/>
              </w:rPr>
            </w:pPr>
          </w:p>
        </w:tc>
      </w:tr>
      <w:tr>
        <w:trPr>
          <w:trHeight w:val="176"/>
        </w:trPr>
        <w:tc>
          <w:tcPr>
            <w:tcW w:w="59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88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30,190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30,190</w:t>
            </w:r>
          </w:p>
        </w:tc>
        <w:tc>
          <w:tcPr>
            <w:tcW w:w="100" w:type="dxa"/>
            <w:vAlign w:val="bottom"/>
          </w:tcPr>
          <w:p>
            <w:pPr>
              <w:spacing w:after="0"/>
              <w:rPr>
                <w:sz w:val="15"/>
                <w:szCs w:val="15"/>
                <w:color w:val="auto"/>
              </w:rPr>
            </w:pPr>
          </w:p>
        </w:tc>
      </w:tr>
      <w:tr>
        <w:trPr>
          <w:trHeight w:val="175"/>
        </w:trPr>
        <w:tc>
          <w:tcPr>
            <w:tcW w:w="5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00" w:type="dxa"/>
            <w:vAlign w:val="bottom"/>
            <w:shd w:val="clear" w:color="auto" w:fill="CFF0FC"/>
          </w:tcPr>
          <w:p>
            <w:pPr>
              <w:spacing w:after="0"/>
              <w:rPr>
                <w:sz w:val="15"/>
                <w:szCs w:val="15"/>
                <w:color w:val="auto"/>
              </w:rPr>
            </w:pPr>
          </w:p>
        </w:tc>
      </w:tr>
      <w:tr>
        <w:trPr>
          <w:trHeight w:val="176"/>
        </w:trPr>
        <w:tc>
          <w:tcPr>
            <w:tcW w:w="5920" w:type="dxa"/>
            <w:vAlign w:val="bottom"/>
          </w:tcPr>
          <w:p>
            <w:pPr>
              <w:ind w:left="20"/>
              <w:spacing w:after="0"/>
              <w:rPr>
                <w:sz w:val="20"/>
                <w:szCs w:val="20"/>
                <w:color w:val="auto"/>
              </w:rPr>
            </w:pPr>
            <w:r>
              <w:rPr>
                <w:rFonts w:ascii="Arial" w:cs="Arial" w:eastAsia="Arial" w:hAnsi="Arial"/>
                <w:sz w:val="14"/>
                <w:szCs w:val="14"/>
                <w:color w:val="auto"/>
              </w:rPr>
              <w:t>Equity</w:t>
            </w: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100" w:type="dxa"/>
            <w:vAlign w:val="bottom"/>
          </w:tcPr>
          <w:p>
            <w:pPr>
              <w:spacing w:after="0"/>
              <w:rPr>
                <w:sz w:val="15"/>
                <w:szCs w:val="15"/>
                <w:color w:val="auto"/>
              </w:rPr>
            </w:pPr>
          </w:p>
        </w:tc>
      </w:tr>
      <w:tr>
        <w:trPr>
          <w:trHeight w:val="209"/>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provides a reconciliation of the beginning and ending balances for investments that use Level 3 inputs for the year ended December 31, 2022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Second Lien</w:t>
            </w:r>
          </w:p>
        </w:tc>
        <w:tc>
          <w:tcPr>
            <w:tcW w:w="80" w:type="dxa"/>
            <w:vAlign w:val="bottom"/>
          </w:tcPr>
          <w:p>
            <w:pPr>
              <w:spacing w:after="0"/>
              <w:rPr>
                <w:sz w:val="14"/>
                <w:szCs w:val="1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Subordinated</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Collateralized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Loan</w:t>
            </w:r>
          </w:p>
        </w:tc>
        <w:tc>
          <w:tcPr>
            <w:tcW w:w="20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Obligations</w:t>
            </w: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30,190</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7,717</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56,981</w:t>
            </w:r>
          </w:p>
        </w:tc>
        <w:tc>
          <w:tcPr>
            <w:tcW w:w="2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Repayments/sales</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(41,915 )</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(25,297 )</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(816 )</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(25,903 )</w:t>
            </w:r>
          </w:p>
        </w:tc>
        <w:tc>
          <w:tcPr>
            <w:tcW w:w="2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(93,931 )</w:t>
            </w: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80,456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21,272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107,181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original issue discount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(2,007 )</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15,682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(depreciation) appreciation on investments</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(731 )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(1,961 )</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(720 )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(891 )</w:t>
            </w: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(20,317 )</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(24,620 )</w:t>
            </w:r>
          </w:p>
        </w:tc>
        <w:tc>
          <w:tcPr>
            <w:tcW w:w="0" w:type="dxa"/>
            <w:vAlign w:val="bottom"/>
          </w:tcPr>
          <w:p>
            <w:pPr>
              <w:spacing w:after="0"/>
              <w:rPr>
                <w:sz w:val="1"/>
                <w:szCs w:val="1"/>
                <w:color w:val="auto"/>
              </w:rPr>
            </w:pPr>
          </w:p>
        </w:tc>
      </w:tr>
      <w:tr>
        <w:trPr>
          <w:trHeight w:val="169"/>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136,896</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6,464</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25,851</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4,972</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29,006</w:t>
            </w: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203,189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-145415</wp:posOffset>
            </wp:positionV>
            <wp:extent cx="7683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-145415</wp:posOffset>
            </wp:positionV>
            <wp:extent cx="6858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-145415</wp:posOffset>
            </wp:positionV>
            <wp:extent cx="685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-145415</wp:posOffset>
            </wp:positionV>
            <wp:extent cx="6858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-145415</wp:posOffset>
            </wp:positionV>
            <wp:extent cx="6858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provides a reconciliation of the beginning and ending balances for investments that use Level 3 inputs for the year ended December 31, 2021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Second Lien</w:t>
            </w:r>
          </w:p>
        </w:tc>
        <w:tc>
          <w:tcPr>
            <w:tcW w:w="1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Subordinated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2021</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39,209</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67,572</w:t>
            </w: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rPr>
                <w:sz w:val="20"/>
                <w:szCs w:val="20"/>
                <w:color w:val="auto"/>
              </w:rPr>
            </w:pPr>
            <w:r>
              <w:rPr>
                <w:rFonts w:ascii="Arial" w:cs="Arial" w:eastAsia="Arial" w:hAnsi="Arial"/>
                <w:sz w:val="14"/>
                <w:szCs w:val="14"/>
                <w:color w:val="auto"/>
              </w:rPr>
              <w:t>Repayments/sales</w:t>
            </w: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(127,344 )</w:t>
            </w:r>
          </w:p>
        </w:tc>
        <w:tc>
          <w:tcPr>
            <w:tcW w:w="1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(20,066 )</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(21,484 )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(168,894 )</w:t>
            </w: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65,697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10,935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original issue discount</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(20,169 )</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12,705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(7,445 )</w:t>
            </w: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appreciation (depreciation) on investments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(2,313 )</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December 31, 2021</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98,251</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30,190</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5,050</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-145415</wp:posOffset>
            </wp:positionV>
            <wp:extent cx="76835" cy="146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6858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-145415</wp:posOffset>
            </wp:positionV>
            <wp:extent cx="6858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10"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net change in unrealized (depreciation) appreciation on investments held as of December 31, 2022 and 2021, was $(4.3) million and $2.0 million, respectively, and is included in net change in unrealized (depreciation) appreciation on investments on the consolidated statements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valuation techniques and significant unobservable inputs used in recurring Level 3 fair value measurements of assets and (liabilities) as of December 31,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2900" w:type="dxa"/>
            <w:vAlign w:val="bottom"/>
          </w:tcPr>
          <w:p>
            <w:pPr>
              <w:ind w:left="112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2000" w:type="dxa"/>
            <w:vAlign w:val="bottom"/>
          </w:tcPr>
          <w:p>
            <w:pPr>
              <w:ind w:left="580"/>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Range of Input</w:t>
            </w:r>
          </w:p>
        </w:tc>
      </w:tr>
      <w:tr>
        <w:trPr>
          <w:trHeight w:val="189"/>
        </w:trPr>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6"/>
                <w:szCs w:val="16"/>
                <w:color w:val="auto"/>
              </w:rPr>
            </w:pPr>
          </w:p>
        </w:tc>
        <w:tc>
          <w:tcPr>
            <w:tcW w:w="29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Input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88"/>
              <w:spacing w:after="0" w:line="189" w:lineRule="exact"/>
              <w:rPr>
                <w:sz w:val="20"/>
                <w:szCs w:val="20"/>
                <w:color w:val="auto"/>
              </w:rPr>
            </w:pPr>
            <w:r>
              <w:rPr>
                <w:rFonts w:ascii="Arial" w:cs="Arial" w:eastAsia="Arial" w:hAnsi="Arial"/>
                <w:sz w:val="14"/>
                <w:szCs w:val="14"/>
                <w:b w:val="1"/>
                <w:bCs w:val="1"/>
                <w:color w:val="auto"/>
                <w:w w:val="88"/>
              </w:rPr>
              <w:t xml:space="preserve">(Weighted Average) </w:t>
            </w:r>
            <w:r>
              <w:rPr>
                <w:rFonts w:ascii="Arial" w:cs="Arial" w:eastAsia="Arial" w:hAnsi="Arial"/>
                <w:sz w:val="19"/>
                <w:szCs w:val="19"/>
                <w:b w:val="1"/>
                <w:bCs w:val="1"/>
                <w:color w:val="auto"/>
                <w:w w:val="88"/>
                <w:vertAlign w:val="superscript"/>
              </w:rPr>
              <w:t>(2)</w:t>
            </w:r>
          </w:p>
        </w:tc>
      </w:tr>
      <w:tr>
        <w:trPr>
          <w:trHeight w:val="16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4"/>
                <w:szCs w:val="14"/>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4"/>
                <w:szCs w:val="14"/>
                <w:color w:val="auto"/>
              </w:rPr>
              <w:t>Market</w:t>
            </w:r>
          </w:p>
        </w:tc>
        <w:tc>
          <w:tcPr>
            <w:tcW w:w="100" w:type="dxa"/>
            <w:vAlign w:val="bottom"/>
            <w:shd w:val="clear" w:color="auto" w:fill="CFF0FC"/>
          </w:tcPr>
          <w:p>
            <w:pPr>
              <w:spacing w:after="0"/>
              <w:rPr>
                <w:sz w:val="14"/>
                <w:szCs w:val="14"/>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Broker/Dealer Quotes</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N/A</w:t>
            </w:r>
          </w:p>
        </w:tc>
        <w:tc>
          <w:tcPr>
            <w:tcW w:w="1720" w:type="dxa"/>
            <w:vAlign w:val="bottom"/>
            <w:shd w:val="clear" w:color="auto" w:fill="CFF0FC"/>
          </w:tcPr>
          <w:p>
            <w:pPr>
              <w:spacing w:after="0"/>
              <w:rPr>
                <w:sz w:val="14"/>
                <w:szCs w:val="14"/>
                <w:color w:val="auto"/>
              </w:rPr>
            </w:pP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123.5</w:t>
            </w:r>
          </w:p>
        </w:tc>
        <w:tc>
          <w:tcPr>
            <w:tcW w:w="2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6.0% – 30.0% (12.2%)</w:t>
            </w: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4"/>
                <w:szCs w:val="14"/>
                <w:color w:val="auto"/>
              </w:rPr>
              <w:t>Enterprise Market Value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0.4x</w:t>
            </w:r>
          </w:p>
        </w:tc>
        <w:tc>
          <w:tcPr>
            <w:tcW w:w="1720" w:type="dxa"/>
            <w:vAlign w:val="bottom"/>
            <w:shd w:val="clear" w:color="auto" w:fill="CFF0FC"/>
          </w:tcPr>
          <w:p>
            <w:pPr>
              <w:spacing w:after="0"/>
              <w:rPr>
                <w:sz w:val="15"/>
                <w:szCs w:val="15"/>
                <w:color w:val="auto"/>
              </w:rPr>
            </w:pP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Market</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Broker/Dealer Quotes</w:t>
            </w:r>
          </w:p>
        </w:tc>
        <w:tc>
          <w:tcPr>
            <w:tcW w:w="1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N/A</w:t>
            </w:r>
          </w:p>
        </w:tc>
        <w:tc>
          <w:tcPr>
            <w:tcW w:w="1720" w:type="dxa"/>
            <w:vAlign w:val="bottom"/>
          </w:tcPr>
          <w:p>
            <w:pPr>
              <w:spacing w:after="0"/>
              <w:rPr>
                <w:sz w:val="15"/>
                <w:szCs w:val="15"/>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4"/>
                <w:szCs w:val="14"/>
                <w:color w:val="auto"/>
              </w:rPr>
              <w:t>Income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1.6% – 18.7% (16.1%)</w:t>
            </w: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Enterprise Market Value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98"/>
              </w:rPr>
              <w:t>4.7x</w:t>
            </w:r>
          </w:p>
        </w:tc>
        <w:tc>
          <w:tcPr>
            <w:tcW w:w="1720" w:type="dxa"/>
            <w:vAlign w:val="bottom"/>
          </w:tcPr>
          <w:p>
            <w:pPr>
              <w:spacing w:after="0"/>
              <w:rPr>
                <w:sz w:val="15"/>
                <w:szCs w:val="15"/>
                <w:color w:val="auto"/>
              </w:rPr>
            </w:pPr>
          </w:p>
        </w:tc>
      </w:tr>
      <w:tr>
        <w:trPr>
          <w:trHeight w:val="176"/>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4"/>
                <w:szCs w:val="14"/>
                <w:color w:val="auto"/>
              </w:rPr>
              <w:t>Income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5.9% – 18.9% (10.4%)</w:t>
            </w: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Discount Margin</w:t>
            </w:r>
          </w:p>
        </w:tc>
        <w:tc>
          <w:tcPr>
            <w:tcW w:w="100" w:type="dxa"/>
            <w:vAlign w:val="bottom"/>
          </w:tcPr>
          <w:p>
            <w:pPr>
              <w:spacing w:after="0"/>
              <w:rPr>
                <w:sz w:val="15"/>
                <w:szCs w:val="15"/>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21.5% – 24.8% (23.6%)</w:t>
            </w:r>
          </w:p>
        </w:tc>
      </w:tr>
      <w:tr>
        <w:trPr>
          <w:trHeight w:val="143"/>
        </w:trPr>
        <w:tc>
          <w:tcPr>
            <w:tcW w:w="28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0.1</w:t>
            </w:r>
          </w:p>
        </w:tc>
        <w:tc>
          <w:tcPr>
            <w:tcW w:w="220" w:type="dxa"/>
            <w:vAlign w:val="bottom"/>
            <w:shd w:val="clear" w:color="auto" w:fill="CFF0FC"/>
          </w:tcPr>
          <w:p>
            <w:pPr>
              <w:spacing w:after="0"/>
              <w:rPr>
                <w:sz w:val="12"/>
                <w:szCs w:val="12"/>
                <w:color w:val="auto"/>
              </w:rPr>
            </w:pPr>
          </w:p>
        </w:tc>
        <w:tc>
          <w:tcPr>
            <w:tcW w:w="29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Income</w:t>
            </w:r>
          </w:p>
        </w:tc>
        <w:tc>
          <w:tcPr>
            <w:tcW w:w="100" w:type="dxa"/>
            <w:vAlign w:val="bottom"/>
            <w:shd w:val="clear" w:color="auto" w:fill="CFF0FC"/>
          </w:tcPr>
          <w:p>
            <w:pPr>
              <w:spacing w:after="0"/>
              <w:rPr>
                <w:sz w:val="12"/>
                <w:szCs w:val="12"/>
                <w:color w:val="auto"/>
              </w:rPr>
            </w:pPr>
          </w:p>
        </w:tc>
        <w:tc>
          <w:tcPr>
            <w:tcW w:w="20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Stock Price</w:t>
            </w:r>
          </w:p>
        </w:tc>
        <w:tc>
          <w:tcPr>
            <w:tcW w:w="2120" w:type="dxa"/>
            <w:vAlign w:val="bottom"/>
            <w:gridSpan w:val="3"/>
            <w:shd w:val="clear" w:color="auto" w:fill="CFF0FC"/>
          </w:tcPr>
          <w:p>
            <w:pPr>
              <w:ind w:left="120"/>
              <w:spacing w:after="0" w:line="143" w:lineRule="exact"/>
              <w:rPr>
                <w:sz w:val="20"/>
                <w:szCs w:val="20"/>
                <w:color w:val="auto"/>
              </w:rPr>
            </w:pPr>
            <w:r>
              <w:rPr>
                <w:rFonts w:ascii="Arial" w:cs="Arial" w:eastAsia="Arial" w:hAnsi="Arial"/>
                <w:sz w:val="14"/>
                <w:szCs w:val="14"/>
                <w:color w:val="auto"/>
              </w:rPr>
              <w:t>$115.8</w:t>
            </w:r>
          </w:p>
        </w:tc>
      </w:tr>
      <w:tr>
        <w:trPr>
          <w:trHeight w:val="148"/>
        </w:trPr>
        <w:tc>
          <w:tcPr>
            <w:tcW w:w="2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Time to Exit (Years)</w:t>
            </w:r>
          </w:p>
        </w:tc>
        <w:tc>
          <w:tcPr>
            <w:tcW w:w="40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2.0</w:t>
            </w:r>
          </w:p>
        </w:tc>
        <w:tc>
          <w:tcPr>
            <w:tcW w:w="1720" w:type="dxa"/>
            <w:vAlign w:val="bottom"/>
            <w:shd w:val="clear" w:color="auto" w:fill="CFF0FC"/>
          </w:tcPr>
          <w:p>
            <w:pPr>
              <w:spacing w:after="0"/>
              <w:rPr>
                <w:sz w:val="12"/>
                <w:szCs w:val="12"/>
                <w:color w:val="auto"/>
              </w:rPr>
            </w:pPr>
          </w:p>
        </w:tc>
      </w:tr>
      <w:tr>
        <w:trPr>
          <w:trHeight w:val="181"/>
        </w:trPr>
        <w:tc>
          <w:tcPr>
            <w:tcW w:w="2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Volatility</w:t>
            </w:r>
          </w:p>
        </w:tc>
        <w:tc>
          <w:tcPr>
            <w:tcW w:w="212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35.0%</w:t>
            </w:r>
          </w:p>
        </w:tc>
      </w:tr>
      <w:tr>
        <w:trPr>
          <w:trHeight w:val="170"/>
        </w:trPr>
        <w:tc>
          <w:tcPr>
            <w:tcW w:w="280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220" w:type="dxa"/>
            <w:vAlign w:val="bottom"/>
          </w:tcPr>
          <w:p>
            <w:pPr>
              <w:spacing w:after="0"/>
              <w:rPr>
                <w:sz w:val="14"/>
                <w:szCs w:val="14"/>
                <w:color w:val="auto"/>
              </w:rPr>
            </w:pPr>
          </w:p>
        </w:tc>
        <w:tc>
          <w:tcPr>
            <w:tcW w:w="2900" w:type="dxa"/>
            <w:vAlign w:val="bottom"/>
          </w:tcPr>
          <w:p>
            <w:pPr>
              <w:spacing w:after="0" w:line="171"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0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EBITDA Multiple</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98"/>
              </w:rPr>
              <w:t>3.3x</w:t>
            </w:r>
          </w:p>
        </w:tc>
        <w:tc>
          <w:tcPr>
            <w:tcW w:w="1720" w:type="dxa"/>
            <w:vAlign w:val="bottom"/>
          </w:tcPr>
          <w:p>
            <w:pPr>
              <w:spacing w:after="0"/>
              <w:rPr>
                <w:sz w:val="20"/>
                <w:szCs w:val="20"/>
                <w:color w:val="auto"/>
              </w:rPr>
            </w:pPr>
            <w:r>
              <w:rPr>
                <w:rFonts w:ascii="Arial" w:cs="Arial" w:eastAsia="Arial" w:hAnsi="Arial"/>
                <w:sz w:val="14"/>
                <w:szCs w:val="14"/>
                <w:color w:val="auto"/>
              </w:rPr>
              <w:t>– 15.8x (6.4x)</w:t>
            </w:r>
          </w:p>
        </w:tc>
      </w:tr>
      <w:tr>
        <w:trPr>
          <w:trHeight w:val="181"/>
        </w:trPr>
        <w:tc>
          <w:tcPr>
            <w:tcW w:w="280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Enterprise Market Value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98"/>
              </w:rPr>
              <w:t>0.3x</w:t>
            </w:r>
          </w:p>
        </w:tc>
        <w:tc>
          <w:tcPr>
            <w:tcW w:w="1720" w:type="dxa"/>
            <w:vAlign w:val="bottom"/>
          </w:tcPr>
          <w:p>
            <w:pPr>
              <w:spacing w:after="0"/>
              <w:rPr>
                <w:sz w:val="20"/>
                <w:szCs w:val="20"/>
                <w:color w:val="auto"/>
              </w:rPr>
            </w:pPr>
            <w:r>
              <w:rPr>
                <w:rFonts w:ascii="Arial" w:cs="Arial" w:eastAsia="Arial" w:hAnsi="Arial"/>
                <w:sz w:val="14"/>
                <w:szCs w:val="14"/>
                <w:color w:val="auto"/>
              </w:rPr>
              <w:t>– 1.0x (0.9x)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200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560" w:hanging="744"/>
        <w:spacing w:after="0"/>
        <w:tabs>
          <w:tab w:leader="none" w:pos="3560" w:val="left"/>
        </w:tabs>
        <w:numPr>
          <w:ilvl w:val="1"/>
          <w:numId w:val="73"/>
        </w:numPr>
        <w:rPr>
          <w:rFonts w:ascii="Arial" w:cs="Arial" w:eastAsia="Arial" w:hAnsi="Arial"/>
          <w:sz w:val="14"/>
          <w:szCs w:val="14"/>
          <w:color w:val="auto"/>
        </w:rPr>
      </w:pPr>
      <w:r>
        <w:rPr>
          <w:rFonts w:ascii="Arial" w:cs="Arial" w:eastAsia="Arial" w:hAnsi="Arial"/>
          <w:sz w:val="14"/>
          <w:szCs w:val="14"/>
          <w:color w:val="auto"/>
        </w:rPr>
        <w:t>203.2</w:t>
      </w:r>
      <w:r>
        <w:rPr>
          <w:rFonts w:ascii="Arial" w:cs="Arial" w:eastAsia="Arial" w:hAnsi="Arial"/>
          <w:sz w:val="1"/>
          <w:szCs w:val="1"/>
          <w:color w:val="auto"/>
        </w:rPr>
        <w:drawing>
          <wp:inline distT="0" distB="0" distL="0" distR="0">
            <wp:extent cx="68580" cy="12382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23825"/>
                    </a:xfrm>
                    <a:prstGeom prst="rect">
                      <a:avLst/>
                    </a:prstGeom>
                    <a:noFill/>
                    <a:ln>
                      <a:noFill/>
                    </a:ln>
                  </pic:spPr>
                </pic:pic>
              </a:graphicData>
            </a:graphic>
          </wp:inline>
        </w:drawing>
      </w:r>
    </w:p>
    <w:p>
      <w:pPr>
        <w:spacing w:after="0" w:line="27" w:lineRule="exact"/>
        <w:rPr>
          <w:rFonts w:ascii="Arial" w:cs="Arial" w:eastAsia="Arial" w:hAnsi="Arial"/>
          <w:sz w:val="14"/>
          <w:szCs w:val="14"/>
          <w:color w:val="auto"/>
        </w:rPr>
      </w:pPr>
    </w:p>
    <w:p>
      <w:pPr>
        <w:ind w:left="520" w:hanging="512"/>
        <w:spacing w:after="0"/>
        <w:tabs>
          <w:tab w:leader="none" w:pos="520" w:val="left"/>
        </w:tabs>
        <w:numPr>
          <w:ilvl w:val="0"/>
          <w:numId w:val="73"/>
        </w:numPr>
        <w:rPr>
          <w:rFonts w:ascii="Arial" w:cs="Arial" w:eastAsia="Arial" w:hAnsi="Arial"/>
          <w:sz w:val="16"/>
          <w:szCs w:val="16"/>
          <w:b w:val="1"/>
          <w:bCs w:val="1"/>
          <w:color w:val="auto"/>
          <w:vertAlign w:val="superscript"/>
        </w:rPr>
      </w:pPr>
      <w:r>
        <w:rPr>
          <w:rFonts w:ascii="Arial" w:cs="Arial" w:eastAsia="Arial" w:hAnsi="Arial"/>
          <w:sz w:val="12"/>
          <w:szCs w:val="12"/>
          <w:color w:val="auto"/>
        </w:rPr>
        <w:t>$1.0 million in equity was valued using the asset approach.</w:t>
      </w:r>
    </w:p>
    <w:p>
      <w:pPr>
        <w:ind w:left="520" w:hanging="512"/>
        <w:spacing w:after="0" w:line="180" w:lineRule="auto"/>
        <w:tabs>
          <w:tab w:leader="none" w:pos="520" w:val="left"/>
        </w:tabs>
        <w:numPr>
          <w:ilvl w:val="0"/>
          <w:numId w:val="73"/>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-243840</wp:posOffset>
            </wp:positionV>
            <wp:extent cx="6940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-226695</wp:posOffset>
            </wp:positionV>
            <wp:extent cx="6940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1722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valuation techniques and significant unobservable inputs used in recurring Level 3 fair value measurements of assets as of December 31, 2021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3340" w:type="dxa"/>
            <w:vAlign w:val="bottom"/>
          </w:tcPr>
          <w:p>
            <w:pPr>
              <w:ind w:left="134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2020" w:type="dxa"/>
            <w:vAlign w:val="bottom"/>
          </w:tcPr>
          <w:p>
            <w:pPr>
              <w:ind w:left="580"/>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Range (Weighted</w:t>
            </w:r>
          </w:p>
        </w:tc>
      </w:tr>
      <w:tr>
        <w:trPr>
          <w:trHeight w:val="189"/>
        </w:trPr>
        <w:tc>
          <w:tcPr>
            <w:tcW w:w="2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6"/>
                <w:szCs w:val="16"/>
                <w:color w:val="auto"/>
              </w:rPr>
            </w:pPr>
          </w:p>
        </w:tc>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Input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08"/>
              <w:spacing w:after="0" w:line="189" w:lineRule="exact"/>
              <w:rPr>
                <w:sz w:val="20"/>
                <w:szCs w:val="20"/>
                <w:color w:val="auto"/>
              </w:rPr>
            </w:pPr>
            <w:r>
              <w:rPr>
                <w:rFonts w:ascii="Arial" w:cs="Arial" w:eastAsia="Arial" w:hAnsi="Arial"/>
                <w:sz w:val="14"/>
                <w:szCs w:val="14"/>
                <w:b w:val="1"/>
                <w:bCs w:val="1"/>
                <w:color w:val="auto"/>
                <w:w w:val="85"/>
              </w:rPr>
              <w:t xml:space="preserve">Average) </w:t>
            </w:r>
            <w:r>
              <w:rPr>
                <w:rFonts w:ascii="Arial" w:cs="Arial" w:eastAsia="Arial" w:hAnsi="Arial"/>
                <w:sz w:val="19"/>
                <w:szCs w:val="19"/>
                <w:b w:val="1"/>
                <w:bCs w:val="1"/>
                <w:color w:val="auto"/>
                <w:w w:val="85"/>
                <w:vertAlign w:val="superscript"/>
              </w:rPr>
              <w:t>(2)</w:t>
            </w:r>
          </w:p>
        </w:tc>
      </w:tr>
      <w:tr>
        <w:trPr>
          <w:trHeight w:val="169"/>
        </w:trPr>
        <w:tc>
          <w:tcPr>
            <w:tcW w:w="2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 debt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CFF"/>
          </w:tcPr>
          <w:p>
            <w:pPr>
              <w:spacing w:after="0"/>
              <w:rPr>
                <w:sz w:val="14"/>
                <w:szCs w:val="14"/>
                <w:color w:val="auto"/>
              </w:rPr>
            </w:pPr>
          </w:p>
        </w:tc>
        <w:tc>
          <w:tcPr>
            <w:tcW w:w="3340" w:type="dxa"/>
            <w:vAlign w:val="bottom"/>
            <w:shd w:val="clear" w:color="auto" w:fill="CCECFF"/>
          </w:tcPr>
          <w:p>
            <w:pPr>
              <w:spacing w:after="0"/>
              <w:rPr>
                <w:sz w:val="20"/>
                <w:szCs w:val="20"/>
                <w:color w:val="auto"/>
              </w:rPr>
            </w:pPr>
            <w:r>
              <w:rPr>
                <w:rFonts w:ascii="Arial" w:cs="Arial" w:eastAsia="Arial" w:hAnsi="Arial"/>
                <w:sz w:val="14"/>
                <w:szCs w:val="14"/>
                <w:color w:val="auto"/>
              </w:rPr>
              <w:t>Market</w:t>
            </w:r>
          </w:p>
        </w:tc>
        <w:tc>
          <w:tcPr>
            <w:tcW w:w="100" w:type="dxa"/>
            <w:vAlign w:val="bottom"/>
            <w:shd w:val="clear" w:color="auto" w:fill="CCECFF"/>
          </w:tcPr>
          <w:p>
            <w:pPr>
              <w:spacing w:after="0"/>
              <w:rPr>
                <w:sz w:val="14"/>
                <w:szCs w:val="14"/>
                <w:color w:val="auto"/>
              </w:rPr>
            </w:pPr>
          </w:p>
        </w:tc>
        <w:tc>
          <w:tcPr>
            <w:tcW w:w="2020" w:type="dxa"/>
            <w:vAlign w:val="bottom"/>
            <w:shd w:val="clear" w:color="auto" w:fill="CCECFF"/>
          </w:tcPr>
          <w:p>
            <w:pPr>
              <w:ind w:left="20"/>
              <w:spacing w:after="0"/>
              <w:rPr>
                <w:sz w:val="20"/>
                <w:szCs w:val="20"/>
                <w:color w:val="auto"/>
              </w:rPr>
            </w:pPr>
            <w:r>
              <w:rPr>
                <w:rFonts w:ascii="Arial" w:cs="Arial" w:eastAsia="Arial" w:hAnsi="Arial"/>
                <w:sz w:val="14"/>
                <w:szCs w:val="14"/>
                <w:color w:val="auto"/>
              </w:rPr>
              <w:t>Broker/Dealer Quote</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N/A</w:t>
            </w:r>
          </w:p>
        </w:tc>
        <w:tc>
          <w:tcPr>
            <w:tcW w:w="1840" w:type="dxa"/>
            <w:vAlign w:val="bottom"/>
            <w:shd w:val="clear" w:color="auto" w:fill="CCECFF"/>
          </w:tcPr>
          <w:p>
            <w:pPr>
              <w:spacing w:after="0"/>
              <w:rPr>
                <w:sz w:val="14"/>
                <w:szCs w:val="14"/>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88.1</w:t>
            </w:r>
          </w:p>
        </w:tc>
        <w:tc>
          <w:tcPr>
            <w:tcW w:w="2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6.2% – 14.6% (7.4%)</w:t>
            </w:r>
          </w:p>
        </w:tc>
      </w:tr>
      <w:tr>
        <w:trPr>
          <w:trHeight w:val="175"/>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2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0.3x</w:t>
            </w:r>
          </w:p>
        </w:tc>
        <w:tc>
          <w:tcPr>
            <w:tcW w:w="1840" w:type="dxa"/>
            <w:vAlign w:val="bottom"/>
            <w:shd w:val="clear" w:color="auto" w:fill="CFF0FC"/>
          </w:tcPr>
          <w:p>
            <w:pPr>
              <w:spacing w:after="0"/>
              <w:rPr>
                <w:sz w:val="15"/>
                <w:szCs w:val="15"/>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w:t>
            </w:r>
          </w:p>
        </w:tc>
        <w:tc>
          <w:tcPr>
            <w:tcW w:w="220" w:type="dxa"/>
            <w:vAlign w:val="bottom"/>
          </w:tcPr>
          <w:p>
            <w:pPr>
              <w:spacing w:after="0"/>
              <w:rPr>
                <w:sz w:val="15"/>
                <w:szCs w:val="15"/>
                <w:color w:val="auto"/>
              </w:rPr>
            </w:pPr>
          </w:p>
        </w:tc>
        <w:tc>
          <w:tcPr>
            <w:tcW w:w="3340" w:type="dxa"/>
            <w:vAlign w:val="bottom"/>
          </w:tcPr>
          <w:p>
            <w:pPr>
              <w:spacing w:after="0" w:line="175" w:lineRule="exact"/>
              <w:rPr>
                <w:sz w:val="20"/>
                <w:szCs w:val="20"/>
                <w:color w:val="auto"/>
              </w:rPr>
            </w:pPr>
            <w:r>
              <w:rPr>
                <w:rFonts w:ascii="Arial" w:cs="Arial" w:eastAsia="Arial" w:hAnsi="Arial"/>
                <w:sz w:val="14"/>
                <w:szCs w:val="14"/>
                <w:color w:val="auto"/>
              </w:rPr>
              <w:t>Income and Asset</w:t>
            </w:r>
            <w:r>
              <w:rPr>
                <w:rFonts w:ascii="Arial" w:cs="Arial" w:eastAsia="Arial" w:hAnsi="Arial"/>
                <w:sz w:val="19"/>
                <w:szCs w:val="19"/>
                <w:color w:val="auto"/>
                <w:vertAlign w:val="superscript"/>
              </w:rPr>
              <w:t>(1)</w:t>
            </w:r>
          </w:p>
        </w:tc>
        <w:tc>
          <w:tcPr>
            <w:tcW w:w="100" w:type="dxa"/>
            <w:vAlign w:val="bottom"/>
          </w:tcPr>
          <w:p>
            <w:pPr>
              <w:spacing w:after="0"/>
              <w:rPr>
                <w:sz w:val="15"/>
                <w:szCs w:val="15"/>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1.2% – 11.5% (9.7%)</w:t>
            </w:r>
          </w:p>
        </w:tc>
      </w:tr>
      <w:tr>
        <w:trPr>
          <w:trHeight w:val="175"/>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Enterprise Market Value</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4.7x</w:t>
            </w:r>
          </w:p>
        </w:tc>
        <w:tc>
          <w:tcPr>
            <w:tcW w:w="1840" w:type="dxa"/>
            <w:vAlign w:val="bottom"/>
            <w:shd w:val="clear" w:color="auto" w:fill="CFF0FC"/>
          </w:tcPr>
          <w:p>
            <w:pPr>
              <w:spacing w:after="0"/>
              <w:rPr>
                <w:sz w:val="15"/>
                <w:szCs w:val="15"/>
                <w:color w:val="auto"/>
              </w:rPr>
            </w:pPr>
          </w:p>
        </w:tc>
      </w:tr>
      <w:tr>
        <w:trPr>
          <w:trHeight w:val="176"/>
        </w:trPr>
        <w:tc>
          <w:tcPr>
            <w:tcW w:w="2140" w:type="dxa"/>
            <w:vAlign w:val="bottom"/>
          </w:tcPr>
          <w:p>
            <w:pPr>
              <w:ind w:left="20"/>
              <w:spacing w:after="0"/>
              <w:rPr>
                <w:sz w:val="20"/>
                <w:szCs w:val="20"/>
                <w:color w:val="auto"/>
              </w:rPr>
            </w:pPr>
            <w:r>
              <w:rPr>
                <w:rFonts w:ascii="Arial" w:cs="Arial" w:eastAsia="Arial" w:hAnsi="Arial"/>
                <w:sz w:val="14"/>
                <w:szCs w:val="14"/>
                <w:color w:val="auto"/>
              </w:rPr>
              <w:t>Subordinated debt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5.0%</w:t>
            </w:r>
          </w:p>
        </w:tc>
      </w:tr>
      <w:tr>
        <w:trPr>
          <w:trHeight w:val="176"/>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22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EBITDA Multiple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1.9x</w:t>
            </w:r>
          </w:p>
        </w:tc>
        <w:tc>
          <w:tcPr>
            <w:tcW w:w="1840" w:type="dxa"/>
            <w:vAlign w:val="bottom"/>
            <w:shd w:val="clear" w:color="auto" w:fill="CFF0FC"/>
          </w:tcPr>
          <w:p>
            <w:pPr>
              <w:spacing w:after="0"/>
              <w:rPr>
                <w:sz w:val="20"/>
                <w:szCs w:val="20"/>
                <w:color w:val="auto"/>
              </w:rPr>
            </w:pPr>
            <w:r>
              <w:rPr>
                <w:rFonts w:ascii="Arial" w:cs="Arial" w:eastAsia="Arial" w:hAnsi="Arial"/>
                <w:sz w:val="14"/>
                <w:szCs w:val="14"/>
                <w:color w:val="auto"/>
              </w:rPr>
              <w:t>– 10.0x (6.4x)</w:t>
            </w:r>
          </w:p>
        </w:tc>
      </w:tr>
      <w:tr>
        <w:trPr>
          <w:trHeight w:val="170"/>
        </w:trPr>
        <w:tc>
          <w:tcPr>
            <w:tcW w:w="214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3340" w:type="dxa"/>
            <w:vAlign w:val="bottom"/>
          </w:tcPr>
          <w:p>
            <w:pPr>
              <w:spacing w:after="0" w:line="171"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00" w:type="dxa"/>
            <w:vAlign w:val="bottom"/>
          </w:tcPr>
          <w:p>
            <w:pPr>
              <w:spacing w:after="0"/>
              <w:rPr>
                <w:sz w:val="14"/>
                <w:szCs w:val="14"/>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w w:val="98"/>
              </w:rPr>
              <w:t>0.4x</w:t>
            </w:r>
          </w:p>
        </w:tc>
        <w:tc>
          <w:tcPr>
            <w:tcW w:w="1840" w:type="dxa"/>
            <w:vAlign w:val="bottom"/>
          </w:tcPr>
          <w:p>
            <w:pPr>
              <w:spacing w:after="0"/>
              <w:rPr>
                <w:sz w:val="20"/>
                <w:szCs w:val="20"/>
                <w:color w:val="auto"/>
              </w:rPr>
            </w:pPr>
            <w:r>
              <w:rPr>
                <w:rFonts w:ascii="Arial" w:cs="Arial" w:eastAsia="Arial" w:hAnsi="Arial"/>
                <w:sz w:val="14"/>
                <w:szCs w:val="14"/>
                <w:color w:val="auto"/>
              </w:rPr>
              <w:t>– 0.7x (0.4x)</w:t>
            </w:r>
          </w:p>
        </w:tc>
      </w:tr>
      <w:tr>
        <w:trPr>
          <w:trHeight w:val="181"/>
        </w:trPr>
        <w:tc>
          <w:tcPr>
            <w:tcW w:w="214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2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17.4% – 20.4% (19.1%)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980" w:hanging="826"/>
        <w:spacing w:after="0"/>
        <w:tabs>
          <w:tab w:leader="none" w:pos="2980" w:val="left"/>
        </w:tabs>
        <w:numPr>
          <w:ilvl w:val="1"/>
          <w:numId w:val="74"/>
        </w:numPr>
        <w:rPr>
          <w:rFonts w:ascii="Arial" w:cs="Arial" w:eastAsia="Arial" w:hAnsi="Arial"/>
          <w:sz w:val="14"/>
          <w:szCs w:val="14"/>
          <w:color w:val="auto"/>
        </w:rPr>
      </w:pPr>
      <w:r>
        <w:rPr>
          <w:rFonts w:ascii="Arial" w:cs="Arial" w:eastAsia="Arial" w:hAnsi="Arial"/>
          <w:sz w:val="14"/>
          <w:szCs w:val="14"/>
          <w:color w:val="auto"/>
        </w:rPr>
        <w:t>198.2</w:t>
      </w:r>
      <w:r>
        <w:rPr>
          <w:rFonts w:ascii="Arial" w:cs="Arial" w:eastAsia="Arial" w:hAnsi="Arial"/>
          <w:sz w:val="1"/>
          <w:szCs w:val="1"/>
          <w:color w:val="auto"/>
        </w:rPr>
        <w:drawing>
          <wp:inline distT="0" distB="0" distL="0" distR="0">
            <wp:extent cx="68580" cy="12382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23825"/>
                    </a:xfrm>
                    <a:prstGeom prst="rect">
                      <a:avLst/>
                    </a:prstGeom>
                    <a:noFill/>
                    <a:ln>
                      <a:noFill/>
                    </a:ln>
                  </pic:spPr>
                </pic:pic>
              </a:graphicData>
            </a:graphic>
          </wp:inline>
        </w:drawing>
      </w:r>
    </w:p>
    <w:p>
      <w:pPr>
        <w:spacing w:after="0" w:line="27" w:lineRule="exact"/>
        <w:rPr>
          <w:rFonts w:ascii="Arial" w:cs="Arial" w:eastAsia="Arial" w:hAnsi="Arial"/>
          <w:sz w:val="14"/>
          <w:szCs w:val="14"/>
          <w:color w:val="auto"/>
        </w:rPr>
      </w:pPr>
    </w:p>
    <w:p>
      <w:pPr>
        <w:ind w:left="520" w:hanging="512"/>
        <w:spacing w:after="0"/>
        <w:tabs>
          <w:tab w:leader="none" w:pos="520" w:val="left"/>
        </w:tabs>
        <w:numPr>
          <w:ilvl w:val="0"/>
          <w:numId w:val="74"/>
        </w:numPr>
        <w:rPr>
          <w:rFonts w:ascii="Arial" w:cs="Arial" w:eastAsia="Arial" w:hAnsi="Arial"/>
          <w:sz w:val="16"/>
          <w:szCs w:val="16"/>
          <w:b w:val="1"/>
          <w:bCs w:val="1"/>
          <w:color w:val="auto"/>
          <w:vertAlign w:val="superscript"/>
        </w:rPr>
      </w:pPr>
      <w:r>
        <w:rPr>
          <w:rFonts w:ascii="Arial" w:cs="Arial" w:eastAsia="Arial" w:hAnsi="Arial"/>
          <w:sz w:val="12"/>
          <w:szCs w:val="12"/>
          <w:color w:val="auto"/>
        </w:rPr>
        <w:t>$0.6 million in first lien debt, less than $0.1 million in second lien debt, and $0.6 million in equity and warrants were valued using the asset approach.</w:t>
      </w:r>
    </w:p>
    <w:p>
      <w:pPr>
        <w:ind w:left="520" w:hanging="512"/>
        <w:spacing w:after="0" w:line="180" w:lineRule="auto"/>
        <w:tabs>
          <w:tab w:leader="none" w:pos="520" w:val="left"/>
        </w:tabs>
        <w:numPr>
          <w:ilvl w:val="0"/>
          <w:numId w:val="74"/>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-243840</wp:posOffset>
            </wp:positionV>
            <wp:extent cx="7454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-226695</wp:posOffset>
            </wp:positionV>
            <wp:extent cx="7454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9512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Capitala Senior Loan Fund II, LLC</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1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Below are the statements of operations for CSLF II (dollars in thousands) for the year ended December 31,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9560" w:type="dxa"/>
            <w:vAlign w:val="bottom"/>
          </w:tcPr>
          <w:p>
            <w:pPr>
              <w:jc w:val="center"/>
              <w:ind w:left="1608"/>
              <w:spacing w:after="0"/>
              <w:rPr>
                <w:sz w:val="20"/>
                <w:szCs w:val="20"/>
                <w:color w:val="auto"/>
              </w:rPr>
            </w:pPr>
            <w:r>
              <w:rPr>
                <w:rFonts w:ascii="Arial" w:cs="Arial" w:eastAsia="Arial" w:hAnsi="Arial"/>
                <w:sz w:val="14"/>
                <w:szCs w:val="14"/>
                <w:b w:val="1"/>
                <w:bCs w:val="1"/>
                <w:color w:val="auto"/>
              </w:rPr>
              <w:t>LOGAN RIDGE FINANCE CORPORATION</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9560" w:type="dxa"/>
            <w:vAlign w:val="bottom"/>
          </w:tcPr>
          <w:p>
            <w:pPr>
              <w:jc w:val="center"/>
              <w:ind w:left="1608"/>
              <w:spacing w:after="0" w:line="149" w:lineRule="exact"/>
              <w:rPr>
                <w:sz w:val="20"/>
                <w:szCs w:val="20"/>
                <w:color w:val="auto"/>
              </w:rPr>
            </w:pPr>
            <w:r>
              <w:rPr>
                <w:rFonts w:ascii="Arial" w:cs="Arial" w:eastAsia="Arial" w:hAnsi="Arial"/>
                <w:sz w:val="14"/>
                <w:szCs w:val="14"/>
                <w:b w:val="1"/>
                <w:bCs w:val="1"/>
                <w:color w:val="auto"/>
              </w:rPr>
              <w:t>NOTES TO CONSOLIDATED FINANCIAL STATEMENTS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9560" w:type="dxa"/>
            <w:vAlign w:val="bottom"/>
          </w:tcPr>
          <w:p>
            <w:pPr>
              <w:jc w:val="center"/>
              <w:ind w:left="1608"/>
              <w:spacing w:after="0"/>
              <w:rPr>
                <w:sz w:val="20"/>
                <w:szCs w:val="20"/>
                <w:color w:val="auto"/>
              </w:rPr>
            </w:pPr>
            <w:r>
              <w:rPr>
                <w:rFonts w:ascii="Arial" w:cs="Arial" w:eastAsia="Arial" w:hAnsi="Arial"/>
                <w:sz w:val="14"/>
                <w:szCs w:val="14"/>
                <w:b w:val="1"/>
                <w:bCs w:val="1"/>
                <w:color w:val="auto"/>
                <w:w w:val="98"/>
              </w:rPr>
              <w:t>DECEMBER 31, 2022</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9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4"/>
              </w:rPr>
              <w:t>For the year ended</w:t>
            </w:r>
          </w:p>
        </w:tc>
      </w:tr>
      <w:tr>
        <w:trPr>
          <w:trHeight w:val="185"/>
        </w:trPr>
        <w:tc>
          <w:tcPr>
            <w:tcW w:w="9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956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69"/>
        </w:trPr>
        <w:tc>
          <w:tcPr>
            <w:tcW w:w="9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FF0FC"/>
          </w:tcPr>
          <w:p>
            <w:pPr>
              <w:spacing w:after="0"/>
              <w:rPr>
                <w:sz w:val="14"/>
                <w:szCs w:val="14"/>
                <w:color w:val="auto"/>
              </w:rPr>
            </w:pPr>
          </w:p>
        </w:tc>
      </w:tr>
      <w:tr>
        <w:trPr>
          <w:trHeight w:val="176"/>
        </w:trPr>
        <w:tc>
          <w:tcPr>
            <w:tcW w:w="9560" w:type="dxa"/>
            <w:vAlign w:val="bottom"/>
          </w:tcPr>
          <w:p>
            <w:pPr>
              <w:ind w:left="200"/>
              <w:spacing w:after="0"/>
              <w:rPr>
                <w:sz w:val="20"/>
                <w:szCs w:val="20"/>
                <w:color w:val="auto"/>
              </w:rPr>
            </w:pPr>
            <w:r>
              <w:rPr>
                <w:rFonts w:ascii="Arial" w:cs="Arial" w:eastAsia="Arial" w:hAnsi="Arial"/>
                <w:sz w:val="14"/>
                <w:szCs w:val="14"/>
                <w:color w:val="auto"/>
              </w:rPr>
              <w:t>Fee income</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r>
      <w:tr>
        <w:trPr>
          <w:trHeight w:val="169"/>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investment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956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9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and financing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FF0FC"/>
          </w:tcPr>
          <w:p>
            <w:pPr>
              <w:spacing w:after="0"/>
              <w:rPr>
                <w:sz w:val="15"/>
                <w:szCs w:val="15"/>
                <w:color w:val="auto"/>
              </w:rPr>
            </w:pPr>
          </w:p>
        </w:tc>
      </w:tr>
      <w:tr>
        <w:trPr>
          <w:trHeight w:val="176"/>
        </w:trPr>
        <w:tc>
          <w:tcPr>
            <w:tcW w:w="9560" w:type="dxa"/>
            <w:vAlign w:val="bottom"/>
          </w:tcPr>
          <w:p>
            <w:pPr>
              <w:ind w:left="20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r>
      <w:tr>
        <w:trPr>
          <w:trHeight w:val="169"/>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9560" w:type="dxa"/>
            <w:vAlign w:val="bottom"/>
          </w:tcPr>
          <w:p>
            <w:pPr>
              <w:ind w:left="200"/>
              <w:spacing w:after="0"/>
              <w:rPr>
                <w:sz w:val="20"/>
                <w:szCs w:val="20"/>
                <w:color w:val="auto"/>
              </w:rPr>
            </w:pPr>
            <w:r>
              <w:rPr>
                <w:rFonts w:ascii="Arial" w:cs="Arial" w:eastAsia="Arial" w:hAnsi="Arial"/>
                <w:sz w:val="14"/>
                <w:szCs w:val="14"/>
                <w:color w:val="auto"/>
              </w:rPr>
              <w:t>NET INVESTMENT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(644 )</w:t>
            </w:r>
          </w:p>
        </w:tc>
      </w:tr>
      <w:tr>
        <w:trPr>
          <w:trHeight w:val="209"/>
        </w:trPr>
        <w:tc>
          <w:tcPr>
            <w:tcW w:w="9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200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Great Lakes Funding II LLC</w:t>
      </w:r>
    </w:p>
    <w:p>
      <w:pPr>
        <w:spacing w:after="0" w:line="1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In August 2022, the Company invested in Great Lakes Funding II LLC - Series A (the “Great Lakes II Joint Venture”), a joint venture with an investment strategy to underwrite and hold senior, secured unitranche loans made to middle-market companies. The Company treats its investment in the Great Lakes II Joint Venture as a joint venture since an affiliate of the Adviser controls a 50% voting interest in the Great Lakes II Joint Venture.</w:t>
      </w:r>
    </w:p>
    <w:p>
      <w:pPr>
        <w:spacing w:after="0" w:line="10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Adviser or its affiliates have also invested in the Great Lakes II Joint Venture.</w:t>
      </w:r>
    </w:p>
    <w:p>
      <w:pPr>
        <w:spacing w:after="0" w:line="10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The fair value of the Company’s investment in the Great Lakes II Joint Venture at December 31, 2022 was $0.4 million.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the Company has a $0.1 million unfunded commitment to the Great Lakes II Joint Venture.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Transactions With Affiliated Companies</w:t>
      </w:r>
    </w:p>
    <w:p>
      <w:pPr>
        <w:spacing w:after="0" w:line="59"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During the year ended December 31, 2022, the Company had investments in portfolio companies designated as affiliates under the 1940 Act. Transactions with affiliates were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Amount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Interest,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Fees or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6"/>
              </w:rPr>
              <w:t>Unrealized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Dividends</w:t>
            </w:r>
          </w:p>
        </w:tc>
        <w:tc>
          <w:tcPr>
            <w:tcW w:w="140" w:type="dxa"/>
            <w:vAlign w:val="bottom"/>
          </w:tcPr>
          <w:p>
            <w:pPr>
              <w:spacing w:after="0"/>
              <w:rPr>
                <w:sz w:val="10"/>
                <w:szCs w:val="10"/>
                <w:color w:val="auto"/>
              </w:rPr>
            </w:pP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81"/>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Realized</w:t>
            </w:r>
          </w:p>
        </w:tc>
        <w:tc>
          <w:tcPr>
            <w:tcW w:w="8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Appreciation</w:t>
            </w: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0"/>
              </w:rPr>
              <w:t>Principal</w:t>
            </w:r>
          </w:p>
        </w:tc>
        <w:tc>
          <w:tcPr>
            <w:tcW w:w="200" w:type="dxa"/>
            <w:vAlign w:val="bottom"/>
          </w:tcPr>
          <w:p>
            <w:pPr>
              <w:spacing w:after="0"/>
              <w:rPr>
                <w:sz w:val="3"/>
                <w:szCs w:val="3"/>
                <w:color w:val="auto"/>
              </w:rPr>
            </w:pPr>
          </w:p>
        </w:tc>
        <w:tc>
          <w:tcPr>
            <w:tcW w:w="54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2"/>
              </w:rPr>
              <w:t>Credited to</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Gross</w:t>
            </w:r>
          </w:p>
        </w:tc>
        <w:tc>
          <w:tcPr>
            <w:tcW w:w="6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Gain/(Loss</w:t>
            </w:r>
          </w:p>
        </w:tc>
        <w:tc>
          <w:tcPr>
            <w:tcW w:w="8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(Depreciation</w:t>
            </w:r>
          </w:p>
        </w:tc>
        <w:tc>
          <w:tcPr>
            <w:tcW w:w="100" w:type="dxa"/>
            <w:vAlign w:val="bottom"/>
          </w:tcPr>
          <w:p>
            <w:pPr>
              <w:spacing w:after="0"/>
              <w:rPr>
                <w:sz w:val="3"/>
                <w:szCs w:val="3"/>
                <w:color w:val="auto"/>
              </w:rPr>
            </w:pPr>
          </w:p>
        </w:tc>
        <w:tc>
          <w:tcPr>
            <w:tcW w:w="64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20" w:type="dxa"/>
            <w:vAlign w:val="bottom"/>
            <w:gridSpan w:val="6"/>
            <w:vMerge w:val="restart"/>
          </w:tcPr>
          <w:p>
            <w:pPr>
              <w:ind w:left="72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3280" w:type="dxa"/>
            <w:vAlign w:val="bottom"/>
            <w:vMerge w:val="restart"/>
          </w:tcPr>
          <w:p>
            <w:pPr>
              <w:ind w:left="1240"/>
              <w:spacing w:after="0"/>
              <w:rPr>
                <w:sz w:val="20"/>
                <w:szCs w:val="20"/>
                <w:color w:val="auto"/>
              </w:rPr>
            </w:pPr>
            <w:r>
              <w:rPr>
                <w:rFonts w:ascii="Arial" w:cs="Arial" w:eastAsia="Arial" w:hAnsi="Arial"/>
                <w:sz w:val="11"/>
                <w:szCs w:val="11"/>
                <w:b w:val="1"/>
                <w:bCs w:val="1"/>
                <w:color w:val="auto"/>
              </w:rPr>
              <w:t>Type of Investment</w:t>
            </w:r>
          </w:p>
        </w:tc>
        <w:tc>
          <w:tcPr>
            <w:tcW w:w="5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94"/>
              </w:rPr>
              <w:t>Additions</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2"/>
              </w:rPr>
              <w:t xml:space="preserve">Income </w:t>
            </w:r>
            <w:r>
              <w:rPr>
                <w:rFonts w:ascii="Arial" w:cs="Arial" w:eastAsia="Arial" w:hAnsi="Arial"/>
                <w:sz w:val="14"/>
                <w:szCs w:val="14"/>
                <w:b w:val="1"/>
                <w:bCs w:val="1"/>
                <w:color w:val="auto"/>
                <w:w w:val="82"/>
                <w:vertAlign w:val="superscript"/>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1"/>
              </w:rPr>
              <w:t>Fair Value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166"/>
              <w:spacing w:after="0"/>
              <w:rPr>
                <w:sz w:val="20"/>
                <w:szCs w:val="20"/>
                <w:color w:val="auto"/>
              </w:rPr>
            </w:pPr>
            <w:r>
              <w:rPr>
                <w:rFonts w:ascii="Arial" w:cs="Arial" w:eastAsia="Arial" w:hAnsi="Arial"/>
                <w:sz w:val="7"/>
                <w:szCs w:val="7"/>
                <w:b w:val="1"/>
                <w:bCs w:val="1"/>
                <w:color w:val="auto"/>
              </w:rPr>
              <w:t>(2)</w:t>
            </w:r>
          </w:p>
        </w:tc>
        <w:tc>
          <w:tcPr>
            <w:tcW w:w="12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 xml:space="preserve">Reductions </w:t>
            </w:r>
            <w:r>
              <w:rPr>
                <w:rFonts w:ascii="Arial" w:cs="Arial" w:eastAsia="Arial" w:hAnsi="Arial"/>
                <w:sz w:val="14"/>
                <w:szCs w:val="14"/>
                <w:b w:val="1"/>
                <w:bCs w:val="1"/>
                <w:color w:val="auto"/>
                <w:w w:val="99"/>
                <w:vertAlign w:val="superscript"/>
              </w:rPr>
              <w:t>(3)</w:t>
            </w:r>
          </w:p>
        </w:tc>
        <w:tc>
          <w:tcPr>
            <w:tcW w:w="160" w:type="dxa"/>
            <w:vAlign w:val="bottom"/>
          </w:tcPr>
          <w:p>
            <w:pPr>
              <w:spacing w:after="0"/>
              <w:rPr>
                <w:sz w:val="10"/>
                <w:szCs w:val="10"/>
                <w:color w:val="auto"/>
              </w:rPr>
            </w:pPr>
          </w:p>
        </w:tc>
        <w:tc>
          <w:tcPr>
            <w:tcW w:w="3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4"/>
              </w:rPr>
              <w:t>Fair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Borders>
              <w:top w:val="single" w:sz="8" w:color="auto"/>
              <w:bottom w:val="single" w:sz="8" w:color="auto"/>
            </w:tcBorders>
            <w:vMerge w:val="restart"/>
          </w:tcPr>
          <w:p>
            <w:pPr>
              <w:spacing w:after="0"/>
              <w:rPr>
                <w:sz w:val="6"/>
                <w:szCs w:val="6"/>
                <w:color w:val="auto"/>
              </w:rPr>
            </w:pPr>
          </w:p>
        </w:tc>
        <w:tc>
          <w:tcPr>
            <w:tcW w:w="940" w:type="dxa"/>
            <w:vAlign w:val="bottom"/>
            <w:tcBorders>
              <w:top w:val="single" w:sz="8" w:color="auto"/>
              <w:bottom w:val="single" w:sz="8" w:color="auto"/>
            </w:tcBorders>
            <w:gridSpan w:val="2"/>
            <w:vMerge w:val="restart"/>
          </w:tcPr>
          <w:p>
            <w:pPr>
              <w:spacing w:after="0" w:line="115" w:lineRule="exact"/>
              <w:rPr>
                <w:sz w:val="20"/>
                <w:szCs w:val="20"/>
                <w:color w:val="auto"/>
              </w:rPr>
            </w:pPr>
            <w:r>
              <w:rPr>
                <w:rFonts w:ascii="Arial" w:cs="Arial" w:eastAsia="Arial" w:hAnsi="Arial"/>
                <w:sz w:val="11"/>
                <w:szCs w:val="11"/>
                <w:b w:val="1"/>
                <w:bCs w:val="1"/>
                <w:i w:val="1"/>
                <w:iCs w:val="1"/>
                <w:color w:val="auto"/>
                <w:w w:val="85"/>
              </w:rPr>
              <w:t>Affiliate investments</w:t>
            </w:r>
          </w:p>
        </w:tc>
        <w:tc>
          <w:tcPr>
            <w:tcW w:w="80" w:type="dxa"/>
            <w:vAlign w:val="bottom"/>
            <w:tcBorders>
              <w:top w:val="single" w:sz="8" w:color="auto"/>
              <w:bottom w:val="single" w:sz="8" w:color="auto"/>
            </w:tcBorders>
          </w:tcPr>
          <w:p>
            <w:pPr>
              <w:jc w:val="right"/>
              <w:spacing w:after="0" w:line="61" w:lineRule="exact"/>
              <w:rPr>
                <w:sz w:val="20"/>
                <w:szCs w:val="20"/>
                <w:color w:val="auto"/>
              </w:rPr>
            </w:pPr>
            <w:r>
              <w:rPr>
                <w:rFonts w:ascii="Arial" w:cs="Arial" w:eastAsia="Arial" w:hAnsi="Arial"/>
                <w:sz w:val="6"/>
                <w:szCs w:val="6"/>
                <w:b w:val="1"/>
                <w:bCs w:val="1"/>
                <w:i w:val="1"/>
                <w:iCs w:val="1"/>
                <w:color w:val="auto"/>
                <w:w w:val="81"/>
              </w:rPr>
              <w:t>(6)</w:t>
            </w:r>
          </w:p>
        </w:tc>
        <w:tc>
          <w:tcPr>
            <w:tcW w:w="1000" w:type="dxa"/>
            <w:vAlign w:val="bottom"/>
            <w:tcBorders>
              <w:top w:val="single" w:sz="8" w:color="auto"/>
              <w:bottom w:val="single" w:sz="8" w:color="auto"/>
            </w:tcBorders>
            <w:gridSpan w:val="3"/>
            <w:vMerge w:val="restart"/>
          </w:tcPr>
          <w:p>
            <w:pPr>
              <w:spacing w:after="0"/>
              <w:rPr>
                <w:sz w:val="6"/>
                <w:szCs w:val="6"/>
                <w:color w:val="auto"/>
              </w:rPr>
            </w:pPr>
          </w:p>
        </w:tc>
        <w:tc>
          <w:tcPr>
            <w:tcW w:w="32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continue"/>
          </w:tcPr>
          <w:p>
            <w:pPr>
              <w:spacing w:after="0"/>
              <w:rPr>
                <w:sz w:val="2"/>
                <w:szCs w:val="2"/>
                <w:color w:val="auto"/>
              </w:rPr>
            </w:pPr>
          </w:p>
        </w:tc>
        <w:tc>
          <w:tcPr>
            <w:tcW w:w="94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 Class B (1,085,073 shares)</w:t>
            </w:r>
          </w:p>
        </w:tc>
        <w:tc>
          <w:tcPr>
            <w:tcW w:w="200" w:type="dxa"/>
            <w:vAlign w:val="bottom"/>
            <w:shd w:val="clear" w:color="auto" w:fill="CFF0FC"/>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ind w:left="16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Burgaflex Holdings, LLC</w:t>
            </w:r>
          </w:p>
        </w:tc>
        <w:tc>
          <w:tcPr>
            <w:tcW w:w="3280" w:type="dxa"/>
            <w:vAlign w:val="bottom"/>
          </w:tcPr>
          <w:p>
            <w:pPr>
              <w:ind w:left="20"/>
              <w:spacing w:after="0"/>
              <w:rPr>
                <w:sz w:val="20"/>
                <w:szCs w:val="20"/>
                <w:color w:val="auto"/>
              </w:rPr>
            </w:pPr>
            <w:r>
              <w:rPr>
                <w:rFonts w:ascii="Arial" w:cs="Arial" w:eastAsia="Arial" w:hAnsi="Arial"/>
                <w:sz w:val="11"/>
                <w:szCs w:val="11"/>
                <w:color w:val="auto"/>
              </w:rPr>
              <w:t>Common Stock Class A (1,253,198 shares)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1,609</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32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2,721</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4,992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GA Communications, Inc.</w:t>
            </w:r>
          </w:p>
        </w:tc>
        <w:tc>
          <w:tcPr>
            <w:tcW w:w="3280" w:type="dxa"/>
            <w:vAlign w:val="bottom"/>
          </w:tcPr>
          <w:p>
            <w:pPr>
              <w:ind w:left="20"/>
              <w:spacing w:after="0"/>
              <w:rPr>
                <w:sz w:val="20"/>
                <w:szCs w:val="20"/>
                <w:color w:val="auto"/>
              </w:rPr>
            </w:pPr>
            <w:r>
              <w:rPr>
                <w:rFonts w:ascii="Arial" w:cs="Arial" w:eastAsia="Arial" w:hAnsi="Arial"/>
                <w:sz w:val="11"/>
                <w:szCs w:val="11"/>
                <w:color w:val="auto"/>
              </w:rPr>
              <w:t>Series A-1 Preferred Stock (1,998 shares)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(832 )</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Series B-1 Common Stock (200,000 shares)</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(185 )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(1,017 )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Great Lakes Funding II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Series A</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(103 )</w:t>
            </w:r>
          </w:p>
        </w:tc>
        <w:tc>
          <w:tcPr>
            <w:tcW w:w="1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(11 )</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(103 )</w:t>
            </w:r>
          </w:p>
        </w:tc>
        <w:tc>
          <w:tcPr>
            <w:tcW w:w="16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(11 )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GreenPark Infrastructure,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Series A (400 Units)</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GreenPark Infrastructure, LLC</w:t>
            </w:r>
          </w:p>
        </w:tc>
        <w:tc>
          <w:tcPr>
            <w:tcW w:w="3280" w:type="dxa"/>
            <w:vAlign w:val="bottom"/>
          </w:tcPr>
          <w:p>
            <w:pPr>
              <w:ind w:left="20"/>
              <w:spacing w:after="0"/>
              <w:rPr>
                <w:sz w:val="20"/>
                <w:szCs w:val="20"/>
                <w:color w:val="auto"/>
              </w:rPr>
            </w:pPr>
            <w:r>
              <w:rPr>
                <w:rFonts w:ascii="Arial" w:cs="Arial" w:eastAsia="Arial" w:hAnsi="Arial"/>
                <w:sz w:val="11"/>
                <w:szCs w:val="11"/>
                <w:color w:val="auto"/>
              </w:rPr>
              <w:t>Series M-1 (200 Units)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32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LJS Partners, LLC</w:t>
            </w:r>
          </w:p>
        </w:tc>
        <w:tc>
          <w:tcPr>
            <w:tcW w:w="3280" w:type="dxa"/>
            <w:vAlign w:val="bottom"/>
          </w:tcPr>
          <w:p>
            <w:pPr>
              <w:ind w:left="20"/>
              <w:spacing w:after="0"/>
              <w:rPr>
                <w:sz w:val="20"/>
                <w:szCs w:val="20"/>
                <w:color w:val="auto"/>
              </w:rPr>
            </w:pPr>
            <w:r>
              <w:rPr>
                <w:rFonts w:ascii="Arial" w:cs="Arial" w:eastAsia="Arial" w:hAnsi="Arial"/>
                <w:sz w:val="11"/>
                <w:szCs w:val="11"/>
                <w:color w:val="auto"/>
              </w:rPr>
              <w:t>Preferred Units (202,336 units)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(979 )</w:t>
            </w: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(406 )</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Membership Units (2,593,234 units)</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(2,354 )</w:t>
            </w: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(5,940 )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(3,333 )</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1,672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(6,346 )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 Lien Debt (12.0% Cash, Due 4/1/22)</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0" w:type="dxa"/>
            <w:vAlign w:val="bottom"/>
            <w:tcBorders>
              <w:right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308</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3280" w:type="dxa"/>
            <w:vAlign w:val="bottom"/>
          </w:tcPr>
          <w:p>
            <w:pPr>
              <w:ind w:left="20"/>
              <w:spacing w:after="0"/>
              <w:rPr>
                <w:sz w:val="20"/>
                <w:szCs w:val="20"/>
                <w:color w:val="auto"/>
              </w:rPr>
            </w:pPr>
            <w:r>
              <w:rPr>
                <w:rFonts w:ascii="Arial" w:cs="Arial" w:eastAsia="Arial" w:hAnsi="Arial"/>
                <w:sz w:val="11"/>
                <w:szCs w:val="11"/>
                <w:color w:val="auto"/>
              </w:rPr>
              <w:t>Second Lien Debt (6.0% Cash, Due 4/1/22)</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400</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7"/>
            <w:shd w:val="clear" w:color="auto" w:fill="CFF0FC"/>
          </w:tcPr>
          <w:p>
            <w:pPr>
              <w:ind w:left="20"/>
              <w:spacing w:after="0" w:line="153"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4"/>
                <w:szCs w:val="14"/>
                <w:color w:val="auto"/>
                <w:vertAlign w:val="superscript"/>
              </w:rPr>
              <w:t>(5)</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 Units (1,000 units, 8.0% PIK Dividend)</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(656 )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3280" w:type="dxa"/>
            <w:vAlign w:val="bottom"/>
          </w:tcPr>
          <w:p>
            <w:pPr>
              <w:ind w:left="20"/>
              <w:spacing w:after="0"/>
              <w:rPr>
                <w:sz w:val="20"/>
                <w:szCs w:val="20"/>
                <w:color w:val="auto"/>
              </w:rPr>
            </w:pPr>
            <w:r>
              <w:rPr>
                <w:rFonts w:ascii="Arial" w:cs="Arial" w:eastAsia="Arial" w:hAnsi="Arial"/>
                <w:sz w:val="11"/>
                <w:szCs w:val="11"/>
                <w:color w:val="auto"/>
              </w:rPr>
              <w:t>Common Membership Units (45 units)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(63 )</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4,961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(719 )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40" w:type="dxa"/>
            <w:vAlign w:val="bottom"/>
            <w:tcBorders>
              <w:top w:val="single" w:sz="8" w:color="CFF0FC"/>
            </w:tcBorders>
            <w:gridSpan w:val="7"/>
          </w:tcPr>
          <w:p>
            <w:pPr>
              <w:ind w:left="20"/>
              <w:spacing w:after="0"/>
              <w:rPr>
                <w:sz w:val="20"/>
                <w:szCs w:val="20"/>
                <w:color w:val="auto"/>
              </w:rPr>
            </w:pPr>
            <w:r>
              <w:rPr>
                <w:rFonts w:ascii="Arial" w:cs="Arial" w:eastAsia="Arial" w:hAnsi="Arial"/>
                <w:sz w:val="11"/>
                <w:szCs w:val="11"/>
                <w:color w:val="auto"/>
              </w:rPr>
              <w:t>Nth Degree Investment Group, LLC</w:t>
            </w:r>
          </w:p>
        </w:tc>
        <w:tc>
          <w:tcPr>
            <w:tcW w:w="328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Membership Units (6,088,000 units)</w:t>
            </w:r>
          </w:p>
        </w:tc>
        <w:tc>
          <w:tcPr>
            <w:tcW w:w="20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5,320</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5,320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5,320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40" w:type="dxa"/>
            <w:vAlign w:val="bottom"/>
            <w:tcBorders>
              <w:top w:val="single" w:sz="8" w:color="CFF0FC"/>
            </w:tcBorders>
            <w:gridSpan w:val="7"/>
          </w:tcPr>
          <w:p>
            <w:pPr>
              <w:ind w:left="20"/>
              <w:spacing w:after="0" w:line="123" w:lineRule="exact"/>
              <w:rPr>
                <w:sz w:val="20"/>
                <w:szCs w:val="20"/>
                <w:color w:val="auto"/>
              </w:rPr>
            </w:pPr>
            <w:r>
              <w:rPr>
                <w:rFonts w:ascii="Arial" w:cs="Arial" w:eastAsia="Arial" w:hAnsi="Arial"/>
                <w:sz w:val="11"/>
                <w:szCs w:val="11"/>
                <w:color w:val="auto"/>
              </w:rPr>
              <w:t>RAM Payment, LLC</w:t>
            </w:r>
          </w:p>
        </w:tc>
        <w:tc>
          <w:tcPr>
            <w:tcW w:w="3280" w:type="dxa"/>
            <w:vAlign w:val="bottom"/>
            <w:tcBorders>
              <w:top w:val="single" w:sz="8" w:color="CFF0FC"/>
            </w:tcBorders>
          </w:tcPr>
          <w:p>
            <w:pPr>
              <w:ind w:left="20"/>
              <w:spacing w:after="0" w:line="123" w:lineRule="exact"/>
              <w:rPr>
                <w:sz w:val="20"/>
                <w:szCs w:val="20"/>
                <w:color w:val="auto"/>
              </w:rPr>
            </w:pPr>
            <w:r>
              <w:rPr>
                <w:rFonts w:ascii="Arial" w:cs="Arial" w:eastAsia="Arial" w:hAnsi="Arial"/>
                <w:sz w:val="11"/>
                <w:szCs w:val="11"/>
                <w:color w:val="auto"/>
                <w:w w:val="93"/>
              </w:rPr>
              <w:t>First Lien Debt (6.5% Cash (1 month LIBOR + 5.0%), 1.5% Floor), Due</w:t>
            </w:r>
          </w:p>
        </w:tc>
        <w:tc>
          <w:tcPr>
            <w:tcW w:w="2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80" w:type="dxa"/>
            <w:vAlign w:val="bottom"/>
          </w:tcPr>
          <w:p>
            <w:pPr>
              <w:ind w:left="20"/>
              <w:spacing w:after="0"/>
              <w:rPr>
                <w:sz w:val="20"/>
                <w:szCs w:val="20"/>
                <w:color w:val="auto"/>
              </w:rPr>
            </w:pPr>
            <w:r>
              <w:rPr>
                <w:rFonts w:ascii="Arial" w:cs="Arial" w:eastAsia="Arial" w:hAnsi="Arial"/>
                <w:sz w:val="11"/>
                <w:szCs w:val="11"/>
                <w:color w:val="auto"/>
              </w:rPr>
              <w:t>1/4/24)</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939</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(59 )</w:t>
            </w:r>
          </w:p>
        </w:tc>
        <w:tc>
          <w:tcPr>
            <w:tcW w:w="1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 Lien Debt (12.45% Cash, Due 1/4/24)</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2,547</w:t>
            </w:r>
          </w:p>
        </w:tc>
        <w:tc>
          <w:tcPr>
            <w:tcW w:w="20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(159 )</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gridSpan w:val="7"/>
          </w:tcPr>
          <w:p>
            <w:pPr>
              <w:ind w:left="20"/>
              <w:spacing w:after="0" w:line="149"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4"/>
                <w:szCs w:val="14"/>
                <w:color w:val="auto"/>
                <w:vertAlign w:val="superscript"/>
              </w:rPr>
              <w:t>(5)</w:t>
            </w:r>
          </w:p>
        </w:tc>
        <w:tc>
          <w:tcPr>
            <w:tcW w:w="3280" w:type="dxa"/>
            <w:vAlign w:val="bottom"/>
          </w:tcPr>
          <w:p>
            <w:pPr>
              <w:ind w:left="20"/>
              <w:spacing w:after="0"/>
              <w:rPr>
                <w:sz w:val="20"/>
                <w:szCs w:val="20"/>
                <w:color w:val="auto"/>
              </w:rPr>
            </w:pPr>
            <w:r>
              <w:rPr>
                <w:rFonts w:ascii="Arial" w:cs="Arial" w:eastAsia="Arial" w:hAnsi="Arial"/>
                <w:sz w:val="11"/>
                <w:szCs w:val="11"/>
                <w:color w:val="auto"/>
              </w:rPr>
              <w:t>Preferred Units (86,000 units, 6.0% PIK Dividend)</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(630 )</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3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(218 )</w:t>
            </w:r>
          </w:p>
        </w:tc>
        <w:tc>
          <w:tcPr>
            <w:tcW w:w="1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(630 )</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CFF0FC"/>
            </w:tcBorders>
            <w:gridSpan w:val="7"/>
          </w:tcPr>
          <w:p>
            <w:pPr>
              <w:ind w:left="20"/>
              <w:spacing w:after="0"/>
              <w:rPr>
                <w:sz w:val="20"/>
                <w:szCs w:val="20"/>
                <w:color w:val="auto"/>
              </w:rPr>
            </w:pPr>
            <w:r>
              <w:rPr>
                <w:rFonts w:ascii="Arial" w:cs="Arial" w:eastAsia="Arial" w:hAnsi="Arial"/>
                <w:sz w:val="11"/>
                <w:szCs w:val="11"/>
                <w:color w:val="auto"/>
              </w:rPr>
              <w:t>Sierra Hamilton Holdings Corporation</w:t>
            </w:r>
          </w:p>
        </w:tc>
        <w:tc>
          <w:tcPr>
            <w:tcW w:w="328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Second Lien Debt (15.0% PIK, Due 9/12/23)</w:t>
            </w:r>
          </w:p>
        </w:tc>
        <w:tc>
          <w:tcPr>
            <w:tcW w:w="20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jc w:val="right"/>
              <w:spacing w:after="0"/>
              <w:rPr>
                <w:sz w:val="20"/>
                <w:szCs w:val="20"/>
                <w:color w:val="auto"/>
              </w:rPr>
            </w:pPr>
            <w:r>
              <w:rPr>
                <w:rFonts w:ascii="Arial" w:cs="Arial" w:eastAsia="Arial" w:hAnsi="Arial"/>
                <w:sz w:val="11"/>
                <w:szCs w:val="11"/>
                <w:color w:val="auto"/>
              </w:rPr>
              <w:t>3</w:t>
            </w:r>
          </w:p>
        </w:tc>
        <w:tc>
          <w:tcPr>
            <w:tcW w:w="20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Sierra Hamilton Holdings Corporation</w:t>
            </w: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 (15,068,000 shares)</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(76 )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(76 )</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Second Lien Debt</w:t>
            </w:r>
          </w:p>
        </w:tc>
        <w:tc>
          <w:tcPr>
            <w:tcW w:w="2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020" w:type="dxa"/>
            <w:vAlign w:val="bottom"/>
            <w:gridSpan w:val="6"/>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3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907</w:t>
            </w:r>
          </w:p>
        </w:tc>
        <w:tc>
          <w:tcPr>
            <w:tcW w:w="220" w:type="dxa"/>
            <w:vAlign w:val="bottom"/>
            <w:gridSpan w:val="2"/>
            <w:shd w:val="clear" w:color="auto" w:fill="CFF0FC"/>
          </w:tcPr>
          <w:p>
            <w:pPr>
              <w:ind w:left="16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28,540</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974</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(3,654 )</w:t>
            </w:r>
          </w:p>
        </w:tc>
        <w:tc>
          <w:tcPr>
            <w:tcW w:w="16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(1,208 )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26,324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CFF0FC"/>
            </w:tcBorders>
          </w:tcPr>
          <w:p>
            <w:pPr>
              <w:spacing w:after="0"/>
              <w:rPr>
                <w:sz w:val="9"/>
                <w:szCs w:val="9"/>
                <w:color w:val="auto"/>
              </w:rPr>
            </w:pPr>
          </w:p>
        </w:tc>
        <w:tc>
          <w:tcPr>
            <w:tcW w:w="90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i w:val="1"/>
                <w:iCs w:val="1"/>
                <w:color w:val="auto"/>
                <w:w w:val="82"/>
              </w:rPr>
              <w:t>Control investments</w:t>
            </w:r>
          </w:p>
        </w:tc>
        <w:tc>
          <w:tcPr>
            <w:tcW w:w="260" w:type="dxa"/>
            <w:vAlign w:val="bottom"/>
            <w:tcBorders>
              <w:top w:val="single" w:sz="8" w:color="auto"/>
            </w:tcBorders>
            <w:gridSpan w:val="4"/>
          </w:tcPr>
          <w:p>
            <w:pPr>
              <w:spacing w:after="0"/>
              <w:rPr>
                <w:sz w:val="9"/>
                <w:szCs w:val="9"/>
                <w:color w:val="auto"/>
              </w:rPr>
            </w:pPr>
          </w:p>
        </w:tc>
        <w:tc>
          <w:tcPr>
            <w:tcW w:w="860" w:type="dxa"/>
            <w:vAlign w:val="bottom"/>
            <w:tcBorders>
              <w:top w:val="single" w:sz="8" w:color="CFF0FC"/>
            </w:tcBorders>
          </w:tcPr>
          <w:p>
            <w:pPr>
              <w:spacing w:after="0"/>
              <w:rPr>
                <w:sz w:val="9"/>
                <w:szCs w:val="9"/>
                <w:color w:val="auto"/>
              </w:rPr>
            </w:pPr>
          </w:p>
        </w:tc>
        <w:tc>
          <w:tcPr>
            <w:tcW w:w="328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32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40" w:type="dxa"/>
            <w:vAlign w:val="bottom"/>
            <w:gridSpan w:val="7"/>
            <w:shd w:val="clear" w:color="auto" w:fill="CFF0FC"/>
          </w:tcPr>
          <w:p>
            <w:pPr>
              <w:ind w:left="20"/>
              <w:spacing w:after="0" w:line="125" w:lineRule="exact"/>
              <w:rPr>
                <w:sz w:val="20"/>
                <w:szCs w:val="20"/>
                <w:color w:val="auto"/>
              </w:rPr>
            </w:pPr>
            <w:r>
              <w:rPr>
                <w:rFonts w:ascii="Arial" w:cs="Arial" w:eastAsia="Arial" w:hAnsi="Arial"/>
                <w:sz w:val="11"/>
                <w:szCs w:val="11"/>
                <w:color w:val="auto"/>
              </w:rPr>
              <w:t>Vology, Inc.</w:t>
            </w:r>
          </w:p>
        </w:tc>
        <w:tc>
          <w:tcPr>
            <w:tcW w:w="328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w w:val="93"/>
              </w:rPr>
              <w:t>First Lien Debt (10.5% Cash (1 month LIBOR + 8.5%, 2.0% Floor), Due</w:t>
            </w: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3/31/22)</w:t>
            </w:r>
          </w:p>
        </w:tc>
        <w:tc>
          <w:tcPr>
            <w:tcW w:w="200" w:type="dxa"/>
            <w:vAlign w:val="bottom"/>
            <w:shd w:val="clear" w:color="auto" w:fill="CFF0FC"/>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w:t>
            </w:r>
          </w:p>
        </w:tc>
        <w:tc>
          <w:tcPr>
            <w:tcW w:w="220" w:type="dxa"/>
            <w:vAlign w:val="bottom"/>
            <w:gridSpan w:val="2"/>
            <w:shd w:val="clear" w:color="auto" w:fill="CFF0FC"/>
          </w:tcPr>
          <w:p>
            <w:pPr>
              <w:ind w:left="16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(3,635 )</w:t>
            </w:r>
          </w:p>
        </w:tc>
        <w:tc>
          <w:tcPr>
            <w:tcW w:w="16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gridSpan w:val="7"/>
          </w:tcPr>
          <w:p>
            <w:pPr>
              <w:ind w:left="20"/>
              <w:spacing w:after="0"/>
              <w:rPr>
                <w:sz w:val="20"/>
                <w:szCs w:val="20"/>
                <w:color w:val="auto"/>
              </w:rPr>
            </w:pPr>
            <w:r>
              <w:rPr>
                <w:rFonts w:ascii="Arial" w:cs="Arial" w:eastAsia="Arial" w:hAnsi="Arial"/>
                <w:sz w:val="11"/>
                <w:szCs w:val="11"/>
                <w:color w:val="auto"/>
              </w:rPr>
              <w:t>Vology, Inc.</w:t>
            </w:r>
          </w:p>
        </w:tc>
        <w:tc>
          <w:tcPr>
            <w:tcW w:w="3280" w:type="dxa"/>
            <w:vAlign w:val="bottom"/>
          </w:tcPr>
          <w:p>
            <w:pPr>
              <w:ind w:left="20"/>
              <w:spacing w:after="0"/>
              <w:rPr>
                <w:sz w:val="20"/>
                <w:szCs w:val="20"/>
                <w:color w:val="auto"/>
              </w:rPr>
            </w:pPr>
            <w:r>
              <w:rPr>
                <w:rFonts w:ascii="Arial" w:cs="Arial" w:eastAsia="Arial" w:hAnsi="Arial"/>
                <w:sz w:val="11"/>
                <w:szCs w:val="11"/>
                <w:color w:val="auto"/>
              </w:rPr>
              <w:t>Class A Preferred Units (9,041,810 Units)</w:t>
            </w:r>
          </w:p>
        </w:tc>
        <w:tc>
          <w:tcPr>
            <w:tcW w:w="2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(5,215 )</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Membership Units (5,363,982 Units)</w:t>
            </w: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right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1"/>
                <w:szCs w:val="11"/>
                <w:b w:val="1"/>
                <w:bCs w:val="1"/>
                <w:i w:val="1"/>
                <w:iCs w:val="1"/>
                <w:color w:val="auto"/>
              </w:rPr>
              <w:t>Total Control investments</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228</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6,839</w:t>
            </w:r>
          </w:p>
        </w:tc>
        <w:tc>
          <w:tcPr>
            <w:tcW w:w="240" w:type="dxa"/>
            <w:vAlign w:val="bottom"/>
            <w:gridSpan w:val="2"/>
          </w:tcPr>
          <w:p>
            <w:pPr>
              <w:ind w:left="16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(3,635 )</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(5,215 )</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2,011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-3488055</wp:posOffset>
            </wp:positionV>
            <wp:extent cx="76835" cy="1028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-3488055</wp:posOffset>
            </wp:positionV>
            <wp:extent cx="77470" cy="1028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-3488055</wp:posOffset>
            </wp:positionV>
            <wp:extent cx="68580" cy="1028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-3488055</wp:posOffset>
            </wp:positionV>
            <wp:extent cx="68580" cy="1028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-3488055</wp:posOffset>
            </wp:positionV>
            <wp:extent cx="68580" cy="1028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-3488055</wp:posOffset>
            </wp:positionV>
            <wp:extent cx="68580" cy="1028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1028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-3291205</wp:posOffset>
            </wp:positionV>
            <wp:extent cx="76835" cy="1111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-3291205</wp:posOffset>
            </wp:positionV>
            <wp:extent cx="77470" cy="1111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-3291205</wp:posOffset>
            </wp:positionV>
            <wp:extent cx="68580" cy="1111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-3291205</wp:posOffset>
            </wp:positionV>
            <wp:extent cx="68580" cy="1111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-3291205</wp:posOffset>
            </wp:positionV>
            <wp:extent cx="68580" cy="1111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-3291205</wp:posOffset>
            </wp:positionV>
            <wp:extent cx="68580" cy="1111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1111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-3085465</wp:posOffset>
            </wp:positionV>
            <wp:extent cx="76835" cy="1117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-3085465</wp:posOffset>
            </wp:positionV>
            <wp:extent cx="77470" cy="1117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-3085465</wp:posOffset>
            </wp:positionV>
            <wp:extent cx="68580" cy="11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-3085465</wp:posOffset>
            </wp:positionV>
            <wp:extent cx="68580" cy="1117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-3085465</wp:posOffset>
            </wp:positionV>
            <wp:extent cx="68580" cy="1117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-3085465</wp:posOffset>
            </wp:positionV>
            <wp:extent cx="68580" cy="1117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1117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-2682240</wp:posOffset>
            </wp:positionV>
            <wp:extent cx="76835" cy="1028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-2682240</wp:posOffset>
            </wp:positionV>
            <wp:extent cx="77470" cy="1028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-2682240</wp:posOffset>
            </wp:positionV>
            <wp:extent cx="68580" cy="1028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-2682240</wp:posOffset>
            </wp:positionV>
            <wp:extent cx="68580" cy="1028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-2682240</wp:posOffset>
            </wp:positionV>
            <wp:extent cx="68580" cy="1028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-2682240</wp:posOffset>
            </wp:positionV>
            <wp:extent cx="68580" cy="1028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028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-2485390</wp:posOffset>
            </wp:positionV>
            <wp:extent cx="76835" cy="1117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-2485390</wp:posOffset>
            </wp:positionV>
            <wp:extent cx="77470" cy="1117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-2485390</wp:posOffset>
            </wp:positionV>
            <wp:extent cx="68580" cy="1117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-2485390</wp:posOffset>
            </wp:positionV>
            <wp:extent cx="68580" cy="1117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-2485390</wp:posOffset>
            </wp:positionV>
            <wp:extent cx="68580" cy="1117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-2485390</wp:posOffset>
            </wp:positionV>
            <wp:extent cx="68580" cy="1117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117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-1893570</wp:posOffset>
            </wp:positionV>
            <wp:extent cx="76835" cy="1117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-1893570</wp:posOffset>
            </wp:positionV>
            <wp:extent cx="77470" cy="1117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-1893570</wp:posOffset>
            </wp:positionV>
            <wp:extent cx="68580" cy="1117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-1893570</wp:posOffset>
            </wp:positionV>
            <wp:extent cx="68580" cy="1117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-1893570</wp:posOffset>
            </wp:positionV>
            <wp:extent cx="68580" cy="1117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-1893570</wp:posOffset>
            </wp:positionV>
            <wp:extent cx="68580" cy="1117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117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-1687830</wp:posOffset>
            </wp:positionV>
            <wp:extent cx="76835" cy="179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-1687830</wp:posOffset>
            </wp:positionV>
            <wp:extent cx="7747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-1687830</wp:posOffset>
            </wp:positionV>
            <wp:extent cx="68580" cy="179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-1687830</wp:posOffset>
            </wp:positionV>
            <wp:extent cx="68580" cy="1797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-1687830</wp:posOffset>
            </wp:positionV>
            <wp:extent cx="68580" cy="179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-1687830</wp:posOffset>
            </wp:positionV>
            <wp:extent cx="68580" cy="179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79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-1216660</wp:posOffset>
            </wp:positionV>
            <wp:extent cx="76835" cy="1028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77470" cy="1028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68580" cy="1028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-1216660</wp:posOffset>
            </wp:positionV>
            <wp:extent cx="68580" cy="1028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-1216660</wp:posOffset>
            </wp:positionV>
            <wp:extent cx="68580" cy="1028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-1216660</wp:posOffset>
            </wp:positionV>
            <wp:extent cx="68580" cy="1028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028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-1019810</wp:posOffset>
            </wp:positionV>
            <wp:extent cx="76835" cy="1117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-1019810</wp:posOffset>
            </wp:positionV>
            <wp:extent cx="77470" cy="1117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-1019810</wp:posOffset>
            </wp:positionV>
            <wp:extent cx="68580" cy="1117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-1019810</wp:posOffset>
            </wp:positionV>
            <wp:extent cx="68580" cy="1117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-1019810</wp:posOffset>
            </wp:positionV>
            <wp:extent cx="68580" cy="1117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-1019810</wp:posOffset>
            </wp:positionV>
            <wp:extent cx="68580" cy="1117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117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-814070</wp:posOffset>
            </wp:positionV>
            <wp:extent cx="76835"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-814070</wp:posOffset>
            </wp:positionV>
            <wp:extent cx="77470" cy="1111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-814070</wp:posOffset>
            </wp:positionV>
            <wp:extent cx="68580" cy="1111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-814070</wp:posOffset>
            </wp:positionV>
            <wp:extent cx="68580" cy="1111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-814070</wp:posOffset>
            </wp:positionV>
            <wp:extent cx="68580" cy="1111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-814070</wp:posOffset>
            </wp:positionV>
            <wp:extent cx="68580" cy="1111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111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-608330</wp:posOffset>
            </wp:positionV>
            <wp:extent cx="2957195" cy="1200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57195" cy="1200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-128270</wp:posOffset>
            </wp:positionV>
            <wp:extent cx="76835"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-128270</wp:posOffset>
            </wp:positionV>
            <wp:extent cx="77470"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-128270</wp:posOffset>
            </wp:positionV>
            <wp:extent cx="68580"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-128270</wp:posOffset>
            </wp:positionV>
            <wp:extent cx="68580" cy="128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-128270</wp:posOffset>
            </wp:positionV>
            <wp:extent cx="68580" cy="1289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-128270</wp:posOffset>
            </wp:positionV>
            <wp:extent cx="68580" cy="1289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9512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7" w:lineRule="exact"/>
        <w:rPr>
          <w:rFonts w:ascii="Arial" w:cs="Arial" w:eastAsia="Arial" w:hAnsi="Arial"/>
          <w:sz w:val="8"/>
          <w:szCs w:val="8"/>
          <w:b w:val="1"/>
          <w:bCs w:val="1"/>
          <w:color w:val="auto"/>
        </w:rPr>
      </w:pPr>
    </w:p>
    <w:p>
      <w:pPr>
        <w:ind w:left="520" w:hanging="512"/>
        <w:spacing w:after="0" w:line="234" w:lineRule="auto"/>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520" w:hanging="512"/>
        <w:spacing w:after="0" w:line="234" w:lineRule="auto"/>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Gross reductions include decreases in the cost basis of investments resulting from principal repayments and sales. Gross reductions also include transfers out of Affiliate or Control classification.</w:t>
      </w:r>
    </w:p>
    <w:p>
      <w:pPr>
        <w:ind w:left="520" w:hanging="512"/>
        <w:spacing w:after="0" w:line="234" w:lineRule="auto"/>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All debt investments are income producing. Equity and warrant investments are non-income producing, unless otherwise noted.</w:t>
      </w:r>
    </w:p>
    <w:p>
      <w:pPr>
        <w:ind w:left="520" w:hanging="512"/>
        <w:spacing w:after="0" w:line="234" w:lineRule="auto"/>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The equity investment is income producing, based on rate disclosed.</w:t>
      </w:r>
    </w:p>
    <w:p>
      <w:pPr>
        <w:jc w:val="both"/>
        <w:ind w:left="520" w:hanging="512"/>
        <w:spacing w:after="0" w:line="236" w:lineRule="auto"/>
        <w:tabs>
          <w:tab w:leader="none" w:pos="520" w:val="left"/>
        </w:tabs>
        <w:numPr>
          <w:ilvl w:val="0"/>
          <w:numId w:val="75"/>
        </w:numPr>
        <w:rPr>
          <w:rFonts w:ascii="Arial" w:cs="Arial" w:eastAsia="Arial" w:hAnsi="Arial"/>
          <w:sz w:val="8"/>
          <w:szCs w:val="8"/>
          <w:b w:val="1"/>
          <w:bCs w:val="1"/>
          <w:color w:val="auto"/>
        </w:rPr>
      </w:pPr>
      <w:r>
        <w:rPr>
          <w:rFonts w:ascii="Arial" w:cs="Arial" w:eastAsia="Arial" w:hAnsi="Arial"/>
          <w:sz w:val="12"/>
          <w:szCs w:val="12"/>
          <w:color w:val="auto"/>
        </w:rPr>
        <w:t>During the second quarter of 2022, Eastport Holdings, LLC completed a refinancing and recapitalization transaction. Logan Ridge received $16.5 million in cash and $19.3 million in principal of a new debt security in exchange for all of its previous debt and equity securities, which resulted in a realized gain of approximately $16.0 million on the Company's equity interest. As a result of this transaction, Eastport Holdings, LLC is no longer an affiliate of the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During the year ended December 31, 2021, the Company had investments in portfolio companies designated as affiliates under the 1940 Act. Transactions with affiliates were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76"/>
              </w:rPr>
              <w:t>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3"/>
              </w:rPr>
              <w:t>Interest,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Unrealized</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vMerge w:val="restart"/>
          </w:tcPr>
          <w:p>
            <w:pPr>
              <w:jc w:val="center"/>
              <w:ind w:right="46"/>
              <w:spacing w:after="0" w:line="122" w:lineRule="exact"/>
              <w:rPr>
                <w:sz w:val="20"/>
                <w:szCs w:val="20"/>
                <w:color w:val="auto"/>
              </w:rPr>
            </w:pPr>
            <w:r>
              <w:rPr>
                <w:rFonts w:ascii="Arial" w:cs="Arial" w:eastAsia="Arial" w:hAnsi="Arial"/>
                <w:sz w:val="11"/>
                <w:szCs w:val="11"/>
                <w:b w:val="1"/>
                <w:bCs w:val="1"/>
                <w:color w:val="auto"/>
                <w:w w:val="81"/>
              </w:rPr>
              <w:t>Fees or</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7"/>
              </w:rPr>
              <w:t>December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3"/>
            <w:vMerge w:val="restart"/>
          </w:tcPr>
          <w:p>
            <w:pPr>
              <w:ind w:left="20"/>
              <w:spacing w:after="0" w:line="122" w:lineRule="exact"/>
              <w:rPr>
                <w:sz w:val="20"/>
                <w:szCs w:val="20"/>
                <w:color w:val="auto"/>
              </w:rPr>
            </w:pPr>
            <w:r>
              <w:rPr>
                <w:rFonts w:ascii="Arial" w:cs="Arial" w:eastAsia="Arial" w:hAnsi="Arial"/>
                <w:sz w:val="11"/>
                <w:szCs w:val="11"/>
                <w:b w:val="1"/>
                <w:bCs w:val="1"/>
                <w:color w:val="auto"/>
              </w:rPr>
              <w:t>Appreciati</w:t>
            </w:r>
          </w:p>
        </w:tc>
        <w:tc>
          <w:tcPr>
            <w:tcW w:w="54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3"/>
              </w:rPr>
              <w:t>December</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vMerge w:val="restart"/>
          </w:tcPr>
          <w:p>
            <w:pPr>
              <w:jc w:val="center"/>
              <w:spacing w:after="0" w:line="122" w:lineRule="exact"/>
              <w:rPr>
                <w:sz w:val="20"/>
                <w:szCs w:val="20"/>
                <w:color w:val="auto"/>
              </w:rPr>
            </w:pPr>
            <w:r>
              <w:rPr>
                <w:rFonts w:ascii="Arial" w:cs="Arial" w:eastAsia="Arial" w:hAnsi="Arial"/>
                <w:sz w:val="11"/>
                <w:szCs w:val="11"/>
                <w:b w:val="1"/>
                <w:bCs w:val="1"/>
                <w:color w:val="auto"/>
                <w:w w:val="87"/>
              </w:rPr>
              <w:t>Dividends</w:t>
            </w:r>
          </w:p>
        </w:tc>
        <w:tc>
          <w:tcPr>
            <w:tcW w:w="14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vMerge w:val="restart"/>
          </w:tcPr>
          <w:p>
            <w:pPr>
              <w:jc w:val="right"/>
              <w:ind w:right="166"/>
              <w:spacing w:after="0" w:line="122" w:lineRule="exact"/>
              <w:rPr>
                <w:sz w:val="20"/>
                <w:szCs w:val="20"/>
                <w:color w:val="auto"/>
              </w:rPr>
            </w:pPr>
            <w:r>
              <w:rPr>
                <w:rFonts w:ascii="Arial" w:cs="Arial" w:eastAsia="Arial" w:hAnsi="Arial"/>
                <w:sz w:val="11"/>
                <w:szCs w:val="11"/>
                <w:b w:val="1"/>
                <w:bCs w:val="1"/>
                <w:color w:val="auto"/>
              </w:rPr>
              <w:t>31,</w:t>
            </w:r>
          </w:p>
        </w:tc>
        <w:tc>
          <w:tcPr>
            <w:tcW w:w="120" w:type="dxa"/>
            <w:vAlign w:val="bottom"/>
          </w:tcPr>
          <w:p>
            <w:pPr>
              <w:spacing w:after="0"/>
              <w:rPr>
                <w:sz w:val="3"/>
                <w:szCs w:val="3"/>
                <w:color w:val="auto"/>
              </w:rPr>
            </w:pPr>
          </w:p>
        </w:tc>
        <w:tc>
          <w:tcPr>
            <w:tcW w:w="380" w:type="dxa"/>
            <w:vAlign w:val="bottom"/>
            <w:gridSpan w:val="2"/>
            <w:vMerge w:val="restart"/>
          </w:tcPr>
          <w:p>
            <w:pPr>
              <w:jc w:val="right"/>
              <w:ind w:right="7"/>
              <w:spacing w:after="0" w:line="122" w:lineRule="exact"/>
              <w:rPr>
                <w:sz w:val="20"/>
                <w:szCs w:val="20"/>
                <w:color w:val="auto"/>
              </w:rPr>
            </w:pPr>
            <w:r>
              <w:rPr>
                <w:rFonts w:ascii="Arial" w:cs="Arial" w:eastAsia="Arial" w:hAnsi="Arial"/>
                <w:sz w:val="11"/>
                <w:szCs w:val="11"/>
                <w:b w:val="1"/>
                <w:bCs w:val="1"/>
                <w:color w:val="auto"/>
                <w:w w:val="94"/>
              </w:rPr>
              <w:t>Gross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85"/>
              </w:rPr>
              <w:t>Realized</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gridSpan w:val="2"/>
            <w:vMerge w:val="restart"/>
          </w:tcPr>
          <w:p>
            <w:pPr>
              <w:jc w:val="right"/>
              <w:ind w:right="320"/>
              <w:spacing w:after="0" w:line="122" w:lineRule="exact"/>
              <w:rPr>
                <w:sz w:val="20"/>
                <w:szCs w:val="20"/>
                <w:color w:val="auto"/>
              </w:rPr>
            </w:pPr>
            <w:r>
              <w:rPr>
                <w:rFonts w:ascii="Arial" w:cs="Arial" w:eastAsia="Arial" w:hAnsi="Arial"/>
                <w:sz w:val="11"/>
                <w:szCs w:val="11"/>
                <w:b w:val="1"/>
                <w:bCs w:val="1"/>
                <w:color w:val="auto"/>
              </w:rPr>
              <w:t>on</w:t>
            </w:r>
          </w:p>
        </w:tc>
        <w:tc>
          <w:tcPr>
            <w:tcW w:w="120" w:type="dxa"/>
            <w:vAlign w:val="bottom"/>
          </w:tcPr>
          <w:p>
            <w:pPr>
              <w:spacing w:after="0"/>
              <w:rPr>
                <w:sz w:val="3"/>
                <w:szCs w:val="3"/>
                <w:color w:val="auto"/>
              </w:rPr>
            </w:pPr>
          </w:p>
        </w:tc>
        <w:tc>
          <w:tcPr>
            <w:tcW w:w="420" w:type="dxa"/>
            <w:vAlign w:val="bottom"/>
            <w:vMerge w:val="restart"/>
          </w:tcPr>
          <w:p>
            <w:pPr>
              <w:jc w:val="right"/>
              <w:ind w:right="166"/>
              <w:spacing w:after="0" w:line="122" w:lineRule="exact"/>
              <w:rPr>
                <w:sz w:val="20"/>
                <w:szCs w:val="20"/>
                <w:color w:val="auto"/>
              </w:rPr>
            </w:pPr>
            <w:r>
              <w:rPr>
                <w:rFonts w:ascii="Arial" w:cs="Arial" w:eastAsia="Arial" w:hAnsi="Arial"/>
                <w:sz w:val="11"/>
                <w:szCs w:val="11"/>
                <w:b w:val="1"/>
                <w:bCs w:val="1"/>
                <w:color w:val="auto"/>
              </w:rPr>
              <w:t>31,</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vMerge w:val="restart"/>
          </w:tcPr>
          <w:p>
            <w:pPr>
              <w:jc w:val="center"/>
              <w:spacing w:after="0" w:line="122" w:lineRule="exact"/>
              <w:rPr>
                <w:sz w:val="20"/>
                <w:szCs w:val="20"/>
                <w:color w:val="auto"/>
              </w:rPr>
            </w:pPr>
            <w:r>
              <w:rPr>
                <w:rFonts w:ascii="Arial" w:cs="Arial" w:eastAsia="Arial" w:hAnsi="Arial"/>
                <w:sz w:val="11"/>
                <w:szCs w:val="11"/>
                <w:b w:val="1"/>
                <w:bCs w:val="1"/>
                <w:color w:val="auto"/>
                <w:w w:val="89"/>
              </w:rPr>
              <w:t>Credited</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Gross</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gridSpan w:val="2"/>
            <w:vMerge w:val="restart"/>
          </w:tcPr>
          <w:p>
            <w:pPr>
              <w:jc w:val="right"/>
              <w:ind w:right="26"/>
              <w:spacing w:after="0"/>
              <w:rPr>
                <w:sz w:val="20"/>
                <w:szCs w:val="20"/>
                <w:color w:val="auto"/>
              </w:rPr>
            </w:pPr>
            <w:r>
              <w:rPr>
                <w:rFonts w:ascii="Arial" w:cs="Arial" w:eastAsia="Arial" w:hAnsi="Arial"/>
                <w:sz w:val="11"/>
                <w:szCs w:val="11"/>
                <w:b w:val="1"/>
                <w:bCs w:val="1"/>
                <w:color w:val="auto"/>
                <w:w w:val="98"/>
              </w:rPr>
              <w:t>Principal</w:t>
            </w:r>
          </w:p>
        </w:tc>
        <w:tc>
          <w:tcPr>
            <w:tcW w:w="12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7"/>
              </w:rPr>
              <w:t>2020</w:t>
            </w:r>
          </w:p>
        </w:tc>
        <w:tc>
          <w:tcPr>
            <w:tcW w:w="120" w:type="dxa"/>
            <w:vAlign w:val="bottom"/>
          </w:tcPr>
          <w:p>
            <w:pPr>
              <w:spacing w:after="0"/>
              <w:rPr>
                <w:sz w:val="3"/>
                <w:szCs w:val="3"/>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9"/>
              </w:rPr>
              <w:t>Additio</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Gain/(L</w:t>
            </w:r>
          </w:p>
        </w:tc>
        <w:tc>
          <w:tcPr>
            <w:tcW w:w="120" w:type="dxa"/>
            <w:vAlign w:val="bottom"/>
          </w:tcPr>
          <w:p>
            <w:pPr>
              <w:spacing w:after="0"/>
              <w:rPr>
                <w:sz w:val="3"/>
                <w:szCs w:val="3"/>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(Depreciat</w:t>
            </w:r>
          </w:p>
        </w:tc>
        <w:tc>
          <w:tcPr>
            <w:tcW w:w="120" w:type="dxa"/>
            <w:vAlign w:val="bottom"/>
          </w:tcPr>
          <w:p>
            <w:pPr>
              <w:spacing w:after="0"/>
              <w:rPr>
                <w:sz w:val="3"/>
                <w:szCs w:val="3"/>
                <w:color w:val="auto"/>
              </w:rPr>
            </w:pPr>
          </w:p>
        </w:tc>
        <w:tc>
          <w:tcPr>
            <w:tcW w:w="4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20" w:type="dxa"/>
            <w:vAlign w:val="bottom"/>
          </w:tcPr>
          <w:p>
            <w:pPr>
              <w:spacing w:after="0"/>
              <w:rPr>
                <w:sz w:val="9"/>
                <w:szCs w:val="9"/>
                <w:color w:val="auto"/>
              </w:rPr>
            </w:pPr>
          </w:p>
        </w:tc>
        <w:tc>
          <w:tcPr>
            <w:tcW w:w="3380" w:type="dxa"/>
            <w:vAlign w:val="bottom"/>
            <w:vMerge w:val="restart"/>
          </w:tcPr>
          <w:p>
            <w:pPr>
              <w:ind w:left="1240"/>
              <w:spacing w:after="0"/>
              <w:rPr>
                <w:sz w:val="20"/>
                <w:szCs w:val="20"/>
                <w:color w:val="auto"/>
              </w:rPr>
            </w:pPr>
            <w:r>
              <w:rPr>
                <w:rFonts w:ascii="Arial" w:cs="Arial" w:eastAsia="Arial" w:hAnsi="Arial"/>
                <w:sz w:val="11"/>
                <w:szCs w:val="11"/>
                <w:b w:val="1"/>
                <w:bCs w:val="1"/>
                <w:color w:val="auto"/>
              </w:rPr>
              <w:t>Type of Investment</w:t>
            </w:r>
          </w:p>
        </w:tc>
        <w:tc>
          <w:tcPr>
            <w:tcW w:w="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88"/>
              </w:rPr>
              <w:t>to Income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jc w:val="center"/>
              <w:ind w:right="140"/>
              <w:spacing w:after="0" w:line="109" w:lineRule="exact"/>
              <w:rPr>
                <w:sz w:val="20"/>
                <w:szCs w:val="20"/>
                <w:color w:val="auto"/>
              </w:rPr>
            </w:pPr>
            <w:r>
              <w:rPr>
                <w:rFonts w:ascii="Arial" w:cs="Arial" w:eastAsia="Arial" w:hAnsi="Arial"/>
                <w:sz w:val="11"/>
                <w:szCs w:val="11"/>
                <w:b w:val="1"/>
                <w:bCs w:val="1"/>
                <w:color w:val="auto"/>
                <w:w w:val="86"/>
              </w:rPr>
              <w:t>Reductions</w:t>
            </w:r>
          </w:p>
        </w:tc>
        <w:tc>
          <w:tcPr>
            <w:tcW w:w="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6"/>
              <w:spacing w:after="0"/>
              <w:rPr>
                <w:sz w:val="20"/>
                <w:szCs w:val="20"/>
                <w:color w:val="auto"/>
              </w:rPr>
            </w:pPr>
            <w:r>
              <w:rPr>
                <w:rFonts w:ascii="Arial" w:cs="Arial" w:eastAsia="Arial" w:hAnsi="Arial"/>
                <w:sz w:val="7"/>
                <w:szCs w:val="7"/>
                <w:b w:val="1"/>
                <w:bCs w:val="1"/>
                <w:color w:val="auto"/>
                <w:w w:val="92"/>
              </w:rPr>
              <w:t>(1)</w:t>
            </w:r>
          </w:p>
        </w:tc>
        <w:tc>
          <w:tcPr>
            <w:tcW w:w="140" w:type="dxa"/>
            <w:vAlign w:val="bottom"/>
          </w:tcPr>
          <w:p>
            <w:pPr>
              <w:spacing w:after="0"/>
              <w:rPr>
                <w:sz w:val="10"/>
                <w:szCs w:val="10"/>
                <w:color w:val="auto"/>
              </w:rPr>
            </w:pPr>
          </w:p>
        </w:tc>
        <w:tc>
          <w:tcPr>
            <w:tcW w:w="5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4"/>
              </w:rPr>
              <w:t>Fair Value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27"/>
              <w:spacing w:after="0" w:line="122" w:lineRule="exact"/>
              <w:rPr>
                <w:sz w:val="20"/>
                <w:szCs w:val="20"/>
                <w:color w:val="auto"/>
              </w:rPr>
            </w:pPr>
            <w:r>
              <w:rPr>
                <w:rFonts w:ascii="Arial" w:cs="Arial" w:eastAsia="Arial" w:hAnsi="Arial"/>
                <w:sz w:val="14"/>
                <w:szCs w:val="14"/>
                <w:b w:val="1"/>
                <w:bCs w:val="1"/>
                <w:color w:val="auto"/>
                <w:vertAlign w:val="subscript"/>
              </w:rPr>
              <w:t>ns</w:t>
            </w:r>
            <w:r>
              <w:rPr>
                <w:rFonts w:ascii="Arial" w:cs="Arial" w:eastAsia="Arial" w:hAnsi="Arial"/>
                <w:sz w:val="6"/>
                <w:szCs w:val="6"/>
                <w:b w:val="1"/>
                <w:bCs w:val="1"/>
                <w:color w:val="auto"/>
              </w:rPr>
              <w:t xml:space="preserve"> (2)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6"/>
              <w:spacing w:after="0"/>
              <w:rPr>
                <w:sz w:val="20"/>
                <w:szCs w:val="20"/>
                <w:color w:val="auto"/>
              </w:rPr>
            </w:pPr>
            <w:r>
              <w:rPr>
                <w:rFonts w:ascii="Arial" w:cs="Arial" w:eastAsia="Arial" w:hAnsi="Arial"/>
                <w:sz w:val="7"/>
                <w:szCs w:val="7"/>
                <w:b w:val="1"/>
                <w:bCs w:val="1"/>
                <w:color w:val="auto"/>
                <w:w w:val="92"/>
              </w:rPr>
              <w:t>(3)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w w:val="79"/>
              </w:rPr>
              <w:t>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ion)</w:t>
            </w:r>
          </w:p>
        </w:tc>
        <w:tc>
          <w:tcPr>
            <w:tcW w:w="5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4"/>
              </w:rPr>
              <w:t>Fair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auto"/>
              <w:bottom w:val="single" w:sz="8" w:color="CFF0FC"/>
            </w:tcBorders>
            <w:shd w:val="clear" w:color="auto" w:fill="CFF0FC"/>
          </w:tcPr>
          <w:p>
            <w:pPr>
              <w:spacing w:after="0"/>
              <w:rPr>
                <w:sz w:val="10"/>
                <w:szCs w:val="10"/>
                <w:color w:val="auto"/>
              </w:rPr>
            </w:pPr>
          </w:p>
        </w:tc>
        <w:tc>
          <w:tcPr>
            <w:tcW w:w="920" w:type="dxa"/>
            <w:vAlign w:val="bottom"/>
            <w:tcBorders>
              <w:top w:val="single" w:sz="8" w:color="auto"/>
              <w:bottom w:val="single" w:sz="8" w:color="auto"/>
            </w:tcBorders>
            <w:gridSpan w:val="2"/>
            <w:shd w:val="clear" w:color="auto" w:fill="CFF0FC"/>
          </w:tcPr>
          <w:p>
            <w:pPr>
              <w:spacing w:after="0" w:line="115" w:lineRule="exact"/>
              <w:rPr>
                <w:sz w:val="20"/>
                <w:szCs w:val="20"/>
                <w:color w:val="auto"/>
              </w:rPr>
            </w:pPr>
            <w:r>
              <w:rPr>
                <w:rFonts w:ascii="Arial" w:cs="Arial" w:eastAsia="Arial" w:hAnsi="Arial"/>
                <w:sz w:val="11"/>
                <w:szCs w:val="11"/>
                <w:b w:val="1"/>
                <w:bCs w:val="1"/>
                <w:i w:val="1"/>
                <w:iCs w:val="1"/>
                <w:color w:val="auto"/>
                <w:w w:val="83"/>
              </w:rPr>
              <w:t>Affiliate investments</w:t>
            </w:r>
          </w:p>
        </w:tc>
        <w:tc>
          <w:tcPr>
            <w:tcW w:w="1820" w:type="dxa"/>
            <w:vAlign w:val="bottom"/>
            <w:tcBorders>
              <w:top w:val="single" w:sz="8" w:color="auto"/>
              <w:bottom w:val="single" w:sz="8" w:color="CFF0FC"/>
            </w:tcBorders>
            <w:gridSpan w:val="4"/>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3380" w:type="dxa"/>
            <w:vAlign w:val="bottom"/>
            <w:tcBorders>
              <w:top w:val="single" w:sz="8" w:color="auto"/>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8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44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30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50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CFF0FC"/>
            </w:tcBorders>
            <w:shd w:val="clear" w:color="auto" w:fill="CFF0FC"/>
          </w:tcPr>
          <w:p>
            <w:pPr>
              <w:spacing w:after="0"/>
              <w:rPr>
                <w:sz w:val="10"/>
                <w:szCs w:val="10"/>
                <w:color w:val="auto"/>
              </w:rPr>
            </w:pPr>
          </w:p>
        </w:tc>
        <w:tc>
          <w:tcPr>
            <w:tcW w:w="32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Burgaflex Holdings,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First Lien Debt (12.0% Cash, 3.0% PIK, Due 3/23/21)</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152</w:t>
            </w:r>
          </w:p>
        </w:tc>
        <w:tc>
          <w:tcPr>
            <w:tcW w:w="26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13,597</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(13,597 )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Common Stock Class B (1,085,073 shares)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Burgaflex Holdings,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Common Stock Class A (1,253,198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14,935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(13,597 )</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City Gear,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Membership Unit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(2,215 )</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2,215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(2,011 )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(2,215 )</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(2,011 )</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60" w:type="dxa"/>
            <w:vAlign w:val="bottom"/>
            <w:tcBorders>
              <w:top w:val="single" w:sz="8" w:color="CFF0FC"/>
            </w:tcBorders>
            <w:gridSpan w:val="7"/>
          </w:tcPr>
          <w:p>
            <w:pPr>
              <w:ind w:left="20"/>
              <w:spacing w:after="0" w:line="123" w:lineRule="exact"/>
              <w:rPr>
                <w:sz w:val="20"/>
                <w:szCs w:val="20"/>
                <w:color w:val="auto"/>
              </w:rPr>
            </w:pPr>
            <w:r>
              <w:rPr>
                <w:rFonts w:ascii="Arial" w:cs="Arial" w:eastAsia="Arial" w:hAnsi="Arial"/>
                <w:sz w:val="11"/>
                <w:szCs w:val="11"/>
                <w:color w:val="auto"/>
              </w:rPr>
              <w:t>Eastport Holdings, LLC</w:t>
            </w:r>
          </w:p>
        </w:tc>
        <w:tc>
          <w:tcPr>
            <w:tcW w:w="20" w:type="dxa"/>
            <w:vAlign w:val="bottom"/>
            <w:tcBorders>
              <w:top w:val="single" w:sz="8" w:color="CFF0FC"/>
            </w:tcBorders>
          </w:tcPr>
          <w:p>
            <w:pPr>
              <w:spacing w:after="0"/>
              <w:rPr>
                <w:sz w:val="10"/>
                <w:szCs w:val="10"/>
                <w:color w:val="auto"/>
              </w:rPr>
            </w:pPr>
          </w:p>
        </w:tc>
        <w:tc>
          <w:tcPr>
            <w:tcW w:w="3380" w:type="dxa"/>
            <w:vAlign w:val="bottom"/>
            <w:tcBorders>
              <w:top w:val="single" w:sz="8" w:color="CFF0FC"/>
            </w:tcBorders>
          </w:tcPr>
          <w:p>
            <w:pPr>
              <w:spacing w:after="0" w:line="123" w:lineRule="exact"/>
              <w:rPr>
                <w:sz w:val="20"/>
                <w:szCs w:val="20"/>
                <w:color w:val="auto"/>
              </w:rPr>
            </w:pPr>
            <w:r>
              <w:rPr>
                <w:rFonts w:ascii="Arial" w:cs="Arial" w:eastAsia="Arial" w:hAnsi="Arial"/>
                <w:sz w:val="11"/>
                <w:szCs w:val="11"/>
                <w:color w:val="auto"/>
                <w:w w:val="90"/>
              </w:rPr>
              <w:t>Second Lien Debt (13.5% Cash (3 month LIBOR + 13.0%, 0.5% Floor), Due</w:t>
            </w:r>
          </w:p>
        </w:tc>
        <w:tc>
          <w:tcPr>
            <w:tcW w:w="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0" w:type="dxa"/>
            <w:vAlign w:val="bottom"/>
            <w:gridSpan w:val="2"/>
          </w:tcPr>
          <w:p>
            <w:pPr>
              <w:ind w:left="20"/>
              <w:spacing w:after="0"/>
              <w:rPr>
                <w:sz w:val="20"/>
                <w:szCs w:val="20"/>
                <w:color w:val="auto"/>
              </w:rPr>
            </w:pPr>
            <w:r>
              <w:rPr>
                <w:rFonts w:ascii="Arial" w:cs="Arial" w:eastAsia="Arial" w:hAnsi="Arial"/>
                <w:sz w:val="11"/>
                <w:szCs w:val="11"/>
                <w:color w:val="auto"/>
              </w:rPr>
              <w:t>4/30/22)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(123 )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Membership Units (22.9% ownership)</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20,294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(3,975 )</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2,402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36,794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(4,098 )</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20" w:type="dxa"/>
            <w:vAlign w:val="bottom"/>
            <w:shd w:val="clear" w:color="auto" w:fill="CFF0FC"/>
          </w:tcPr>
          <w:p>
            <w:pPr>
              <w:spacing w:after="0"/>
              <w:rPr>
                <w:sz w:val="12"/>
                <w:szCs w:val="1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Series A-1 Preferred Stock (1,998 shares)</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4,066</w:t>
            </w: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328</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GA Communications, Inc.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Series B-1 Common Stock (200,000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338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4,212</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367</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LJS Partners,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Preferred Units (202,336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20" w:type="dxa"/>
            <w:vAlign w:val="bottom"/>
            <w:tcBorders>
              <w:bottom w:val="single" w:sz="8" w:color="CFF0FC"/>
            </w:tcBorders>
            <w:shd w:val="clear" w:color="auto" w:fill="CFF0FC"/>
          </w:tcPr>
          <w:p>
            <w:pPr>
              <w:spacing w:after="0"/>
              <w:rPr>
                <w:sz w:val="13"/>
                <w:szCs w:val="13"/>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Common Membership Units (2,593,234 units)</w:t>
            </w:r>
          </w:p>
        </w:tc>
        <w:tc>
          <w:tcPr>
            <w:tcW w:w="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3,951</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3,213</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4,707</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3,300</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20" w:type="dxa"/>
            <w:vAlign w:val="bottom"/>
            <w:shd w:val="clear" w:color="auto" w:fill="CFF0FC"/>
          </w:tcPr>
          <w:p>
            <w:pPr>
              <w:spacing w:after="0"/>
              <w:rPr>
                <w:sz w:val="12"/>
                <w:szCs w:val="1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(12.0% Cash, Due 1/31/22)</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Second Lien Debt (6.0% Cash, Due 1/31/22)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line="153"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4"/>
                <w:szCs w:val="14"/>
                <w:color w:val="auto"/>
                <w:vertAlign w:val="superscript"/>
              </w:rPr>
              <w:t>(5)</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Preferred Units (1,000 units, 6.0% PIK Dividend)</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(27 )</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Common Membership Units (45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(141 )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5,019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(168 )</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Navis Holdings, Inc.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First Lien Debt (9.0% Cash, 2.0% PIK, Due 6/30/23)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10,882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(11,212 )</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Navis Holdings, Inc.</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Class A Preferred Stock (1,000 shares)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(1,000 )</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Navis Holdings, Inc.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Common Stock (60,000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(260 )</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11,868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(12,472 )</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60" w:type="dxa"/>
            <w:vAlign w:val="bottom"/>
            <w:tcBorders>
              <w:top w:val="single" w:sz="8" w:color="CFF0FC"/>
            </w:tcBorders>
            <w:gridSpan w:val="7"/>
          </w:tcPr>
          <w:p>
            <w:pPr>
              <w:ind w:left="20"/>
              <w:spacing w:after="0"/>
              <w:rPr>
                <w:sz w:val="20"/>
                <w:szCs w:val="20"/>
                <w:color w:val="auto"/>
              </w:rPr>
            </w:pPr>
            <w:r>
              <w:rPr>
                <w:rFonts w:ascii="Arial" w:cs="Arial" w:eastAsia="Arial" w:hAnsi="Arial"/>
                <w:sz w:val="11"/>
                <w:szCs w:val="11"/>
                <w:color w:val="auto"/>
              </w:rPr>
              <w:t>Nth Degree Investment Group, LLC</w:t>
            </w:r>
          </w:p>
        </w:tc>
        <w:tc>
          <w:tcPr>
            <w:tcW w:w="20" w:type="dxa"/>
            <w:vAlign w:val="bottom"/>
            <w:tcBorders>
              <w:top w:val="single" w:sz="8" w:color="CFF0FC"/>
            </w:tcBorders>
          </w:tcPr>
          <w:p>
            <w:pPr>
              <w:spacing w:after="0"/>
              <w:rPr>
                <w:sz w:val="12"/>
                <w:szCs w:val="12"/>
                <w:color w:val="auto"/>
              </w:rPr>
            </w:pPr>
          </w:p>
        </w:tc>
        <w:tc>
          <w:tcPr>
            <w:tcW w:w="3380" w:type="dxa"/>
            <w:vAlign w:val="bottom"/>
            <w:tcBorders>
              <w:top w:val="single" w:sz="8" w:color="CFF0FC"/>
            </w:tcBorders>
          </w:tcPr>
          <w:p>
            <w:pPr>
              <w:spacing w:after="0"/>
              <w:rPr>
                <w:sz w:val="20"/>
                <w:szCs w:val="20"/>
                <w:color w:val="auto"/>
              </w:rPr>
            </w:pPr>
            <w:r>
              <w:rPr>
                <w:rFonts w:ascii="Arial" w:cs="Arial" w:eastAsia="Arial" w:hAnsi="Arial"/>
                <w:sz w:val="11"/>
                <w:szCs w:val="11"/>
                <w:color w:val="auto"/>
              </w:rPr>
              <w:t>Membership Units (6,088,000 Units)</w:t>
            </w:r>
          </w:p>
        </w:tc>
        <w:tc>
          <w:tcPr>
            <w:tcW w:w="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480" w:type="dxa"/>
            <w:vAlign w:val="bottom"/>
            <w:tcBorders>
              <w:top w:val="single" w:sz="8" w:color="CFF0FC"/>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760" w:type="dxa"/>
            <w:vAlign w:val="bottom"/>
            <w:tcBorders>
              <w:top w:val="single" w:sz="8" w:color="CFF0FC"/>
            </w:tcBorders>
            <w:gridSpan w:val="7"/>
          </w:tcPr>
          <w:p>
            <w:pPr>
              <w:ind w:left="20"/>
              <w:spacing w:after="0" w:line="123" w:lineRule="exact"/>
              <w:rPr>
                <w:sz w:val="20"/>
                <w:szCs w:val="20"/>
                <w:color w:val="auto"/>
              </w:rPr>
            </w:pPr>
            <w:r>
              <w:rPr>
                <w:rFonts w:ascii="Arial" w:cs="Arial" w:eastAsia="Arial" w:hAnsi="Arial"/>
                <w:sz w:val="11"/>
                <w:szCs w:val="11"/>
                <w:color w:val="auto"/>
              </w:rPr>
              <w:t>RAM Payment, LLC</w:t>
            </w:r>
          </w:p>
        </w:tc>
        <w:tc>
          <w:tcPr>
            <w:tcW w:w="20" w:type="dxa"/>
            <w:vAlign w:val="bottom"/>
            <w:tcBorders>
              <w:top w:val="single" w:sz="8" w:color="CFF0FC"/>
            </w:tcBorders>
          </w:tcPr>
          <w:p>
            <w:pPr>
              <w:spacing w:after="0"/>
              <w:rPr>
                <w:sz w:val="10"/>
                <w:szCs w:val="10"/>
                <w:color w:val="auto"/>
              </w:rPr>
            </w:pPr>
          </w:p>
        </w:tc>
        <w:tc>
          <w:tcPr>
            <w:tcW w:w="3380" w:type="dxa"/>
            <w:vAlign w:val="bottom"/>
            <w:tcBorders>
              <w:top w:val="single" w:sz="8" w:color="CFF0FC"/>
            </w:tcBorders>
          </w:tcPr>
          <w:p>
            <w:pPr>
              <w:spacing w:after="0" w:line="123" w:lineRule="exact"/>
              <w:rPr>
                <w:sz w:val="20"/>
                <w:szCs w:val="20"/>
                <w:color w:val="auto"/>
              </w:rPr>
            </w:pPr>
            <w:r>
              <w:rPr>
                <w:rFonts w:ascii="Arial" w:cs="Arial" w:eastAsia="Arial" w:hAnsi="Arial"/>
                <w:sz w:val="11"/>
                <w:szCs w:val="11"/>
                <w:color w:val="auto"/>
                <w:w w:val="97"/>
              </w:rPr>
              <w:t>First Lien Debt (6.5% Cash (1 month LIBOR + 5.0%), 1.5% Floor), Due</w:t>
            </w:r>
          </w:p>
        </w:tc>
        <w:tc>
          <w:tcPr>
            <w:tcW w:w="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0" w:type="dxa"/>
            <w:vAlign w:val="bottom"/>
            <w:gridSpan w:val="2"/>
          </w:tcPr>
          <w:p>
            <w:pPr>
              <w:ind w:left="20"/>
              <w:spacing w:after="0"/>
              <w:rPr>
                <w:sz w:val="20"/>
                <w:szCs w:val="20"/>
                <w:color w:val="auto"/>
              </w:rPr>
            </w:pPr>
            <w:r>
              <w:rPr>
                <w:rFonts w:ascii="Arial" w:cs="Arial" w:eastAsia="Arial" w:hAnsi="Arial"/>
                <w:sz w:val="11"/>
                <w:szCs w:val="11"/>
                <w:color w:val="auto"/>
              </w:rPr>
              <w:t>1/4/24)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(1,455 )</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(9.8% Cash, Due 1/4/24)</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6,646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(3,939 )</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(1 )</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gridSpan w:val="7"/>
          </w:tcPr>
          <w:p>
            <w:pPr>
              <w:ind w:left="20"/>
              <w:spacing w:after="0" w:line="149"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4"/>
                <w:szCs w:val="14"/>
                <w:color w:val="auto"/>
                <w:vertAlign w:val="superscript"/>
              </w:rPr>
              <w:t>(5)</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Preferred Units (86,000 units, 8.0% PIK Dividend)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767</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11,971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(5,394 )</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Sierra Hamilton Holdings Corporation</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Second Lien Debt (15.0%, Due 9/12/23)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Sierra Hamilton Holdings Corporation</w:t>
            </w:r>
          </w:p>
        </w:tc>
        <w:tc>
          <w:tcPr>
            <w:tcW w:w="20" w:type="dxa"/>
            <w:vAlign w:val="bottom"/>
            <w:shd w:val="clear" w:color="auto" w:fill="CFF0FC"/>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1"/>
                <w:szCs w:val="11"/>
                <w:color w:val="auto"/>
              </w:rPr>
              <w:t>Common Stock (15,068,000 shares)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(647 )</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(647 )</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6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20" w:type="dxa"/>
            <w:vAlign w:val="bottom"/>
            <w:tcBorders>
              <w:bottom w:val="single" w:sz="8" w:color="CFF0FC"/>
            </w:tcBorders>
            <w:shd w:val="clear" w:color="auto" w:fill="CFF0FC"/>
          </w:tcPr>
          <w:p>
            <w:pPr>
              <w:spacing w:after="0"/>
              <w:rPr>
                <w:sz w:val="12"/>
                <w:szCs w:val="12"/>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Second Lien Debt</w:t>
            </w: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740" w:type="dxa"/>
            <w:vAlign w:val="bottom"/>
            <w:gridSpan w:val="6"/>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20" w:type="dxa"/>
            <w:vAlign w:val="bottom"/>
            <w:shd w:val="clear" w:color="auto" w:fill="CFF0FC"/>
          </w:tcPr>
          <w:p>
            <w:pPr>
              <w:spacing w:after="0"/>
              <w:rPr>
                <w:sz w:val="16"/>
                <w:szCs w:val="16"/>
                <w:color w:val="auto"/>
              </w:rPr>
            </w:pPr>
          </w:p>
        </w:tc>
        <w:tc>
          <w:tcPr>
            <w:tcW w:w="3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4,996</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93,425</w:t>
            </w:r>
          </w:p>
        </w:tc>
        <w:tc>
          <w:tcPr>
            <w:tcW w:w="20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495</w:t>
            </w:r>
          </w:p>
        </w:tc>
        <w:tc>
          <w:tcPr>
            <w:tcW w:w="24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(34,128 )</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2,475</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(908 )</w:t>
            </w: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CFF0FC"/>
            </w:tcBorders>
          </w:tcPr>
          <w:p>
            <w:pPr>
              <w:spacing w:after="0"/>
              <w:rPr>
                <w:sz w:val="9"/>
                <w:szCs w:val="9"/>
                <w:color w:val="auto"/>
              </w:rPr>
            </w:pPr>
          </w:p>
        </w:tc>
        <w:tc>
          <w:tcPr>
            <w:tcW w:w="90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i w:val="1"/>
                <w:iCs w:val="1"/>
                <w:color w:val="auto"/>
                <w:w w:val="82"/>
              </w:rPr>
              <w:t>Control investments</w:t>
            </w:r>
          </w:p>
        </w:tc>
        <w:tc>
          <w:tcPr>
            <w:tcW w:w="260" w:type="dxa"/>
            <w:vAlign w:val="bottom"/>
            <w:tcBorders>
              <w:top w:val="single" w:sz="8" w:color="auto"/>
            </w:tcBorders>
            <w:gridSpan w:val="3"/>
          </w:tcPr>
          <w:p>
            <w:pPr>
              <w:spacing w:after="0"/>
              <w:rPr>
                <w:sz w:val="9"/>
                <w:szCs w:val="9"/>
                <w:color w:val="auto"/>
              </w:rPr>
            </w:pPr>
          </w:p>
        </w:tc>
        <w:tc>
          <w:tcPr>
            <w:tcW w:w="1580" w:type="dxa"/>
            <w:vAlign w:val="bottom"/>
            <w:tcBorders>
              <w:top w:val="single" w:sz="8" w:color="CFF0FC"/>
            </w:tcBorders>
            <w:gridSpan w:val="2"/>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338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4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60" w:type="dxa"/>
            <w:vAlign w:val="bottom"/>
            <w:gridSpan w:val="7"/>
            <w:shd w:val="clear" w:color="auto" w:fill="CFF0FC"/>
          </w:tcPr>
          <w:p>
            <w:pPr>
              <w:ind w:left="20"/>
              <w:spacing w:after="0" w:line="125" w:lineRule="exact"/>
              <w:rPr>
                <w:sz w:val="20"/>
                <w:szCs w:val="20"/>
                <w:color w:val="auto"/>
              </w:rPr>
            </w:pPr>
            <w:r>
              <w:rPr>
                <w:rFonts w:ascii="Arial" w:cs="Arial" w:eastAsia="Arial" w:hAnsi="Arial"/>
                <w:sz w:val="11"/>
                <w:szCs w:val="11"/>
                <w:color w:val="auto"/>
              </w:rPr>
              <w:t>Vology, Inc.</w:t>
            </w:r>
          </w:p>
        </w:tc>
        <w:tc>
          <w:tcPr>
            <w:tcW w:w="20" w:type="dxa"/>
            <w:vAlign w:val="bottom"/>
            <w:shd w:val="clear" w:color="auto" w:fill="CFF0FC"/>
          </w:tcPr>
          <w:p>
            <w:pPr>
              <w:spacing w:after="0"/>
              <w:rPr>
                <w:sz w:val="10"/>
                <w:szCs w:val="10"/>
                <w:color w:val="auto"/>
              </w:rPr>
            </w:pPr>
          </w:p>
        </w:tc>
        <w:tc>
          <w:tcPr>
            <w:tcW w:w="33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6"/>
              </w:rPr>
              <w:t>First Lien Debt (10.5% Cash (1 month LIBOR + 8.5%, 2.0% Floor), Due</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40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3/31/22)</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3,586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389</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3,732</w:t>
            </w:r>
          </w:p>
        </w:tc>
        <w:tc>
          <w:tcPr>
            <w:tcW w:w="20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(97 )</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gridSpan w:val="7"/>
          </w:tcPr>
          <w:p>
            <w:pPr>
              <w:ind w:left="20"/>
              <w:spacing w:after="0"/>
              <w:rPr>
                <w:sz w:val="20"/>
                <w:szCs w:val="20"/>
                <w:color w:val="auto"/>
              </w:rPr>
            </w:pPr>
            <w:r>
              <w:rPr>
                <w:rFonts w:ascii="Arial" w:cs="Arial" w:eastAsia="Arial" w:hAnsi="Arial"/>
                <w:sz w:val="11"/>
                <w:szCs w:val="11"/>
                <w:color w:val="auto"/>
              </w:rPr>
              <w:t>Vology, Inc.</w:t>
            </w:r>
          </w:p>
        </w:tc>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1"/>
                <w:szCs w:val="11"/>
                <w:color w:val="auto"/>
              </w:rPr>
              <w:t>Class A Preferred Units (9,041,810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(1,483 )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20" w:type="dxa"/>
            <w:vAlign w:val="bottom"/>
            <w:tcBorders>
              <w:bottom w:val="single" w:sz="8" w:color="CFF0FC"/>
            </w:tcBorders>
            <w:shd w:val="clear" w:color="auto" w:fill="CFF0FC"/>
          </w:tcPr>
          <w:p>
            <w:pPr>
              <w:spacing w:after="0"/>
              <w:rPr>
                <w:sz w:val="13"/>
                <w:szCs w:val="13"/>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Membership Units (5,363,982 Units)</w:t>
            </w:r>
          </w:p>
        </w:tc>
        <w:tc>
          <w:tcPr>
            <w:tcW w:w="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gridSpan w:val="7"/>
          </w:tcPr>
          <w:p>
            <w:pPr>
              <w:ind w:left="20"/>
              <w:spacing w:after="0"/>
              <w:rPr>
                <w:sz w:val="20"/>
                <w:szCs w:val="20"/>
                <w:color w:val="auto"/>
              </w:rPr>
            </w:pPr>
            <w:r>
              <w:rPr>
                <w:rFonts w:ascii="Arial" w:cs="Arial" w:eastAsia="Arial" w:hAnsi="Arial"/>
                <w:sz w:val="11"/>
                <w:szCs w:val="11"/>
                <w:b w:val="1"/>
                <w:bCs w:val="1"/>
                <w:i w:val="1"/>
                <w:iCs w:val="1"/>
                <w:color w:val="auto"/>
              </w:rPr>
              <w:t>Total Control investments</w:t>
            </w:r>
          </w:p>
        </w:tc>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389</w:t>
            </w:r>
          </w:p>
        </w:tc>
        <w:tc>
          <w:tcPr>
            <w:tcW w:w="26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8,419</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(97 )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(1,483 )</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6,839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-4002405</wp:posOffset>
            </wp:positionV>
            <wp:extent cx="76835" cy="1111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-4002405</wp:posOffset>
            </wp:positionV>
            <wp:extent cx="77470" cy="1111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-4002405</wp:posOffset>
            </wp:positionV>
            <wp:extent cx="68580" cy="1111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-4002405</wp:posOffset>
            </wp:positionV>
            <wp:extent cx="68580" cy="111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-4002405</wp:posOffset>
            </wp:positionV>
            <wp:extent cx="68580" cy="1111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-4002405</wp:posOffset>
            </wp:positionV>
            <wp:extent cx="68580" cy="1111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1111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-3796665</wp:posOffset>
            </wp:positionV>
            <wp:extent cx="76835" cy="1803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-3796665</wp:posOffset>
            </wp:positionV>
            <wp:extent cx="77470" cy="180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-3796665</wp:posOffset>
            </wp:positionV>
            <wp:extent cx="68580" cy="1803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-3796665</wp:posOffset>
            </wp:positionV>
            <wp:extent cx="68580" cy="180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-3796665</wp:posOffset>
            </wp:positionV>
            <wp:extent cx="68580" cy="1803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-3796665</wp:posOffset>
            </wp:positionV>
            <wp:extent cx="68580" cy="1803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803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-3522345</wp:posOffset>
            </wp:positionV>
            <wp:extent cx="76835" cy="1111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-3522345</wp:posOffset>
            </wp:positionV>
            <wp:extent cx="77470" cy="1111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-3522345</wp:posOffset>
            </wp:positionV>
            <wp:extent cx="68580" cy="1111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-3522345</wp:posOffset>
            </wp:positionV>
            <wp:extent cx="68580" cy="1111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-3522345</wp:posOffset>
            </wp:positionV>
            <wp:extent cx="68580" cy="1111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-3522345</wp:posOffset>
            </wp:positionV>
            <wp:extent cx="68580" cy="1111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1111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-3119755</wp:posOffset>
            </wp:positionV>
            <wp:extent cx="76835"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-3119755</wp:posOffset>
            </wp:positionV>
            <wp:extent cx="77470" cy="1028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-3119755</wp:posOffset>
            </wp:positionV>
            <wp:extent cx="68580"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-3119755</wp:posOffset>
            </wp:positionV>
            <wp:extent cx="68580" cy="1028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-3119755</wp:posOffset>
            </wp:positionV>
            <wp:extent cx="68580" cy="1028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-3119755</wp:posOffset>
            </wp:positionV>
            <wp:extent cx="68580"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1028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-2922270</wp:posOffset>
            </wp:positionV>
            <wp:extent cx="76835" cy="1111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-2922270</wp:posOffset>
            </wp:positionV>
            <wp:extent cx="77470" cy="1111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-2922270</wp:posOffset>
            </wp:positionV>
            <wp:extent cx="68580" cy="1111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-2922270</wp:posOffset>
            </wp:positionV>
            <wp:extent cx="68580" cy="1111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-2922270</wp:posOffset>
            </wp:positionV>
            <wp:extent cx="68580" cy="1111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-2922270</wp:posOffset>
            </wp:positionV>
            <wp:extent cx="68580" cy="1111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111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-2331085</wp:posOffset>
            </wp:positionV>
            <wp:extent cx="76835" cy="1028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-2331085</wp:posOffset>
            </wp:positionV>
            <wp:extent cx="77470"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-2331085</wp:posOffset>
            </wp:positionV>
            <wp:extent cx="68580" cy="1028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-2331085</wp:posOffset>
            </wp:positionV>
            <wp:extent cx="68580" cy="1028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-2331085</wp:posOffset>
            </wp:positionV>
            <wp:extent cx="68580" cy="1028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-2331085</wp:posOffset>
            </wp:positionV>
            <wp:extent cx="68580" cy="1028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028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-1936750</wp:posOffset>
            </wp:positionV>
            <wp:extent cx="76835" cy="1117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-1936750</wp:posOffset>
            </wp:positionV>
            <wp:extent cx="77470" cy="1117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68580" cy="1117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-1936750</wp:posOffset>
            </wp:positionV>
            <wp:extent cx="68580" cy="1117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-1936750</wp:posOffset>
            </wp:positionV>
            <wp:extent cx="68580" cy="1117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-1936750</wp:posOffset>
            </wp:positionV>
            <wp:extent cx="68580" cy="1117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117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-1731010</wp:posOffset>
            </wp:positionV>
            <wp:extent cx="76835" cy="1803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-1731010</wp:posOffset>
            </wp:positionV>
            <wp:extent cx="77470" cy="180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-1731010</wp:posOffset>
            </wp:positionV>
            <wp:extent cx="68580" cy="180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-1731010</wp:posOffset>
            </wp:positionV>
            <wp:extent cx="68580" cy="1803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-1731010</wp:posOffset>
            </wp:positionV>
            <wp:extent cx="68580" cy="1803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-1731010</wp:posOffset>
            </wp:positionV>
            <wp:extent cx="68580" cy="1803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803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-1259840</wp:posOffset>
            </wp:positionV>
            <wp:extent cx="76835" cy="1028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-1259840</wp:posOffset>
            </wp:positionV>
            <wp:extent cx="77470" cy="1028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-1259840</wp:posOffset>
            </wp:positionV>
            <wp:extent cx="68580" cy="1028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-1259840</wp:posOffset>
            </wp:positionV>
            <wp:extent cx="68580" cy="1028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-1259840</wp:posOffset>
            </wp:positionV>
            <wp:extent cx="68580" cy="1028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-1259840</wp:posOffset>
            </wp:positionV>
            <wp:extent cx="68580" cy="1028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1028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-1062355</wp:posOffset>
            </wp:positionV>
            <wp:extent cx="76835" cy="1111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77470" cy="1111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-1062355</wp:posOffset>
            </wp:positionV>
            <wp:extent cx="68580" cy="1111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-1062355</wp:posOffset>
            </wp:positionV>
            <wp:extent cx="68580" cy="1111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1111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-1062355</wp:posOffset>
            </wp:positionV>
            <wp:extent cx="68580" cy="1111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111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-856615</wp:posOffset>
            </wp:positionV>
            <wp:extent cx="76835" cy="1111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-856615</wp:posOffset>
            </wp:positionV>
            <wp:extent cx="77470" cy="1111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-856615</wp:posOffset>
            </wp:positionV>
            <wp:extent cx="68580" cy="1111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-856615</wp:posOffset>
            </wp:positionV>
            <wp:extent cx="68580" cy="1111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-856615</wp:posOffset>
            </wp:positionV>
            <wp:extent cx="68580" cy="1111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-856615</wp:posOffset>
            </wp:positionV>
            <wp:extent cx="68580" cy="1111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111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-650875</wp:posOffset>
            </wp:positionV>
            <wp:extent cx="2459990" cy="1200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59990" cy="1200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76835" cy="1289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77470" cy="1289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1289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289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1289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-170815</wp:posOffset>
            </wp:positionV>
            <wp:extent cx="68580" cy="1289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289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ind w:left="520" w:hanging="512"/>
        <w:spacing w:after="0" w:line="181" w:lineRule="auto"/>
        <w:tabs>
          <w:tab w:leader="none" w:pos="520" w:val="left"/>
        </w:tabs>
        <w:numPr>
          <w:ilvl w:val="0"/>
          <w:numId w:val="76"/>
        </w:numPr>
        <w:rPr>
          <w:rFonts w:ascii="Arial" w:cs="Arial" w:eastAsia="Arial" w:hAnsi="Arial"/>
          <w:sz w:val="16"/>
          <w:szCs w:val="16"/>
          <w:b w:val="1"/>
          <w:bCs w:val="1"/>
          <w:color w:val="auto"/>
          <w:vertAlign w:val="superscript"/>
        </w:rPr>
      </w:pPr>
      <w:r>
        <w:rPr>
          <w:rFonts w:ascii="Arial" w:cs="Arial" w:eastAsia="Arial" w:hAnsi="Arial"/>
          <w:sz w:val="12"/>
          <w:szCs w:val="12"/>
          <w:color w:val="auto"/>
        </w:rPr>
        <w:t>Represents the total amount of interest, original issue discount, fees and dividends credited to income for the portion of the year an investment was included in Affiliate or Control categories, respectively.</w:t>
      </w:r>
    </w:p>
    <w:p>
      <w:pPr>
        <w:ind w:left="520" w:hanging="512"/>
        <w:spacing w:after="0" w:line="201" w:lineRule="auto"/>
        <w:tabs>
          <w:tab w:leader="none" w:pos="520" w:val="left"/>
        </w:tabs>
        <w:numPr>
          <w:ilvl w:val="0"/>
          <w:numId w:val="76"/>
        </w:numPr>
        <w:rPr>
          <w:rFonts w:ascii="Arial" w:cs="Arial" w:eastAsia="Arial" w:hAnsi="Arial"/>
          <w:sz w:val="16"/>
          <w:szCs w:val="16"/>
          <w:b w:val="1"/>
          <w:bCs w:val="1"/>
          <w:color w:val="auto"/>
          <w:vertAlign w:val="superscript"/>
        </w:rPr>
      </w:pPr>
      <w:r>
        <w:rPr>
          <w:rFonts w:ascii="Arial" w:cs="Arial" w:eastAsia="Arial" w:hAnsi="Arial"/>
          <w:sz w:val="12"/>
          <w:szCs w:val="12"/>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520" w:hanging="512"/>
        <w:spacing w:after="0" w:line="187" w:lineRule="auto"/>
        <w:tabs>
          <w:tab w:leader="none" w:pos="520" w:val="left"/>
        </w:tabs>
        <w:numPr>
          <w:ilvl w:val="0"/>
          <w:numId w:val="76"/>
        </w:numPr>
        <w:rPr>
          <w:rFonts w:ascii="Arial" w:cs="Arial" w:eastAsia="Arial" w:hAnsi="Arial"/>
          <w:sz w:val="15"/>
          <w:szCs w:val="15"/>
          <w:b w:val="1"/>
          <w:bCs w:val="1"/>
          <w:color w:val="auto"/>
          <w:vertAlign w:val="superscript"/>
        </w:rPr>
      </w:pPr>
      <w:r>
        <w:rPr>
          <w:rFonts w:ascii="Arial" w:cs="Arial" w:eastAsia="Arial" w:hAnsi="Arial"/>
          <w:sz w:val="11"/>
          <w:szCs w:val="11"/>
          <w:color w:val="auto"/>
        </w:rPr>
        <w:t>Gross reductions include decreases in the cost basis of investments resulting from principal repayments and sales. Gross reductions also include transfers out of Affiliate or Control classification.</w:t>
      </w:r>
    </w:p>
    <w:p>
      <w:pPr>
        <w:ind w:left="520" w:hanging="512"/>
        <w:spacing w:after="0" w:line="187" w:lineRule="auto"/>
        <w:tabs>
          <w:tab w:leader="none" w:pos="520" w:val="left"/>
        </w:tabs>
        <w:numPr>
          <w:ilvl w:val="0"/>
          <w:numId w:val="76"/>
        </w:numPr>
        <w:rPr>
          <w:rFonts w:ascii="Arial" w:cs="Arial" w:eastAsia="Arial" w:hAnsi="Arial"/>
          <w:sz w:val="15"/>
          <w:szCs w:val="15"/>
          <w:b w:val="1"/>
          <w:bCs w:val="1"/>
          <w:color w:val="auto"/>
          <w:vertAlign w:val="superscript"/>
        </w:rPr>
      </w:pPr>
      <w:r>
        <w:rPr>
          <w:rFonts w:ascii="Arial" w:cs="Arial" w:eastAsia="Arial" w:hAnsi="Arial"/>
          <w:sz w:val="11"/>
          <w:szCs w:val="11"/>
          <w:color w:val="auto"/>
        </w:rPr>
        <w:t>All debt investments are income producing. Equity and warrant investments are non-income producing, unless otherwise noted.</w:t>
      </w:r>
    </w:p>
    <w:p>
      <w:pPr>
        <w:ind w:left="520" w:hanging="512"/>
        <w:spacing w:after="0" w:line="180" w:lineRule="auto"/>
        <w:tabs>
          <w:tab w:leader="none" w:pos="520" w:val="left"/>
        </w:tabs>
        <w:numPr>
          <w:ilvl w:val="0"/>
          <w:numId w:val="76"/>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equity investment is income producing, based on rate disclosed.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Agreements and Related Party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 Agreement</w:t>
      </w:r>
    </w:p>
    <w:p>
      <w:pPr>
        <w:spacing w:after="0" w:line="136"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On July 1, 2021, the Company entered into an investment advisory agreement (the “Investment Advisory Agreement”) with the Investment Adviser,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Adviser manages our day-to-day operations and provides investment advisory and management services to us. Under the terms of the Investment Advisory Agreement, the Investment Adviser:</w:t>
      </w:r>
    </w:p>
    <w:p>
      <w:pPr>
        <w:spacing w:after="0" w:line="37" w:lineRule="exact"/>
        <w:rPr>
          <w:sz w:val="20"/>
          <w:szCs w:val="20"/>
          <w:color w:val="auto"/>
        </w:rPr>
      </w:pPr>
    </w:p>
    <w:p>
      <w:pPr>
        <w:ind w:left="780" w:hanging="263"/>
        <w:spacing w:after="0"/>
        <w:tabs>
          <w:tab w:leader="none" w:pos="7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provides us with other investment advisory, research, and related services as we may from time to time require.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Investment Adviser’s services under the Investment Advisory Agreement are not exclusive, and it is free to furnish similar services to other entities so long as its services to us are not impaired.</w:t>
      </w:r>
    </w:p>
    <w:p>
      <w:pPr>
        <w:spacing w:after="0" w:line="9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Pursuant to the Investment Advisory Agreement, the Company has agreed to pay the Investment Adviser a fee for investment advisory and management services consisting of two components — a base management fee and an incentive fee.</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incentive fee consists of the following two parts:</w:t>
      </w:r>
    </w:p>
    <w:p>
      <w:pPr>
        <w:spacing w:after="0" w:line="13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3"/>
          <w:szCs w:val="13"/>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p>
    <w:p>
      <w:pPr>
        <w:spacing w:after="0" w:line="36" w:lineRule="exact"/>
        <w:rPr>
          <w:sz w:val="20"/>
          <w:szCs w:val="20"/>
          <w:color w:val="auto"/>
        </w:rPr>
      </w:pPr>
    </w:p>
    <w:p>
      <w:pPr>
        <w:ind w:left="780" w:hanging="263"/>
        <w:spacing w:after="0"/>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the pre-incentive fee net investment income does not exceed the hurdle of 2.0%;</w:t>
      </w:r>
    </w:p>
    <w:p>
      <w:pPr>
        <w:spacing w:after="0" w:line="68" w:lineRule="exact"/>
        <w:rPr>
          <w:rFonts w:ascii="Arial" w:cs="Arial" w:eastAsia="Arial" w:hAnsi="Arial"/>
          <w:sz w:val="14"/>
          <w:szCs w:val="14"/>
          <w:color w:val="auto"/>
        </w:rPr>
      </w:pPr>
    </w:p>
    <w:p>
      <w:pPr>
        <w:jc w:val="both"/>
        <w:ind w:left="780" w:hanging="263"/>
        <w:spacing w:after="0" w:line="233" w:lineRule="auto"/>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spacing w:after="0" w:line="36" w:lineRule="exact"/>
        <w:rPr>
          <w:rFonts w:ascii="Arial" w:cs="Arial" w:eastAsia="Arial" w:hAnsi="Arial"/>
          <w:sz w:val="14"/>
          <w:szCs w:val="14"/>
          <w:color w:val="auto"/>
        </w:rPr>
      </w:pPr>
    </w:p>
    <w:p>
      <w:pPr>
        <w:ind w:left="780" w:hanging="263"/>
        <w:spacing w:after="0" w:line="253" w:lineRule="auto"/>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spacing w:after="0" w:line="1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will treated as though it were a calendar year end for purposes of calculating and paying a capital gains fee.</w:t>
      </w:r>
    </w:p>
    <w:p>
      <w:pPr>
        <w:spacing w:after="0" w:line="9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2022 and 2021, the Company did not have incentive fees payable to the Investment Adviser related to fees earned in prior years but deferred under the incentive fee deferral mechanism.</w:t>
      </w:r>
    </w:p>
    <w:p>
      <w:pPr>
        <w:spacing w:after="0" w:line="10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84"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3"/>
          <w:szCs w:val="13"/>
          <w:color w:val="auto"/>
        </w:rPr>
        <w:t>For the years ended December 31, 2022, 2021 and 2020, the Company incurred $3.9 million, $4.8 million and $6.4 million in base management fees, respectively, under the Investment Advisory Agreement and the Prior Investment Advisory Agreement. The Company did not incur incentive fees related to pre-incentive fee net investment income for the years ended December 31, 2022, 2021, and 2020, respectively. For the years ended December 31, 2022, 2021 and 2020, our Investment Adviser did not waive any incentive fees as none were incurred.</w:t>
      </w:r>
    </w:p>
    <w:p>
      <w:pPr>
        <w:spacing w:after="0" w:line="8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of December 31, 2022 and 2021, the Company had $0.9 million and $1.1 million, respectively, of management and incentive fees payable to the Adviser. These amounts are reflected in the accompanying consolidated statements of assets and liabilities under the caption “Management and incentive fees payable.”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 Agreement</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87"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2023,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For the years ended December 31, 2022, 2021 and 2020, the Company accrued $0.6 million, $1.0 million, and $1.4 million, respectively, for the Company’s allocable portion of the Administrator’s overhead.</w:t>
      </w:r>
    </w:p>
    <w:p>
      <w:pPr>
        <w:spacing w:after="0" w:line="1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Co-investment Exemptive Relief</w:t>
      </w:r>
    </w:p>
    <w:p>
      <w:pPr>
        <w:spacing w:after="0" w:line="13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October 23, 2018, the SEC issued an order granting an application for exemptive relief to an affiliate of our Adviser that allows BDCs managed by the Adviser, including Logan Ridge, to co-invest, subject to the satisfaction of certain conditions, in certain private placement transactions, with other funds managed by the Adviser or its affiliates and any future funds that are advised by the Adviser or its affiliated investment advisers.</w:t>
      </w:r>
    </w:p>
    <w:p>
      <w:pPr>
        <w:spacing w:after="0" w:line="11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with Affiliated Funds</w:t>
      </w:r>
    </w:p>
    <w:p>
      <w:pPr>
        <w:spacing w:after="0" w:line="1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During the year ended December 31, 2022, the Company sold $7.9 million in total investments to an affiliated fund in accordance with, and pursuant to procedures adopted under, Rule 17a-7 of the 1940 Act. Realized losses on those sales for the same period amounted to less than $0.1 million. There were no transactions subject to Rule 17a-7 under the 1940 Act during year ended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Potential Conflicts of Interest</w:t>
      </w:r>
    </w:p>
    <w:p>
      <w:pPr>
        <w:spacing w:after="0" w:line="13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members of the senior management and investment teams of the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Borrowings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SBA-guaranteed debentures</w:t>
      </w:r>
    </w:p>
    <w:p>
      <w:pPr>
        <w:spacing w:after="0" w:line="13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The Company, through its wholly owned subsidiary Fund III, historically used debenture leverage provided through the SBA to finance a portion of its investment portfolio. 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9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 million during the year ended December 31,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20"/>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4"/>
          <w:szCs w:val="14"/>
          <w:color w:val="auto"/>
        </w:rPr>
        <w:t>As of December 31, 2022 and 2021, there were no SBA-guaranteed debentures outstanding. The following table summarizes the historical interest expense and annual charges, deferred financing costs, average outstanding balance, and average stated interest and annual charge rate on the SBA-guaranteed debentures for the years ended December 31, 2021 and 2020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36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6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and annual charges</w:t>
            </w:r>
          </w:p>
        </w:tc>
        <w:tc>
          <w:tcPr>
            <w:tcW w:w="1380" w:type="dxa"/>
            <w:vAlign w:val="bottom"/>
            <w:shd w:val="clear" w:color="auto" w:fill="CFF0FC"/>
          </w:tcPr>
          <w:p>
            <w:pPr>
              <w:jc w:val="right"/>
              <w:ind w:right="12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118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4,546</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686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2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6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380" w:type="dxa"/>
            <w:vAlign w:val="bottom"/>
            <w:tcBorders>
              <w:bottom w:val="single" w:sz="8" w:color="auto"/>
            </w:tcBorders>
            <w:shd w:val="clear" w:color="auto" w:fill="CFF0FC"/>
          </w:tcPr>
          <w:p>
            <w:pPr>
              <w:jc w:val="right"/>
              <w:ind w:right="12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1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686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380" w:type="dxa"/>
            <w:vAlign w:val="bottom"/>
          </w:tcPr>
          <w:p>
            <w:pPr>
              <w:jc w:val="right"/>
              <w:ind w:right="1228"/>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33,773</w:t>
            </w:r>
          </w:p>
        </w:tc>
        <w:tc>
          <w:tcPr>
            <w:tcW w:w="240" w:type="dxa"/>
            <w:vAlign w:val="bottom"/>
          </w:tcPr>
          <w:p>
            <w:pPr>
              <w:spacing w:after="0"/>
              <w:rPr>
                <w:sz w:val="13"/>
                <w:szCs w:val="13"/>
                <w:color w:val="auto"/>
              </w:rPr>
            </w:pPr>
          </w:p>
        </w:tc>
        <w:tc>
          <w:tcPr>
            <w:tcW w:w="1340" w:type="dxa"/>
            <w:vAlign w:val="bottom"/>
          </w:tcPr>
          <w:p>
            <w:pPr>
              <w:jc w:val="right"/>
              <w:ind w:right="1188"/>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130,333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6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and annual charge rate</w:t>
            </w:r>
          </w:p>
        </w:tc>
        <w:tc>
          <w:tcPr>
            <w:tcW w:w="1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3.14 %</w:t>
            </w:r>
          </w:p>
        </w:tc>
        <w:tc>
          <w:tcPr>
            <w:tcW w:w="13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3.44 %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-248285</wp:posOffset>
            </wp:positionV>
            <wp:extent cx="1500505" cy="1371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00505" cy="1371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Notes</w:t>
      </w:r>
    </w:p>
    <w:p>
      <w:pPr>
        <w:spacing w:after="0" w:line="136" w:lineRule="exact"/>
        <w:rPr>
          <w:sz w:val="20"/>
          <w:szCs w:val="20"/>
          <w:color w:val="auto"/>
        </w:rPr>
      </w:pPr>
    </w:p>
    <w:p>
      <w:pPr>
        <w:jc w:val="both"/>
        <w:ind w:right="20" w:firstLine="509"/>
        <w:spacing w:after="0" w:line="229" w:lineRule="auto"/>
        <w:rPr>
          <w:sz w:val="20"/>
          <w:szCs w:val="20"/>
          <w:color w:val="auto"/>
        </w:rPr>
      </w:pPr>
      <w:r>
        <w:rPr>
          <w:rFonts w:ascii="Arial" w:cs="Arial" w:eastAsia="Arial" w:hAnsi="Arial"/>
          <w:sz w:val="14"/>
          <w:szCs w:val="14"/>
          <w:color w:val="auto"/>
        </w:rPr>
        <w:t xml:space="preserve">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w:t>
      </w:r>
      <w:r>
        <w:rPr>
          <w:rFonts w:ascii="Arial" w:cs="Arial" w:eastAsia="Arial" w:hAnsi="Arial"/>
          <w:sz w:val="14"/>
          <w:szCs w:val="14"/>
          <w:color w:val="231F20"/>
        </w:rPr>
        <w:t>On November 1, 2021, the Company</w:t>
      </w:r>
      <w:r>
        <w:rPr>
          <w:rFonts w:ascii="Arial" w:cs="Arial" w:eastAsia="Arial" w:hAnsi="Arial"/>
          <w:sz w:val="14"/>
          <w:szCs w:val="14"/>
          <w:color w:val="auto"/>
        </w:rPr>
        <w:t xml:space="preserve"> </w:t>
      </w:r>
      <w:r>
        <w:rPr>
          <w:rFonts w:ascii="Arial" w:cs="Arial" w:eastAsia="Arial" w:hAnsi="Arial"/>
          <w:sz w:val="14"/>
          <w:szCs w:val="14"/>
          <w:color w:val="231F20"/>
        </w:rPr>
        <w:t xml:space="preserve">notified the Trustee for the Company’s 2022 Notes, of the Company’s election to redeem the $50.0 million aggregate principal amount of the 2022 Notes outstanding. The redemption was completed on December 6, 2021. </w:t>
      </w:r>
      <w:r>
        <w:rPr>
          <w:rFonts w:ascii="Arial" w:cs="Arial" w:eastAsia="Arial" w:hAnsi="Arial"/>
          <w:sz w:val="14"/>
          <w:szCs w:val="14"/>
          <w:color w:val="000000"/>
        </w:rPr>
        <w:t>On May 31, 2022, the remaining 2022 Notes reached maturity, and the entire outstanding principal of the 2022 Notes became payable and was paid by the</w:t>
      </w:r>
      <w:r>
        <w:rPr>
          <w:rFonts w:ascii="Arial" w:cs="Arial" w:eastAsia="Arial" w:hAnsi="Arial"/>
          <w:sz w:val="14"/>
          <w:szCs w:val="14"/>
          <w:color w:val="231F20"/>
        </w:rPr>
        <w:t xml:space="preserve"> </w:t>
      </w:r>
      <w:r>
        <w:rPr>
          <w:rFonts w:ascii="Arial" w:cs="Arial" w:eastAsia="Arial" w:hAnsi="Arial"/>
          <w:sz w:val="14"/>
          <w:szCs w:val="14"/>
          <w:color w:val="000000"/>
        </w:rPr>
        <w:t>Company. Accordingly, as of December 31, 2022, there were no 2022 Notes outstanding. As of December 31, 2021, the Company had $22.8 million in aggregate principal amount of 2022 Notes outstanding.</w:t>
      </w:r>
    </w:p>
    <w:p>
      <w:pPr>
        <w:spacing w:after="0" w:line="104" w:lineRule="exact"/>
        <w:rPr>
          <w:sz w:val="20"/>
          <w:szCs w:val="20"/>
          <w:color w:val="auto"/>
        </w:rPr>
      </w:pPr>
    </w:p>
    <w:p>
      <w:pPr>
        <w:jc w:val="both"/>
        <w:ind w:right="40" w:firstLine="509"/>
        <w:spacing w:after="0" w:line="238" w:lineRule="auto"/>
        <w:rPr>
          <w:sz w:val="20"/>
          <w:szCs w:val="20"/>
          <w:color w:val="auto"/>
        </w:rPr>
      </w:pPr>
      <w:r>
        <w:rPr>
          <w:rFonts w:ascii="Arial" w:cs="Arial" w:eastAsia="Arial" w:hAnsi="Arial"/>
          <w:sz w:val="14"/>
          <w:szCs w:val="14"/>
          <w:color w:val="auto"/>
        </w:rPr>
        <w:t>The 2022 Notes were scheduled to mature on May 31, 2022 and could be redeemed in whole or in part at any time or from time to time at the Company’s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the interest expense, deferred financing costs, average outstanding balance, and average stated interest rate on the 2022 Notes for the years ended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2021 and 2020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For the Years Ended December 31,</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4,119</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420" w:type="dxa"/>
            <w:vAlign w:val="bottom"/>
            <w:tcBorders>
              <w:bottom w:val="single" w:sz="8" w:color="auto"/>
            </w:tcBorders>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4,709</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58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420" w:type="dxa"/>
            <w:vAlign w:val="bottom"/>
          </w:tcPr>
          <w:p>
            <w:pPr>
              <w:jc w:val="right"/>
              <w:ind w:right="1268"/>
              <w:spacing w:after="0" w:line="156"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9,384</w:t>
            </w:r>
          </w:p>
        </w:tc>
        <w:tc>
          <w:tcPr>
            <w:tcW w:w="160" w:type="dxa"/>
            <w:vAlign w:val="bottom"/>
          </w:tcPr>
          <w:p>
            <w:pPr>
              <w:spacing w:after="0"/>
              <w:rPr>
                <w:sz w:val="13"/>
                <w:szCs w:val="13"/>
                <w:color w:val="auto"/>
              </w:rPr>
            </w:pPr>
          </w:p>
        </w:tc>
        <w:tc>
          <w:tcPr>
            <w:tcW w:w="580" w:type="dxa"/>
            <w:vAlign w:val="bottom"/>
            <w:gridSpan w:val="2"/>
          </w:tcPr>
          <w:p>
            <w:pPr>
              <w:jc w:val="right"/>
              <w:ind w:right="308"/>
              <w:spacing w:after="0" w:line="156"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6" w:lineRule="exact"/>
              <w:rPr>
                <w:sz w:val="20"/>
                <w:szCs w:val="20"/>
                <w:color w:val="auto"/>
              </w:rPr>
            </w:pPr>
            <w:r>
              <w:rPr>
                <w:rFonts w:ascii="Arial" w:cs="Arial" w:eastAsia="Arial" w:hAnsi="Arial"/>
                <w:sz w:val="14"/>
                <w:szCs w:val="14"/>
                <w:color w:val="auto"/>
              </w:rPr>
              <w:t>69,272</w:t>
            </w:r>
          </w:p>
        </w:tc>
        <w:tc>
          <w:tcPr>
            <w:tcW w:w="240" w:type="dxa"/>
            <w:vAlign w:val="bottom"/>
          </w:tcPr>
          <w:p>
            <w:pPr>
              <w:spacing w:after="0"/>
              <w:rPr>
                <w:sz w:val="13"/>
                <w:szCs w:val="13"/>
                <w:color w:val="auto"/>
              </w:rPr>
            </w:pPr>
          </w:p>
        </w:tc>
        <w:tc>
          <w:tcPr>
            <w:tcW w:w="460" w:type="dxa"/>
            <w:vAlign w:val="bottom"/>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56" w:lineRule="exact"/>
              <w:rPr>
                <w:sz w:val="20"/>
                <w:szCs w:val="20"/>
                <w:color w:val="auto"/>
              </w:rPr>
            </w:pPr>
            <w:r>
              <w:rPr>
                <w:rFonts w:ascii="Arial" w:cs="Arial" w:eastAsia="Arial" w:hAnsi="Arial"/>
                <w:sz w:val="14"/>
                <w:szCs w:val="14"/>
                <w:color w:val="auto"/>
              </w:rPr>
              <w:t>74,253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4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6.00 %</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6.00 %</w:t>
            </w:r>
          </w:p>
        </w:tc>
        <w:tc>
          <w:tcPr>
            <w:tcW w:w="4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6.00 %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-248285</wp:posOffset>
            </wp:positionV>
            <wp:extent cx="2948940"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948940" cy="1371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Convertible Notes</w:t>
      </w:r>
    </w:p>
    <w:p>
      <w:pPr>
        <w:spacing w:after="0" w:line="136" w:lineRule="exact"/>
        <w:rPr>
          <w:sz w:val="20"/>
          <w:szCs w:val="20"/>
          <w:color w:val="auto"/>
        </w:rPr>
      </w:pPr>
    </w:p>
    <w:p>
      <w:pPr>
        <w:jc w:val="both"/>
        <w:ind w:right="20" w:firstLine="509"/>
        <w:spacing w:after="0" w:line="231" w:lineRule="auto"/>
        <w:rPr>
          <w:sz w:val="20"/>
          <w:szCs w:val="20"/>
          <w:color w:val="auto"/>
        </w:rPr>
      </w:pPr>
      <w:r>
        <w:rPr>
          <w:rFonts w:ascii="Arial" w:cs="Arial" w:eastAsia="Arial" w:hAnsi="Arial"/>
          <w:sz w:val="14"/>
          <w:szCs w:val="14"/>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December 31, 2022, there were no 2022 Convertible Notes outstanding. As of December 31, 2021, the Company had $52.1 million in aggregate principal amount of 2022 Convertible Notes outstanding.</w:t>
      </w:r>
    </w:p>
    <w:p>
      <w:pPr>
        <w:spacing w:after="0" w:line="116" w:lineRule="exact"/>
        <w:rPr>
          <w:sz w:val="20"/>
          <w:szCs w:val="20"/>
          <w:color w:val="auto"/>
        </w:rPr>
      </w:pPr>
    </w:p>
    <w:p>
      <w:pPr>
        <w:jc w:val="both"/>
        <w:ind w:right="20" w:firstLine="509"/>
        <w:spacing w:after="0" w:line="228" w:lineRule="auto"/>
        <w:rPr>
          <w:sz w:val="20"/>
          <w:szCs w:val="20"/>
          <w:color w:val="auto"/>
        </w:rPr>
      </w:pPr>
      <w:r>
        <w:rPr>
          <w:rFonts w:ascii="Arial" w:cs="Arial" w:eastAsia="Arial" w:hAnsi="Arial"/>
          <w:sz w:val="14"/>
          <w:szCs w:val="14"/>
          <w:color w:val="auto"/>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was approximately 14.0%. As a result of the reverse stock split, the conversion rate for the 2022 Convertible Notes was 0.2652 shares per $25.00 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 as outlined in the supplemental indenture relating to the 2022 Convertible Notes. The Company determined that the embedded conversion option in the 2022 Convertible Notes was not required to be separately accounted for as a derivative under U.S. GAAP.</w:t>
      </w:r>
    </w:p>
    <w:p>
      <w:pPr>
        <w:spacing w:after="0" w:line="104"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14"/>
          <w:szCs w:val="14"/>
          <w:color w:val="auto"/>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 “sinking fund” is provided for the 2022 Convertible Notes.</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2022 Convertible Notes for the years ended December 31, 2022, 2021, and 2020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For the Years Ended December 31,</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380" w:type="dxa"/>
            <w:vAlign w:val="bottom"/>
            <w:shd w:val="clear" w:color="auto" w:fill="CFF0FC"/>
          </w:tcPr>
          <w:p>
            <w:pPr>
              <w:jc w:val="right"/>
              <w:ind w:right="12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2,997</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380" w:type="dxa"/>
            <w:vAlign w:val="bottom"/>
            <w:tcBorders>
              <w:bottom w:val="single" w:sz="8" w:color="auto"/>
            </w:tcBorders>
            <w:shd w:val="clear" w:color="auto" w:fill="CFF0FC"/>
          </w:tcPr>
          <w:p>
            <w:pPr>
              <w:jc w:val="right"/>
              <w:ind w:right="12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3,382</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3,359</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58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380" w:type="dxa"/>
            <w:vAlign w:val="bottom"/>
          </w:tcPr>
          <w:p>
            <w:pPr>
              <w:jc w:val="right"/>
              <w:ind w:right="1228"/>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21,406</w:t>
            </w:r>
          </w:p>
        </w:tc>
        <w:tc>
          <w:tcPr>
            <w:tcW w:w="160" w:type="dxa"/>
            <w:vAlign w:val="bottom"/>
          </w:tcPr>
          <w:p>
            <w:pPr>
              <w:spacing w:after="0"/>
              <w:rPr>
                <w:sz w:val="13"/>
                <w:szCs w:val="13"/>
                <w:color w:val="auto"/>
              </w:rPr>
            </w:pPr>
          </w:p>
        </w:tc>
        <w:tc>
          <w:tcPr>
            <w:tcW w:w="580" w:type="dxa"/>
            <w:vAlign w:val="bottom"/>
            <w:gridSpan w:val="2"/>
          </w:tcPr>
          <w:p>
            <w:pPr>
              <w:jc w:val="right"/>
              <w:ind w:right="308"/>
              <w:spacing w:after="0" w:line="156"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240" w:type="dxa"/>
            <w:vAlign w:val="bottom"/>
          </w:tcPr>
          <w:p>
            <w:pPr>
              <w:spacing w:after="0"/>
              <w:rPr>
                <w:sz w:val="13"/>
                <w:szCs w:val="13"/>
                <w:color w:val="auto"/>
              </w:rPr>
            </w:pPr>
          </w:p>
        </w:tc>
        <w:tc>
          <w:tcPr>
            <w:tcW w:w="460" w:type="dxa"/>
            <w:vAlign w:val="bottom"/>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3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5.75 %</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5.75 %</w:t>
            </w:r>
          </w:p>
        </w:tc>
        <w:tc>
          <w:tcPr>
            <w:tcW w:w="4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-247650</wp:posOffset>
            </wp:positionV>
            <wp:extent cx="294894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948940" cy="13716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20"/>
        <w:spacing w:after="0"/>
        <w:rPr>
          <w:sz w:val="20"/>
          <w:szCs w:val="20"/>
          <w:color w:val="auto"/>
        </w:rPr>
      </w:pPr>
      <w:r>
        <w:rPr>
          <w:rFonts w:ascii="Arial" w:cs="Arial" w:eastAsia="Arial" w:hAnsi="Arial"/>
          <w:sz w:val="14"/>
          <w:szCs w:val="14"/>
          <w:b w:val="1"/>
          <w:bCs w:val="1"/>
          <w:color w:val="auto"/>
        </w:rPr>
        <w:t>DECEMBER 31, 2022</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36"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3"/>
          <w:szCs w:val="13"/>
          <w:color w:val="auto"/>
        </w:rPr>
        <w:t xml:space="preserve">On October 29, 2021, the Company issued $50.0 million in aggregate principal amount of 5.25% fixed-rate notes due October 30, 2026 (the “2026 Notes”) </w:t>
      </w:r>
      <w:r>
        <w:rPr>
          <w:rFonts w:ascii="Arial" w:cs="Arial" w:eastAsia="Arial" w:hAnsi="Arial"/>
          <w:sz w:val="13"/>
          <w:szCs w:val="13"/>
          <w:color w:val="231F20"/>
        </w:rPr>
        <w:t>at 98.00% pursuant to a</w:t>
      </w:r>
      <w:r>
        <w:rPr>
          <w:rFonts w:ascii="Arial" w:cs="Arial" w:eastAsia="Arial" w:hAnsi="Arial"/>
          <w:sz w:val="13"/>
          <w:szCs w:val="13"/>
          <w:color w:val="auto"/>
        </w:rPr>
        <w:t xml:space="preserve"> </w:t>
      </w:r>
      <w:r>
        <w:rPr>
          <w:rFonts w:ascii="Arial" w:cs="Arial" w:eastAsia="Arial" w:hAnsi="Arial"/>
          <w:sz w:val="13"/>
          <w:szCs w:val="13"/>
          <w:color w:val="231F20"/>
        </w:rPr>
        <w:t xml:space="preserve">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w:t>
      </w:r>
      <w:r>
        <w:rPr>
          <w:rFonts w:ascii="Arial" w:cs="Arial" w:eastAsia="Arial" w:hAnsi="Arial"/>
          <w:sz w:val="13"/>
          <w:szCs w:val="13"/>
          <w:color w:val="000000"/>
        </w:rPr>
        <w:t>The Notes will mature on October 30, 2026 and may be redeemed in whole or in part at the Company’s option at any time or from time to</w:t>
      </w:r>
      <w:r>
        <w:rPr>
          <w:rFonts w:ascii="Arial" w:cs="Arial" w:eastAsia="Arial" w:hAnsi="Arial"/>
          <w:sz w:val="13"/>
          <w:szCs w:val="13"/>
          <w:color w:val="231F20"/>
        </w:rPr>
        <w:t xml:space="preserve"> </w:t>
      </w:r>
      <w:r>
        <w:rPr>
          <w:rFonts w:ascii="Arial" w:cs="Arial" w:eastAsia="Arial" w:hAnsi="Arial"/>
          <w:sz w:val="13"/>
          <w:szCs w:val="13"/>
          <w:color w:val="000000"/>
        </w:rPr>
        <w:t xml:space="preserve">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Arial" w:cs="Arial" w:eastAsia="Arial" w:hAnsi="Arial"/>
          <w:sz w:val="13"/>
          <w:szCs w:val="13"/>
          <w:i w:val="1"/>
          <w:iCs w:val="1"/>
          <w:color w:val="000000"/>
        </w:rPr>
        <w:t>pari passu</w:t>
      </w:r>
      <w:r>
        <w:rPr>
          <w:rFonts w:ascii="Arial" w:cs="Arial" w:eastAsia="Arial" w:hAnsi="Arial"/>
          <w:sz w:val="13"/>
          <w:szCs w:val="13"/>
          <w:color w:val="000000"/>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04"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14"/>
          <w:szCs w:val="14"/>
          <w:color w:val="231F20"/>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and 2021, the Company had $50.0 million and $50.0 million in 2026 Notes outstanding.</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the interest expense, deferred financing costs, average outstanding balance, and average stated interest rate on the 2026 Notes for the years ended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and 2021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42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2,810</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7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2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420" w:type="dxa"/>
            <w:vAlign w:val="bottom"/>
            <w:tcBorders>
              <w:bottom w:val="single" w:sz="8" w:color="auto"/>
            </w:tcBorders>
            <w:shd w:val="clear" w:color="auto" w:fill="CFF0FC"/>
          </w:tcPr>
          <w:p>
            <w:pPr>
              <w:jc w:val="right"/>
              <w:ind w:right="12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2,971</w:t>
            </w:r>
          </w:p>
        </w:tc>
        <w:tc>
          <w:tcPr>
            <w:tcW w:w="2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678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420" w:type="dxa"/>
            <w:vAlign w:val="bottom"/>
          </w:tcPr>
          <w:p>
            <w:pPr>
              <w:jc w:val="right"/>
              <w:ind w:right="1248"/>
              <w:spacing w:after="0" w:line="156"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50,000</w:t>
            </w:r>
          </w:p>
        </w:tc>
        <w:tc>
          <w:tcPr>
            <w:tcW w:w="260" w:type="dxa"/>
            <w:vAlign w:val="bottom"/>
          </w:tcPr>
          <w:p>
            <w:pPr>
              <w:spacing w:after="0"/>
              <w:rPr>
                <w:sz w:val="13"/>
                <w:szCs w:val="13"/>
                <w:color w:val="auto"/>
              </w:rPr>
            </w:pPr>
          </w:p>
        </w:tc>
        <w:tc>
          <w:tcPr>
            <w:tcW w:w="1420" w:type="dxa"/>
            <w:vAlign w:val="bottom"/>
          </w:tcPr>
          <w:p>
            <w:pPr>
              <w:jc w:val="right"/>
              <w:ind w:right="1268"/>
              <w:spacing w:after="0" w:line="156"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8,767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4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5.25 %</w:t>
            </w:r>
          </w:p>
        </w:tc>
        <w:tc>
          <w:tcPr>
            <w:tcW w:w="14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-247650</wp:posOffset>
            </wp:positionV>
            <wp:extent cx="1525905" cy="1371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25905"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2032 Convertible Notes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April 1, 2022, the Company issued $15.0 million in aggregate principal amount of 5.25% fixed-rate convertible notes due April 1, 2032 (the “2032 Convertible Notes”).</w:t>
      </w:r>
    </w:p>
    <w:p>
      <w:pPr>
        <w:spacing w:after="0" w:line="96"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3"/>
          <w:szCs w:val="13"/>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spacing w:after="0" w:line="75"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3"/>
          <w:szCs w:val="13"/>
          <w:color w:val="auto"/>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the Company had $15.0 million in 2032 Convertible Notes outstanding.</w:t>
      </w:r>
    </w:p>
    <w:p>
      <w:pPr>
        <w:spacing w:after="0" w:line="9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2032 Convertible Notes for the year ended December 31, 2022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Year Ended December</w:t>
            </w:r>
          </w:p>
        </w:tc>
      </w:tr>
      <w:tr>
        <w:trPr>
          <w:trHeight w:val="185"/>
        </w:trPr>
        <w:tc>
          <w:tcPr>
            <w:tcW w:w="8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8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894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620" w:type="dxa"/>
            <w:vAlign w:val="bottom"/>
            <w:gridSpan w:val="2"/>
          </w:tcPr>
          <w:p>
            <w:pPr>
              <w:jc w:val="right"/>
              <w:ind w:right="328"/>
              <w:spacing w:after="0" w:line="156"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56" w:lineRule="exact"/>
              <w:rPr>
                <w:sz w:val="20"/>
                <w:szCs w:val="20"/>
                <w:color w:val="auto"/>
              </w:rPr>
            </w:pPr>
            <w:r>
              <w:rPr>
                <w:rFonts w:ascii="Arial" w:cs="Arial" w:eastAsia="Arial" w:hAnsi="Arial"/>
                <w:sz w:val="14"/>
                <w:szCs w:val="14"/>
                <w:color w:val="auto"/>
              </w:rPr>
              <w:t>11,301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8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20"/>
        <w:spacing w:after="0"/>
        <w:rPr>
          <w:sz w:val="20"/>
          <w:szCs w:val="20"/>
          <w:color w:val="auto"/>
        </w:rPr>
      </w:pPr>
      <w:r>
        <w:rPr>
          <w:rFonts w:ascii="Arial" w:cs="Arial" w:eastAsia="Arial" w:hAnsi="Arial"/>
          <w:sz w:val="14"/>
          <w:szCs w:val="14"/>
          <w:b w:val="1"/>
          <w:bCs w:val="1"/>
          <w:color w:val="auto"/>
        </w:rPr>
        <w:t>DECEMBER 31, 2022</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Bond Repurchase Program</w:t>
      </w:r>
    </w:p>
    <w:p>
      <w:pPr>
        <w:spacing w:after="0" w:line="136" w:lineRule="exact"/>
        <w:rPr>
          <w:sz w:val="20"/>
          <w:szCs w:val="20"/>
          <w:color w:val="auto"/>
        </w:rPr>
      </w:pPr>
    </w:p>
    <w:p>
      <w:pPr>
        <w:jc w:val="both"/>
        <w:ind w:right="20" w:firstLine="509"/>
        <w:spacing w:after="0" w:line="231" w:lineRule="auto"/>
        <w:rPr>
          <w:sz w:val="20"/>
          <w:szCs w:val="20"/>
          <w:color w:val="auto"/>
        </w:rPr>
      </w:pPr>
      <w:r>
        <w:rPr>
          <w:rFonts w:ascii="Arial" w:cs="Arial" w:eastAsia="Arial" w:hAnsi="Arial"/>
          <w:sz w:val="14"/>
          <w:szCs w:val="14"/>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The Company did not repurchase any of the 2022 Notes or 2022 Convertible Notes during the year ended December 31, 2021. During the year ended December 31, 2020, the Company purchased approximately $2.2 million of outstanding principal of the 2022 Notes under the Bond Repurchase Program, resulting in a realized gain of $0.2 million. During the year ended December 31, 2020, the Company did not purchase any of the 2022 Convertible Notes.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KeyBank Credit Facility</w:t>
      </w:r>
    </w:p>
    <w:p>
      <w:pPr>
        <w:spacing w:after="0" w:line="123"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3"/>
          <w:szCs w:val="13"/>
          <w:color w:val="auto"/>
        </w:rPr>
        <w:t xml:space="preserve">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December 31, 2022 and December 31, 2021, there were draws of </w:t>
      </w:r>
      <w:r>
        <w:rPr>
          <w:rFonts w:ascii="Arial" w:cs="Arial" w:eastAsia="Arial" w:hAnsi="Arial"/>
          <w:sz w:val="13"/>
          <w:szCs w:val="13"/>
          <w:color w:val="231F20"/>
        </w:rPr>
        <w:t>$55.9</w:t>
      </w:r>
      <w:r>
        <w:rPr>
          <w:rFonts w:ascii="Arial" w:cs="Arial" w:eastAsia="Arial" w:hAnsi="Arial"/>
          <w:sz w:val="13"/>
          <w:szCs w:val="13"/>
          <w:color w:val="auto"/>
        </w:rPr>
        <w:t xml:space="preserve"> million and zero,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December 31, 2022 and 2021, assets pledged to secure the KeyBank Credit Facility had a fair value of $111.3 million and $57.7 million, respectively.</w:t>
      </w:r>
    </w:p>
    <w:p>
      <w:pPr>
        <w:spacing w:after="0" w:line="114"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4"/>
          <w:szCs w:val="14"/>
          <w:color w:val="auto"/>
        </w:rPr>
        <w:t>The following table summarizes the interest expense, deferred financing costs, unused commitment fees, average outstanding balance, and average stated interest rate on the KeyBank Credit Facility for the years ended December 31, 2022 and 2021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 the Years Ended December 31,</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1,553</w:t>
            </w:r>
          </w:p>
        </w:tc>
        <w:tc>
          <w:tcPr>
            <w:tcW w:w="120" w:type="dxa"/>
            <w:vAlign w:val="bottom"/>
          </w:tcPr>
          <w:p>
            <w:pPr>
              <w:spacing w:after="0"/>
              <w:rPr>
                <w:sz w:val="14"/>
                <w:szCs w:val="14"/>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financing costs</w:t>
            </w:r>
          </w:p>
        </w:tc>
        <w:tc>
          <w:tcPr>
            <w:tcW w:w="14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700" w:type="dxa"/>
            <w:vAlign w:val="bottom"/>
          </w:tcPr>
          <w:p>
            <w:pPr>
              <w:ind w:left="20"/>
              <w:spacing w:after="0"/>
              <w:rPr>
                <w:sz w:val="20"/>
                <w:szCs w:val="20"/>
                <w:color w:val="auto"/>
              </w:rPr>
            </w:pPr>
            <w:r>
              <w:rPr>
                <w:rFonts w:ascii="Arial" w:cs="Arial" w:eastAsia="Arial" w:hAnsi="Arial"/>
                <w:sz w:val="14"/>
                <w:szCs w:val="14"/>
                <w:color w:val="auto"/>
              </w:rPr>
              <w:t>Unused commitment fees</w:t>
            </w:r>
          </w:p>
        </w:tc>
        <w:tc>
          <w:tcPr>
            <w:tcW w:w="1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440" w:type="dxa"/>
            <w:vAlign w:val="bottom"/>
            <w:tcBorders>
              <w:bottom w:val="single" w:sz="8" w:color="auto"/>
            </w:tcBorders>
            <w:shd w:val="clear" w:color="auto" w:fill="CFF0FC"/>
          </w:tcPr>
          <w:p>
            <w:pPr>
              <w:jc w:val="right"/>
              <w:ind w:right="12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2,106</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440" w:type="dxa"/>
            <w:vAlign w:val="bottom"/>
          </w:tcPr>
          <w:p>
            <w:pPr>
              <w:jc w:val="right"/>
              <w:ind w:right="1268"/>
              <w:spacing w:after="0" w:line="156"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27,586</w:t>
            </w:r>
          </w:p>
        </w:tc>
        <w:tc>
          <w:tcPr>
            <w:tcW w:w="600" w:type="dxa"/>
            <w:vAlign w:val="bottom"/>
            <w:gridSpan w:val="2"/>
          </w:tcPr>
          <w:p>
            <w:pPr>
              <w:jc w:val="right"/>
              <w:ind w:right="328"/>
              <w:spacing w:after="0" w:line="156" w:lineRule="exact"/>
              <w:rPr>
                <w:sz w:val="20"/>
                <w:szCs w:val="20"/>
                <w:color w:val="auto"/>
              </w:rPr>
            </w:pPr>
            <w:r>
              <w:rPr>
                <w:rFonts w:ascii="Arial" w:cs="Arial" w:eastAsia="Arial" w:hAnsi="Arial"/>
                <w:sz w:val="14"/>
                <w:szCs w:val="14"/>
                <w:color w:val="auto"/>
              </w:rPr>
              <w:t>$</w:t>
            </w:r>
          </w:p>
        </w:tc>
        <w:tc>
          <w:tcPr>
            <w:tcW w:w="1580" w:type="dxa"/>
            <w:vAlign w:val="bottom"/>
          </w:tcPr>
          <w:p>
            <w:pPr>
              <w:jc w:val="right"/>
              <w:spacing w:after="0" w:line="156" w:lineRule="exact"/>
              <w:rPr>
                <w:sz w:val="20"/>
                <w:szCs w:val="20"/>
                <w:color w:val="auto"/>
              </w:rPr>
            </w:pPr>
            <w:r>
              <w:rPr>
                <w:rFonts w:ascii="Arial" w:cs="Arial" w:eastAsia="Arial" w:hAnsi="Arial"/>
                <w:sz w:val="14"/>
                <w:szCs w:val="14"/>
                <w:color w:val="auto"/>
              </w:rPr>
              <w:t>3,203</w:t>
            </w:r>
          </w:p>
        </w:tc>
        <w:tc>
          <w:tcPr>
            <w:tcW w:w="100" w:type="dxa"/>
            <w:vAlign w:val="bottom"/>
          </w:tcPr>
          <w:p>
            <w:pPr>
              <w:spacing w:after="0"/>
              <w:rPr>
                <w:sz w:val="13"/>
                <w:szCs w:val="13"/>
                <w:color w:val="auto"/>
              </w:rPr>
            </w:pPr>
          </w:p>
        </w:tc>
        <w:tc>
          <w:tcPr>
            <w:tcW w:w="500" w:type="dxa"/>
            <w:vAlign w:val="bottom"/>
          </w:tcPr>
          <w:p>
            <w:pPr>
              <w:jc w:val="right"/>
              <w:ind w:right="328"/>
              <w:spacing w:after="0" w:line="156"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76"/>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4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388"/>
              <w:spacing w:after="0"/>
              <w:rPr>
                <w:sz w:val="20"/>
                <w:szCs w:val="20"/>
                <w:color w:val="auto"/>
              </w:rPr>
            </w:pPr>
            <w:r>
              <w:rPr>
                <w:rFonts w:ascii="Arial" w:cs="Arial" w:eastAsia="Arial" w:hAnsi="Arial"/>
                <w:sz w:val="14"/>
                <w:szCs w:val="14"/>
                <w:color w:val="auto"/>
              </w:rPr>
              <w:t>5.35 %</w:t>
            </w:r>
          </w:p>
        </w:tc>
        <w:tc>
          <w:tcPr>
            <w:tcW w:w="2180" w:type="dxa"/>
            <w:vAlign w:val="bottom"/>
            <w:gridSpan w:val="3"/>
            <w:shd w:val="clear" w:color="auto" w:fill="CFF0FC"/>
          </w:tcPr>
          <w:p>
            <w:pPr>
              <w:jc w:val="right"/>
              <w:ind w:right="388"/>
              <w:spacing w:after="0"/>
              <w:rPr>
                <w:sz w:val="20"/>
                <w:szCs w:val="20"/>
                <w:color w:val="auto"/>
              </w:rPr>
            </w:pPr>
            <w:r>
              <w:rPr>
                <w:rFonts w:ascii="Arial" w:cs="Arial" w:eastAsia="Arial" w:hAnsi="Arial"/>
                <w:sz w:val="14"/>
                <w:szCs w:val="14"/>
                <w:color w:val="auto"/>
              </w:rPr>
              <w:t>4.25 %</w:t>
            </w:r>
          </w:p>
        </w:tc>
        <w:tc>
          <w:tcPr>
            <w:tcW w:w="1680" w:type="dxa"/>
            <w:vAlign w:val="bottom"/>
            <w:gridSpan w:val="2"/>
            <w:shd w:val="clear" w:color="auto" w:fill="CFF0FC"/>
          </w:tcPr>
          <w:p>
            <w:pPr>
              <w:ind w:left="1420"/>
              <w:spacing w:after="0"/>
              <w:rPr>
                <w:sz w:val="20"/>
                <w:szCs w:val="20"/>
                <w:color w:val="auto"/>
              </w:rPr>
            </w:pPr>
            <w:r>
              <w:rPr>
                <w:rFonts w:ascii="Arial" w:cs="Arial" w:eastAsia="Arial" w:hAnsi="Arial"/>
                <w:sz w:val="14"/>
                <w:szCs w:val="14"/>
                <w:color w:val="auto"/>
                <w:w w:val="78"/>
              </w:rPr>
              <w:t>—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-248285</wp:posOffset>
            </wp:positionV>
            <wp:extent cx="2828925"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828925" cy="1371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 Disclosed, But Not Carried, At Fair Value</w:t>
      </w:r>
    </w:p>
    <w:p>
      <w:pPr>
        <w:spacing w:after="0" w:line="136" w:lineRule="exact"/>
        <w:rPr>
          <w:sz w:val="20"/>
          <w:szCs w:val="20"/>
          <w:color w:val="auto"/>
        </w:rPr>
      </w:pPr>
    </w:p>
    <w:p>
      <w:pPr>
        <w:ind w:right="40" w:firstLine="509"/>
        <w:spacing w:after="0" w:line="25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December 31, 2022, and the level of each financial liability within the fair value hierarchy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4"/>
                <w:szCs w:val="14"/>
                <w:color w:val="auto"/>
              </w:rPr>
              <w:t>2032 Convertible Notes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ind w:left="94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55,937</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55,937</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55,937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120,937</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120,937</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ind w:left="94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9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120,937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-145415</wp:posOffset>
            </wp:positionV>
            <wp:extent cx="76835" cy="146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-145415</wp:posOffset>
            </wp:positionV>
            <wp:extent cx="77470" cy="146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-145415</wp:posOffset>
            </wp:positionV>
            <wp:extent cx="68580" cy="146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-145415</wp:posOffset>
            </wp:positionV>
            <wp:extent cx="68580" cy="146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58"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52,088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52,983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52,983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124,921</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76,268</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4"/>
          <w:szCs w:val="14"/>
          <w:color w:val="auto"/>
        </w:rPr>
        <w:t>The estimated fair value of the 2022 Notes and 2022 Convertible Notes was based on their respective closing prices as of the measurement date as they were traded on the NASDAQ Global Select Market under the ticker “CPTAL” (2022 Notes) and on the NASDAQ Capital Market under the ticker “CPTAG” (2022 Convertible Notes).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estimated fair value of the 2026 Notes, the 2032 Convertible Notes and the KeyBank Credit Facility approximates the principal value.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Income Taxes</w:t>
      </w:r>
    </w:p>
    <w:p>
      <w:pPr>
        <w:spacing w:after="0" w:line="14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The Company has elected to be treated as a RIC under subchapter M of the Code. As a RIC, the Company is not taxed on any investment company taxable income or capital gains which it distributes to stockholders. The Company intends to make the requisite distributions to its stockholders which will relieve the Company from U.S. federal income taxes.</w:t>
      </w:r>
    </w:p>
    <w:p>
      <w:pPr>
        <w:spacing w:after="0" w:line="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Distributions from net investment income, distributions from net realized capital gains, and distributions classified as return of capital are determined in accordance with U.S. federal tax regulations, which may differ from amounts in accordance with U.S. GAAP and those differences could be material.</w:t>
      </w:r>
    </w:p>
    <w:p>
      <w:pPr>
        <w:spacing w:after="0" w:line="106"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Permanent differences between taxable income and net investment income for financial reporting purposes are reclassified among the capital accounts in the financial statements to reflect their tax character. During the years ended December 31, 2022, 2021 and 2020, the Company reclassified for book purposes amounts arising from permanent differences in the book and tax basis of partnership investments sold, sales relating to defaulted bond accruals, and book and tax character of distributions paid. Such reclassifications are reported in “Tax reclassifications of stockholders’ equity in accordance with generally accepted accounting principles” and “Distributions — Return of Capital” in the statements of changes in net assets for the years ended December 31, 2022, 2021 and 2020, respectively.</w:t>
      </w:r>
    </w:p>
    <w:p>
      <w:pPr>
        <w:spacing w:after="0" w:line="11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The following permanent differences due to adjustments for the realized gains (losses) upon disposition of partnership interests and for the transfer of distributions between accumulated capital gains, accumulated net investment income, and return of capital were reclassified for tax purposes for the tax years ended December 31, 2022, 2021 and 2020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b w:val="1"/>
                <w:bCs w:val="1"/>
                <w:color w:val="auto"/>
                <w:w w:val="92"/>
              </w:rPr>
              <w:t>Tax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(decrease) in accumulated net investment income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700" w:type="dxa"/>
            <w:vAlign w:val="bottom"/>
          </w:tcPr>
          <w:p>
            <w:pPr>
              <w:ind w:left="20"/>
              <w:spacing w:after="0"/>
              <w:rPr>
                <w:sz w:val="20"/>
                <w:szCs w:val="20"/>
                <w:color w:val="auto"/>
              </w:rPr>
            </w:pPr>
            <w:r>
              <w:rPr>
                <w:rFonts w:ascii="Arial" w:cs="Arial" w:eastAsia="Arial" w:hAnsi="Arial"/>
                <w:sz w:val="14"/>
                <w:szCs w:val="14"/>
                <w:color w:val="auto"/>
              </w:rPr>
              <w:t>Decrease (increase) in accumulated net realized gains on investments</w:t>
            </w:r>
          </w:p>
        </w:tc>
        <w:tc>
          <w:tcPr>
            <w:tcW w:w="30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(2,575 )</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6,254</w:t>
            </w:r>
          </w:p>
        </w:tc>
        <w:tc>
          <w:tcPr>
            <w:tcW w:w="100" w:type="dxa"/>
            <w:vAlign w:val="bottom"/>
          </w:tcPr>
          <w:p>
            <w:pPr>
              <w:spacing w:after="0"/>
              <w:rPr>
                <w:sz w:val="15"/>
                <w:szCs w:val="15"/>
                <w:color w:val="auto"/>
              </w:rPr>
            </w:pPr>
          </w:p>
        </w:tc>
      </w:tr>
      <w:tr>
        <w:trPr>
          <w:trHeight w:val="176"/>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(decrease) in capital in excess of par value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(40,635 )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(5,476 )</w:t>
            </w:r>
          </w:p>
        </w:tc>
      </w:tr>
      <w:tr>
        <w:trPr>
          <w:trHeight w:val="312"/>
        </w:trPr>
        <w:tc>
          <w:tcPr>
            <w:tcW w:w="9820" w:type="dxa"/>
            <w:vAlign w:val="bottom"/>
            <w:gridSpan w:val="7"/>
          </w:tcPr>
          <w:p>
            <w:pPr>
              <w:ind w:left="520"/>
              <w:spacing w:after="0"/>
              <w:rPr>
                <w:sz w:val="20"/>
                <w:szCs w:val="20"/>
                <w:color w:val="auto"/>
              </w:rPr>
            </w:pPr>
            <w:r>
              <w:rPr>
                <w:rFonts w:ascii="Arial" w:cs="Arial" w:eastAsia="Arial" w:hAnsi="Arial"/>
                <w:sz w:val="14"/>
                <w:szCs w:val="14"/>
                <w:color w:val="auto"/>
                <w:w w:val="99"/>
              </w:rPr>
              <w:t>For the tax years ended December 31, 2022, 2021 and 2020, the tax basis components of distributable earnings were as follows (dollars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9"/>
        </w:trPr>
        <w:tc>
          <w:tcPr>
            <w:tcW w:w="6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b w:val="1"/>
                <w:bCs w:val="1"/>
                <w:color w:val="auto"/>
                <w:w w:val="92"/>
              </w:rPr>
              <w:t>Tax 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Undistributed ordinary income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75"/>
        </w:trPr>
        <w:tc>
          <w:tcPr>
            <w:tcW w:w="6700" w:type="dxa"/>
            <w:vAlign w:val="bottom"/>
          </w:tcPr>
          <w:p>
            <w:pPr>
              <w:ind w:left="20"/>
              <w:spacing w:after="0"/>
              <w:rPr>
                <w:sz w:val="20"/>
                <w:szCs w:val="20"/>
                <w:color w:val="auto"/>
              </w:rPr>
            </w:pPr>
            <w:r>
              <w:rPr>
                <w:rFonts w:ascii="Arial" w:cs="Arial" w:eastAsia="Arial" w:hAnsi="Arial"/>
                <w:sz w:val="14"/>
                <w:szCs w:val="14"/>
                <w:color w:val="auto"/>
              </w:rPr>
              <w:t>Accumulated capital losses</w:t>
            </w:r>
          </w:p>
        </w:tc>
        <w:tc>
          <w:tcPr>
            <w:tcW w:w="30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(96,984 )</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(108,018 )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(111,734 )</w:t>
            </w:r>
          </w:p>
        </w:tc>
      </w:tr>
      <w:tr>
        <w:trPr>
          <w:trHeight w:val="176"/>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appreciation (depreciation)</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(18,351 )</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(23,428 )</w:t>
            </w: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color w:val="auto"/>
              </w:rPr>
              <w:t>Other temporary differences</w:t>
            </w:r>
          </w:p>
        </w:tc>
        <w:tc>
          <w:tcPr>
            <w:tcW w:w="300" w:type="dxa"/>
            <w:vAlign w:val="bottom"/>
          </w:tcPr>
          <w:p>
            <w:pPr>
              <w:spacing w:after="0"/>
              <w:rPr>
                <w:sz w:val="15"/>
                <w:szCs w:val="15"/>
                <w:color w:val="auto"/>
              </w:rPr>
            </w:pP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(1,588 )</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(1,580 )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(6,262 )</w:t>
            </w:r>
          </w:p>
        </w:tc>
      </w:tr>
      <w:tr>
        <w:trPr>
          <w:trHeight w:val="20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(116,923</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(106,008</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(141,424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Capital losses in excess of capital gains earned in a tax year may generally be carried forward and used to offset capital gains, subject to certain limitations. Under the Regulated Investment Company Modernization Act of 2010, capital losses incurred after September 30, 2011 will not be subject to expiration. As of December 31, 2022, the Company has a short-term capital loss carry forward of $18.1 million and a long-term capital loss carry forward of $78.9 million.</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following table reconciles net increase (decrease) in net assets resulting from operations to taxable income (loss) for the tax periods ended December 31, 2022, 2021 and 2020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Tax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(12,024</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(35,447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700" w:type="dxa"/>
            <w:vAlign w:val="bottom"/>
          </w:tcPr>
          <w:p>
            <w:pPr>
              <w:ind w:left="2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24,631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(10,667 )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11,611</w:t>
            </w:r>
          </w:p>
        </w:tc>
        <w:tc>
          <w:tcPr>
            <w:tcW w:w="100" w:type="dxa"/>
            <w:vAlign w:val="bottom"/>
          </w:tcPr>
          <w:p>
            <w:pPr>
              <w:spacing w:after="0"/>
              <w:rPr>
                <w:sz w:val="15"/>
                <w:szCs w:val="15"/>
                <w:color w:val="auto"/>
              </w:rPr>
            </w:pPr>
          </w:p>
        </w:tc>
      </w:tr>
      <w:tr>
        <w:trPr>
          <w:trHeight w:val="176"/>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loss carryforward</w:t>
            </w:r>
          </w:p>
        </w:tc>
        <w:tc>
          <w:tcPr>
            <w:tcW w:w="8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(8,363 )</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100" w:type="dxa"/>
            <w:vAlign w:val="bottom"/>
            <w:shd w:val="clear" w:color="auto" w:fill="CFF0FC"/>
          </w:tcPr>
          <w:p>
            <w:pPr>
              <w:spacing w:after="0"/>
              <w:rPr>
                <w:sz w:val="15"/>
                <w:szCs w:val="15"/>
                <w:color w:val="auto"/>
              </w:rPr>
            </w:pPr>
          </w:p>
        </w:tc>
      </w:tr>
      <w:tr>
        <w:trPr>
          <w:trHeight w:val="175"/>
        </w:trPr>
        <w:tc>
          <w:tcPr>
            <w:tcW w:w="6700" w:type="dxa"/>
            <w:vAlign w:val="bottom"/>
          </w:tcPr>
          <w:p>
            <w:pPr>
              <w:ind w:left="20"/>
              <w:spacing w:after="0"/>
              <w:rPr>
                <w:sz w:val="20"/>
                <w:szCs w:val="20"/>
                <w:color w:val="auto"/>
              </w:rPr>
            </w:pPr>
            <w:r>
              <w:rPr>
                <w:rFonts w:ascii="Arial" w:cs="Arial" w:eastAsia="Arial" w:hAnsi="Arial"/>
                <w:sz w:val="14"/>
                <w:szCs w:val="14"/>
                <w:color w:val="auto"/>
              </w:rPr>
              <w:t>Tax provision</w:t>
            </w:r>
          </w:p>
        </w:tc>
        <w:tc>
          <w:tcPr>
            <w:tcW w:w="820" w:type="dxa"/>
            <w:vAlign w:val="bottom"/>
          </w:tcPr>
          <w:p>
            <w:pPr>
              <w:spacing w:after="0"/>
              <w:rPr>
                <w:sz w:val="15"/>
                <w:szCs w:val="15"/>
                <w:color w:val="auto"/>
              </w:rPr>
            </w:pPr>
          </w:p>
        </w:tc>
        <w:tc>
          <w:tcPr>
            <w:tcW w:w="7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deductions for book in excess of deductions for tax</w:t>
            </w:r>
          </w:p>
        </w:tc>
        <w:tc>
          <w:tcPr>
            <w:tcW w:w="8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(4,510 )</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7,930</w:t>
            </w:r>
          </w:p>
        </w:tc>
        <w:tc>
          <w:tcPr>
            <w:tcW w:w="100" w:type="dxa"/>
            <w:vAlign w:val="bottom"/>
            <w:shd w:val="clear" w:color="auto" w:fill="CFF0FC"/>
          </w:tcPr>
          <w:p>
            <w:pPr>
              <w:spacing w:after="0"/>
              <w:rPr>
                <w:sz w:val="15"/>
                <w:szCs w:val="15"/>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700" w:type="dxa"/>
            <w:vAlign w:val="bottom"/>
          </w:tcPr>
          <w:p>
            <w:pPr>
              <w:ind w:left="20"/>
              <w:spacing w:after="0"/>
              <w:rPr>
                <w:sz w:val="20"/>
                <w:szCs w:val="20"/>
                <w:color w:val="auto"/>
              </w:rPr>
            </w:pPr>
            <w:r>
              <w:rPr>
                <w:rFonts w:ascii="Arial" w:cs="Arial" w:eastAsia="Arial" w:hAnsi="Arial"/>
                <w:sz w:val="14"/>
                <w:szCs w:val="14"/>
                <w:color w:val="auto"/>
              </w:rPr>
              <w:t>Total taxable (loss) income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(266 )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(4,398 )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4"/>
                <w:szCs w:val="14"/>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-144780</wp:posOffset>
            </wp:positionV>
            <wp:extent cx="77470" cy="1454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-144780</wp:posOffset>
            </wp:positionV>
            <wp:extent cx="68580" cy="1454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For income tax purposes, distributions paid to stockholders are reported as ordinary income, return of capital, long term capital gains or a combination thereof. The tax character of distributions paid for the tax periods ended December 31, 2022, 2021 and 2020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Tax 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Ordinary income</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FF0FC"/>
          </w:tcPr>
          <w:p>
            <w:pPr>
              <w:spacing w:after="0"/>
              <w:rPr>
                <w:sz w:val="14"/>
                <w:szCs w:val="14"/>
                <w:color w:val="auto"/>
              </w:rPr>
            </w:pPr>
          </w:p>
        </w:tc>
      </w:tr>
      <w:tr>
        <w:trPr>
          <w:trHeight w:val="176"/>
        </w:trPr>
        <w:tc>
          <w:tcPr>
            <w:tcW w:w="6720" w:type="dxa"/>
            <w:vAlign w:val="bottom"/>
          </w:tcPr>
          <w:p>
            <w:pPr>
              <w:ind w:left="20"/>
              <w:spacing w:after="0"/>
              <w:rPr>
                <w:sz w:val="20"/>
                <w:szCs w:val="20"/>
                <w:color w:val="auto"/>
              </w:rPr>
            </w:pPr>
            <w:r>
              <w:rPr>
                <w:rFonts w:ascii="Arial" w:cs="Arial" w:eastAsia="Arial" w:hAnsi="Arial"/>
                <w:sz w:val="14"/>
                <w:szCs w:val="14"/>
                <w:color w:val="auto"/>
              </w:rPr>
              <w:t>Return of capital</w:t>
            </w: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3,398</w:t>
            </w:r>
          </w:p>
        </w:tc>
        <w:tc>
          <w:tcPr>
            <w:tcW w:w="100" w:type="dxa"/>
            <w:vAlign w:val="bottom"/>
          </w:tcPr>
          <w:p>
            <w:pPr>
              <w:spacing w:after="0"/>
              <w:rPr>
                <w:sz w:val="15"/>
                <w:szCs w:val="15"/>
                <w:color w:val="auto"/>
              </w:rPr>
            </w:pPr>
          </w:p>
        </w:tc>
      </w:tr>
      <w:tr>
        <w:trPr>
          <w:trHeight w:val="209"/>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For U.S. federal income tax purposes, as of December 31, 2022, the aggregate net unrealized depreciation for all securities was $18.3 million. As of December 31, 2022, gross unrealized appreciation was $13.1 million and gross unrealized depreciation was $31.4 million. The aggregate cost of securities for U.S. federal income tax purposes was $221.9 million as of December 31, 2022. 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w:t>
      </w:r>
    </w:p>
    <w:p>
      <w:pPr>
        <w:spacing w:after="0" w:line="1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p>
    <w:p>
      <w:pPr>
        <w:spacing w:after="0" w:line="1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 acquired the non-controlling interest in Print Direction, Inc. on December 1, 2017 and converted the entity to CPTA Master Blocker, Inc. (Georgia), retaining its net operating losses in the transaction pursuant to Section 382 of the Code. As of December 31, 2022, the Taxable Subsidiaries had net operating losses for U.S. federal income tax purposes of approximately $14.2 million. If not utilized, $0.9 million and $6.1 million of these net operating losses will expire in the years ended December 31, 2036 and 2037, respectively, and $7.3 million of these net operating losses have no expiration.</w:t>
      </w:r>
    </w:p>
    <w:p>
      <w:pPr>
        <w:spacing w:after="0" w:line="11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4"/>
          <w:szCs w:val="14"/>
          <w:color w:val="auto"/>
        </w:rPr>
        <w:t>Deferred U.S. federal income taxes reflect the net tax effect of temporary differences between the carrying amount of assets and liabilities for financial reporting and U.S. federal income tax purposes. Components of deferred tax assets (liabilities) as of December 31, 2022 and 2021 are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6"/>
              </w:rPr>
              <w:t>As of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Net operating loss carryforwards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3,940</w:t>
            </w:r>
          </w:p>
        </w:tc>
        <w:tc>
          <w:tcPr>
            <w:tcW w:w="26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loss carryforwards</w:t>
            </w: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Other deferred tax assets</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valuation allowance</w:t>
            </w:r>
          </w:p>
        </w:tc>
        <w:tc>
          <w:tcPr>
            <w:tcW w:w="10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(3,951 )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(2,457 )</w:t>
            </w:r>
          </w:p>
        </w:tc>
      </w:tr>
      <w:tr>
        <w:trPr>
          <w:trHeight w:val="169"/>
        </w:trPr>
        <w:tc>
          <w:tcPr>
            <w:tcW w:w="774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deferred tax assets</w:t>
            </w:r>
          </w:p>
        </w:tc>
        <w:tc>
          <w:tcPr>
            <w:tcW w:w="10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26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top w:val="single" w:sz="8" w:color="CFF0FC"/>
            </w:tcBorders>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Deferred tax liabilities:</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Net unrealized depreciation on investments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5"/>
                <w:szCs w:val="15"/>
                <w:color w:val="auto"/>
              </w:rPr>
            </w:pPr>
          </w:p>
        </w:tc>
      </w:tr>
      <w:tr>
        <w:trPr>
          <w:trHeight w:val="20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deferred tax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448</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40" w:type="dxa"/>
            <w:vAlign w:val="bottom"/>
          </w:tcPr>
          <w:p>
            <w:pPr>
              <w:ind w:left="20"/>
              <w:spacing w:after="0" w:line="156" w:lineRule="exact"/>
              <w:rPr>
                <w:sz w:val="20"/>
                <w:szCs w:val="20"/>
                <w:color w:val="auto"/>
              </w:rPr>
            </w:pPr>
            <w:r>
              <w:rPr>
                <w:rFonts w:ascii="Arial" w:cs="Arial" w:eastAsia="Arial" w:hAnsi="Arial"/>
                <w:sz w:val="14"/>
                <w:szCs w:val="14"/>
                <w:color w:val="auto"/>
              </w:rPr>
              <w:t>Net deferred tax asset</w:t>
            </w:r>
          </w:p>
        </w:tc>
        <w:tc>
          <w:tcPr>
            <w:tcW w:w="1020" w:type="dxa"/>
            <w:vAlign w:val="bottom"/>
          </w:tcPr>
          <w:p>
            <w:pPr>
              <w:jc w:val="right"/>
              <w:ind w:right="86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line="156"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-1349375</wp:posOffset>
            </wp:positionV>
            <wp:extent cx="1259840"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5984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-650875</wp:posOffset>
            </wp:positionV>
            <wp:extent cx="68580" cy="146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46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1234440" cy="1625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34440" cy="162560"/>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At December 31, 2022 and 2021, the valuation allowance on deferred tax assets was $4.0 million and $2.5 million, respectively, which represents the tax effect of net operating losses that we do not believe we will realize through future taxable income. Any adjustments to the Company’s valuation allowance will depend on estimates of future taxable income and will be made in the period such determination is made.</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Total income tax expense (benefit) differs from the amount computed by applying the federal statutory income tax rate of 21% to net investment loss and net realized and unrealized appreciation (depreciation) on investments for the years ended December 31, 2022, 2021 and 2020, are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(benefit) expense at statutory rates</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1,544</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680" w:type="dxa"/>
            <w:vAlign w:val="bottom"/>
          </w:tcPr>
          <w:p>
            <w:pPr>
              <w:ind w:left="20"/>
              <w:spacing w:after="0"/>
              <w:rPr>
                <w:sz w:val="20"/>
                <w:szCs w:val="20"/>
                <w:color w:val="auto"/>
              </w:rPr>
            </w:pPr>
            <w:r>
              <w:rPr>
                <w:rFonts w:ascii="Arial" w:cs="Arial" w:eastAsia="Arial" w:hAnsi="Arial"/>
                <w:sz w:val="14"/>
                <w:szCs w:val="14"/>
                <w:color w:val="auto"/>
              </w:rPr>
              <w:t>State income tax (benefit) expense, net of federal benefit</w:t>
            </w:r>
          </w:p>
        </w:tc>
        <w:tc>
          <w:tcPr>
            <w:tcW w:w="86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(322 )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(124 )</w:t>
            </w:r>
          </w:p>
        </w:tc>
      </w:tr>
      <w:tr>
        <w:trPr>
          <w:trHeight w:val="17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 to unrealized depreciation</w:t>
            </w: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(1,366 )</w:t>
            </w:r>
          </w:p>
        </w:tc>
      </w:tr>
      <w:tr>
        <w:trPr>
          <w:trHeight w:val="175"/>
        </w:trPr>
        <w:tc>
          <w:tcPr>
            <w:tcW w:w="6680" w:type="dxa"/>
            <w:vAlign w:val="bottom"/>
          </w:tcPr>
          <w:p>
            <w:pPr>
              <w:ind w:left="200"/>
              <w:spacing w:after="0"/>
              <w:rPr>
                <w:sz w:val="20"/>
                <w:szCs w:val="20"/>
                <w:color w:val="auto"/>
              </w:rPr>
            </w:pPr>
            <w:r>
              <w:rPr>
                <w:rFonts w:ascii="Arial" w:cs="Arial" w:eastAsia="Arial" w:hAnsi="Arial"/>
                <w:sz w:val="14"/>
                <w:szCs w:val="14"/>
                <w:color w:val="auto"/>
              </w:rPr>
              <w:t>Other adjustments</w:t>
            </w:r>
          </w:p>
        </w:tc>
        <w:tc>
          <w:tcPr>
            <w:tcW w:w="86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(315 )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(21 )</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r>
      <w:tr>
        <w:trPr>
          <w:trHeight w:val="176"/>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Revaluation for state rate change</w:t>
            </w:r>
          </w:p>
        </w:tc>
        <w:tc>
          <w:tcPr>
            <w:tcW w:w="8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(134 )</w:t>
            </w: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FF0FC"/>
          </w:tcPr>
          <w:p>
            <w:pPr>
              <w:spacing w:after="0"/>
              <w:rPr>
                <w:sz w:val="15"/>
                <w:szCs w:val="15"/>
                <w:color w:val="auto"/>
              </w:rPr>
            </w:pPr>
          </w:p>
        </w:tc>
      </w:tr>
      <w:tr>
        <w:trPr>
          <w:trHeight w:val="176"/>
        </w:trPr>
        <w:tc>
          <w:tcPr>
            <w:tcW w:w="6680" w:type="dxa"/>
            <w:vAlign w:val="bottom"/>
          </w:tcPr>
          <w:p>
            <w:pPr>
              <w:ind w:left="200"/>
              <w:spacing w:after="0"/>
              <w:rPr>
                <w:sz w:val="20"/>
                <w:szCs w:val="20"/>
                <w:color w:val="auto"/>
              </w:rPr>
            </w:pPr>
            <w:r>
              <w:rPr>
                <w:rFonts w:ascii="Arial" w:cs="Arial" w:eastAsia="Arial" w:hAnsi="Arial"/>
                <w:sz w:val="14"/>
                <w:szCs w:val="14"/>
                <w:color w:val="auto"/>
              </w:rPr>
              <w:t>Change in valuation allowance</w:t>
            </w: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1,494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(2,164 )</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15"/>
                <w:szCs w:val="15"/>
                <w:color w:val="auto"/>
              </w:rPr>
            </w:pPr>
          </w:p>
        </w:tc>
      </w:tr>
      <w:tr>
        <w:trPr>
          <w:trHeight w:val="209"/>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tax provision (benefit), net</w:t>
            </w: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774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gridSpan w:val="5"/>
          </w:tcPr>
          <w:p>
            <w:pPr>
              <w:ind w:left="520"/>
              <w:spacing w:after="0"/>
              <w:rPr>
                <w:sz w:val="20"/>
                <w:szCs w:val="20"/>
                <w:color w:val="auto"/>
              </w:rPr>
            </w:pPr>
            <w:r>
              <w:rPr>
                <w:rFonts w:ascii="Arial" w:cs="Arial" w:eastAsia="Arial" w:hAnsi="Arial"/>
                <w:sz w:val="14"/>
                <w:szCs w:val="14"/>
                <w:color w:val="auto"/>
                <w:w w:val="95"/>
              </w:rPr>
              <w:t>For the years ended December 31, 2022, 2021 and 2020, the components of the Company’s tax provision (benefit) include the following:</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6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provision (benefit)</w:t>
            </w:r>
          </w:p>
        </w:tc>
        <w:tc>
          <w:tcPr>
            <w:tcW w:w="8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80" w:type="dxa"/>
            <w:vAlign w:val="bottom"/>
          </w:tcPr>
          <w:p>
            <w:pPr>
              <w:ind w:left="200"/>
              <w:spacing w:after="0"/>
              <w:rPr>
                <w:sz w:val="20"/>
                <w:szCs w:val="20"/>
                <w:color w:val="auto"/>
              </w:rPr>
            </w:pPr>
            <w:r>
              <w:rPr>
                <w:rFonts w:ascii="Arial" w:cs="Arial" w:eastAsia="Arial" w:hAnsi="Arial"/>
                <w:sz w:val="14"/>
                <w:szCs w:val="14"/>
                <w:color w:val="auto"/>
              </w:rPr>
              <w:t>Federal</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938</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(1,918 )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(1,297 )</w:t>
            </w:r>
          </w:p>
        </w:tc>
      </w:tr>
      <w:tr>
        <w:trPr>
          <w:trHeight w:val="176"/>
        </w:trPr>
        <w:tc>
          <w:tcPr>
            <w:tcW w:w="6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State</w:t>
            </w: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(246 )</w:t>
            </w:r>
          </w:p>
        </w:tc>
        <w:tc>
          <w:tcPr>
            <w:tcW w:w="3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(158 )</w:t>
            </w:r>
          </w:p>
        </w:tc>
      </w:tr>
      <w:tr>
        <w:trPr>
          <w:trHeight w:val="176"/>
        </w:trPr>
        <w:tc>
          <w:tcPr>
            <w:tcW w:w="6680" w:type="dxa"/>
            <w:vAlign w:val="bottom"/>
          </w:tcPr>
          <w:p>
            <w:pPr>
              <w:ind w:left="200"/>
              <w:spacing w:after="0"/>
              <w:rPr>
                <w:sz w:val="20"/>
                <w:szCs w:val="20"/>
                <w:color w:val="auto"/>
              </w:rPr>
            </w:pPr>
            <w:r>
              <w:rPr>
                <w:rFonts w:ascii="Arial" w:cs="Arial" w:eastAsia="Arial" w:hAnsi="Arial"/>
                <w:sz w:val="14"/>
                <w:szCs w:val="14"/>
                <w:color w:val="auto"/>
              </w:rPr>
              <w:t>Less valuation allowance</w:t>
            </w:r>
          </w:p>
        </w:tc>
        <w:tc>
          <w:tcPr>
            <w:tcW w:w="8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(1,494 )</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2,164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15"/>
                <w:szCs w:val="15"/>
                <w:color w:val="auto"/>
              </w:rPr>
            </w:pPr>
          </w:p>
        </w:tc>
      </w:tr>
      <w:tr>
        <w:trPr>
          <w:trHeight w:val="209"/>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tax provision (benefit), net</w:t>
            </w: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Directors’ Fees</w:t>
      </w:r>
    </w:p>
    <w:p>
      <w:pPr>
        <w:spacing w:after="0" w:line="14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2022, 2021 and 2020, the Company recognized directors’ fees expense of $0.5 million, $0.4 million, and $0.3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Stockholders’ Equity</w:t>
      </w:r>
    </w:p>
    <w:p>
      <w:pPr>
        <w:spacing w:after="0" w:line="140"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3"/>
          <w:szCs w:val="13"/>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8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On August 21, 2020, the Company effectuated a one-for-six reverse stock split of shares of the Company’s common stock. Please see Note 1 for a full description. As of December 31, 2022, the Company had 2,711,068 shares of common stock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Earnings Per Share</w:t>
      </w:r>
    </w:p>
    <w:p>
      <w:pPr>
        <w:spacing w:after="0" w:line="14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3"/>
          <w:szCs w:val="13"/>
          <w:color w:val="auto"/>
        </w:rPr>
        <w:t>In accordance with the provisions of ASC Topic 260 —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(“ASC 260”), basic earnings per share is computed by dividing earnings available to stockholders by the weighted average number of shares of the Company’s common stock outstanding during the period. Other potentially dilutive shares of the Company’s common stock, and the related impact to earnings, are considered when calculating diluted earnings per share. For the years ended December 31, 2022, 2021 and 2020, 0.6 million in convertible shares related to the 2022 Convertible Notes were considered anti-dilutive. For the year ended December 31, 2022, 0.5 million in convertible shares related to the 2032 Convertible Notes were considered anti-dilutive.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information sets forth the computation of the weighted average basic and diluted net decrease in net assets per share resulting from operations for the years ended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2021 and 2020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line="169"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3"/>
        </w:trPr>
        <w:tc>
          <w:tcPr>
            <w:tcW w:w="6880" w:type="dxa"/>
            <w:vAlign w:val="bottom"/>
            <w:shd w:val="clear" w:color="auto" w:fill="CFF0FC"/>
          </w:tcPr>
          <w:p>
            <w:pPr>
              <w:ind w:left="20"/>
              <w:spacing w:after="0" w:line="183" w:lineRule="exact"/>
              <w:rPr>
                <w:sz w:val="20"/>
                <w:szCs w:val="20"/>
                <w:color w:val="auto"/>
              </w:rPr>
            </w:pPr>
            <w:r>
              <w:rPr>
                <w:rFonts w:ascii="Arial" w:cs="Arial" w:eastAsia="Arial" w:hAnsi="Arial"/>
                <w:sz w:val="14"/>
                <w:szCs w:val="14"/>
                <w:color w:val="auto"/>
              </w:rPr>
              <w:t xml:space="preserve">Net decrease in net assets resulting from operations - basic and diluted </w:t>
            </w:r>
            <w:r>
              <w:rPr>
                <w:rFonts w:ascii="Arial" w:cs="Arial" w:eastAsia="Arial" w:hAnsi="Arial"/>
                <w:sz w:val="19"/>
                <w:szCs w:val="19"/>
                <w:color w:val="auto"/>
                <w:vertAlign w:val="superscript"/>
              </w:rPr>
              <w:t>(1)</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(12,024 )</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(1,918 )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(35,447 )</w:t>
            </w:r>
          </w:p>
        </w:tc>
      </w:tr>
      <w:tr>
        <w:trPr>
          <w:trHeight w:val="175"/>
        </w:trPr>
        <w:tc>
          <w:tcPr>
            <w:tcW w:w="68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Weighted average common stock outstanding – basic and diluted </w:t>
            </w:r>
            <w:r>
              <w:rPr>
                <w:rFonts w:ascii="Arial" w:cs="Arial" w:eastAsia="Arial" w:hAnsi="Arial"/>
                <w:sz w:val="19"/>
                <w:szCs w:val="19"/>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2,709,169</w:t>
            </w:r>
          </w:p>
        </w:tc>
        <w:tc>
          <w:tcPr>
            <w:tcW w:w="100" w:type="dxa"/>
            <w:vAlign w:val="bottom"/>
          </w:tcPr>
          <w:p>
            <w:pPr>
              <w:spacing w:after="0"/>
              <w:rPr>
                <w:sz w:val="15"/>
                <w:szCs w:val="15"/>
                <w:color w:val="auto"/>
              </w:rPr>
            </w:pPr>
          </w:p>
        </w:tc>
      </w:tr>
      <w:tr>
        <w:trPr>
          <w:trHeight w:val="169"/>
        </w:trPr>
        <w:tc>
          <w:tcPr>
            <w:tcW w:w="68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4"/>
                <w:szCs w:val="14"/>
                <w:color w:val="auto"/>
              </w:rPr>
              <w:t xml:space="preserve">Net decrease in net assets per share from operations - basic and diluted </w:t>
            </w:r>
            <w:r>
              <w:rPr>
                <w:rFonts w:ascii="Arial" w:cs="Arial" w:eastAsia="Arial" w:hAnsi="Arial"/>
                <w:sz w:val="19"/>
                <w:szCs w:val="19"/>
                <w:color w:val="auto"/>
                <w:vertAlign w:val="superscript"/>
              </w:rPr>
              <w:t>(1)</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25158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135" w:lineRule="exact"/>
        <w:rPr>
          <w:sz w:val="20"/>
          <w:szCs w:val="20"/>
          <w:color w:val="auto"/>
        </w:rPr>
      </w:pPr>
    </w:p>
    <w:p>
      <w:pPr>
        <w:ind w:left="1020" w:hanging="499"/>
        <w:spacing w:after="0"/>
        <w:tabs>
          <w:tab w:leader="none" w:pos="1020" w:val="left"/>
        </w:tabs>
        <w:numPr>
          <w:ilvl w:val="0"/>
          <w:numId w:val="79"/>
        </w:numPr>
        <w:rPr>
          <w:rFonts w:ascii="Arial" w:cs="Arial" w:eastAsia="Arial" w:hAnsi="Arial"/>
          <w:sz w:val="13"/>
          <w:szCs w:val="13"/>
          <w:b w:val="1"/>
          <w:bCs w:val="1"/>
          <w:color w:val="auto"/>
          <w:vertAlign w:val="superscript"/>
        </w:rPr>
      </w:pPr>
      <w:r>
        <w:rPr>
          <w:rFonts w:ascii="Arial" w:cs="Arial" w:eastAsia="Arial" w:hAnsi="Arial"/>
          <w:sz w:val="10"/>
          <w:szCs w:val="10"/>
          <w:color w:val="auto"/>
        </w:rPr>
        <w:t>Basic and diluted shares of the Company’s common stock have been adjusted for the periods shown to reflect the one-for-six reverse stock split effected on August 21, 2020 on a retroactive basis, as described in Note 1.</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Distributions</w:t>
      </w:r>
    </w:p>
    <w:p>
      <w:pPr>
        <w:spacing w:after="0" w:line="12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The Company’s Board determined not to declare any distributions during the years ended December 31, 2022 and December 31, 2021. For the year ended December 31, 2020, total distributions of $4.1 million were comprised of approximately $0.7 million from ordinary income and $3.4 million from return of capital.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center"/>
        <w:ind w:right="80"/>
        <w:spacing w:after="0"/>
        <w:rPr>
          <w:sz w:val="20"/>
          <w:szCs w:val="20"/>
          <w:color w:val="auto"/>
        </w:rPr>
      </w:pPr>
      <w:r>
        <w:rPr>
          <w:rFonts w:ascii="Arial" w:cs="Arial" w:eastAsia="Arial" w:hAnsi="Arial"/>
          <w:sz w:val="14"/>
          <w:szCs w:val="14"/>
          <w:b w:val="1"/>
          <w:bCs w:val="1"/>
          <w:color w:val="auto"/>
        </w:rPr>
        <w:t>LOGAN RIDGE FINANCE CORPORATION</w:t>
      </w:r>
    </w:p>
    <w:p>
      <w:pPr>
        <w:jc w:val="center"/>
        <w:ind w:right="80"/>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80"/>
        <w:spacing w:after="0"/>
        <w:rPr>
          <w:sz w:val="20"/>
          <w:szCs w:val="20"/>
          <w:color w:val="auto"/>
        </w:rPr>
      </w:pPr>
      <w:r>
        <w:rPr>
          <w:rFonts w:ascii="Arial" w:cs="Arial" w:eastAsia="Arial" w:hAnsi="Arial"/>
          <w:sz w:val="14"/>
          <w:szCs w:val="14"/>
          <w:b w:val="1"/>
          <w:bCs w:val="1"/>
          <w:color w:val="auto"/>
        </w:rPr>
        <w:t>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Financial Highlights</w:t>
      </w:r>
    </w:p>
    <w:p>
      <w:pPr>
        <w:spacing w:after="0" w:line="1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4"/>
          <w:szCs w:val="14"/>
          <w:color w:val="auto"/>
        </w:rPr>
        <w:t>The following is a schedule of financial highlights for the years ended December 31, 2022, 2021, 2020, 2019 and 2018 (dollars in thousands, except share and per share data, unless otherwise noted):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64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4640" w:type="dxa"/>
            <w:vAlign w:val="bottom"/>
          </w:tcPr>
          <w:p>
            <w:pPr>
              <w:ind w:left="20"/>
              <w:spacing w:after="0"/>
              <w:rPr>
                <w:sz w:val="20"/>
                <w:szCs w:val="20"/>
                <w:color w:val="auto"/>
              </w:rPr>
            </w:pPr>
            <w:r>
              <w:rPr>
                <w:rFonts w:ascii="Arial" w:cs="Arial" w:eastAsia="Arial" w:hAnsi="Arial"/>
                <w:sz w:val="14"/>
                <w:szCs w:val="14"/>
                <w:color w:val="auto"/>
              </w:rPr>
              <w:t>Net asset value at beginning of year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39.48</w:t>
            </w:r>
          </w:p>
        </w:tc>
        <w:tc>
          <w:tcPr>
            <w:tcW w:w="24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40.19</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54.84</w:t>
            </w:r>
          </w:p>
        </w:tc>
        <w:tc>
          <w:tcPr>
            <w:tcW w:w="2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71.26</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Net investment (loss) income</w:t>
            </w:r>
            <w:r>
              <w:rPr>
                <w:rFonts w:ascii="Arial" w:cs="Arial" w:eastAsia="Arial" w:hAnsi="Arial"/>
                <w:sz w:val="19"/>
                <w:szCs w:val="19"/>
                <w:color w:val="auto"/>
                <w:vertAlign w:val="superscript"/>
              </w:rPr>
              <w:t>(2)</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(0.43 )</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(1.32 )</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rPr>
              <w:t>Net realized gain (loss) on investments</w:t>
            </w:r>
            <w:r>
              <w:rPr>
                <w:rFonts w:ascii="Arial" w:cs="Arial" w:eastAsia="Arial" w:hAnsi="Arial"/>
                <w:sz w:val="19"/>
                <w:szCs w:val="19"/>
                <w:color w:val="auto"/>
                <w:vertAlign w:val="superscript"/>
              </w:rPr>
              <w:t>(2)</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(2.94 )</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(8.88 )</w:t>
            </w:r>
          </w:p>
        </w:tc>
        <w:tc>
          <w:tcPr>
            <w:tcW w:w="3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(7.35 )</w:t>
            </w:r>
          </w:p>
        </w:tc>
        <w:tc>
          <w:tcPr>
            <w:tcW w:w="26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(13.06 )</w:t>
            </w:r>
          </w:p>
        </w:tc>
        <w:tc>
          <w:tcPr>
            <w:tcW w:w="80" w:type="dxa"/>
            <w:vAlign w:val="bottom"/>
          </w:tcPr>
          <w:p>
            <w:pPr>
              <w:spacing w:after="0"/>
              <w:rPr>
                <w:sz w:val="15"/>
                <w:szCs w:val="15"/>
                <w:color w:val="auto"/>
              </w:rPr>
            </w:pPr>
          </w:p>
        </w:tc>
      </w:tr>
      <w:tr>
        <w:trPr>
          <w:trHeight w:val="175"/>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Net change in unrealized (depreciation) appreciation on investments</w:t>
            </w:r>
            <w:r>
              <w:rPr>
                <w:rFonts w:ascii="Arial" w:cs="Arial" w:eastAsia="Arial" w:hAnsi="Arial"/>
                <w:sz w:val="19"/>
                <w:szCs w:val="19"/>
                <w:color w:val="auto"/>
                <w:vertAlign w:val="superscript"/>
              </w:rPr>
              <w:t>(2)</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(9.09 )</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(4.29 )</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(7.56 )</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(2.23 )</w:t>
            </w:r>
          </w:p>
        </w:tc>
        <w:tc>
          <w:tcPr>
            <w:tcW w:w="80" w:type="dxa"/>
            <w:vAlign w:val="bottom"/>
          </w:tcPr>
          <w:p>
            <w:pPr>
              <w:spacing w:after="0"/>
              <w:rPr>
                <w:sz w:val="15"/>
                <w:szCs w:val="15"/>
                <w:color w:val="auto"/>
              </w:rPr>
            </w:pPr>
          </w:p>
        </w:tc>
      </w:tr>
      <w:tr>
        <w:trPr>
          <w:trHeight w:val="176"/>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w w:val="97"/>
              </w:rPr>
              <w:t>Net change in unrealized (depreciation) appreciation on written call option</w:t>
            </w:r>
            <w:r>
              <w:rPr>
                <w:rFonts w:ascii="Arial" w:cs="Arial" w:eastAsia="Arial" w:hAnsi="Arial"/>
                <w:sz w:val="19"/>
                <w:szCs w:val="19"/>
                <w:color w:val="auto"/>
                <w:w w:val="97"/>
                <w:vertAlign w:val="superscript"/>
              </w:rPr>
              <w:t>(2)</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Tax (provision) benefit</w:t>
            </w:r>
            <w:r>
              <w:rPr>
                <w:rFonts w:ascii="Arial" w:cs="Arial" w:eastAsia="Arial" w:hAnsi="Arial"/>
                <w:sz w:val="19"/>
                <w:szCs w:val="19"/>
                <w:color w:val="auto"/>
                <w:vertAlign w:val="superscript"/>
              </w:rPr>
              <w:t>(2)</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(0.23 )</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0.72</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rPr>
              <w:t>Net realized (loss) gain on extinguishment of debt</w:t>
            </w:r>
            <w:r>
              <w:rPr>
                <w:rFonts w:ascii="Arial" w:cs="Arial" w:eastAsia="Arial" w:hAnsi="Arial"/>
                <w:sz w:val="19"/>
                <w:szCs w:val="19"/>
                <w:color w:val="auto"/>
                <w:vertAlign w:val="superscript"/>
              </w:rPr>
              <w:t>(2)</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(0.38 )</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Distributions – return of capital</w:t>
            </w:r>
            <w:r>
              <w:rPr>
                <w:rFonts w:ascii="Arial" w:cs="Arial" w:eastAsia="Arial" w:hAnsi="Arial"/>
                <w:sz w:val="19"/>
                <w:szCs w:val="19"/>
                <w:color w:val="auto"/>
                <w:vertAlign w:val="superscript"/>
              </w:rPr>
              <w:t>(3)</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(1.26 )</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(0.99 )</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rPr>
              <w:t>Distributions – net investment income</w:t>
            </w:r>
            <w:r>
              <w:rPr>
                <w:rFonts w:ascii="Arial" w:cs="Arial" w:eastAsia="Arial" w:hAnsi="Arial"/>
                <w:sz w:val="19"/>
                <w:szCs w:val="19"/>
                <w:color w:val="auto"/>
                <w:vertAlign w:val="superscript"/>
              </w:rPr>
              <w:t>(3)</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(0.24 )</w:t>
            </w:r>
          </w:p>
        </w:tc>
        <w:tc>
          <w:tcPr>
            <w:tcW w:w="3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(5.01 )</w:t>
            </w:r>
          </w:p>
        </w:tc>
        <w:tc>
          <w:tcPr>
            <w:tcW w:w="26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(6.00 )</w:t>
            </w: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(4)</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(0.06 )</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(0.14 )</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(0.19 )</w:t>
            </w:r>
          </w:p>
        </w:tc>
        <w:tc>
          <w:tcPr>
            <w:tcW w:w="80" w:type="dxa"/>
            <w:vAlign w:val="bottom"/>
          </w:tcPr>
          <w:p>
            <w:pPr>
              <w:spacing w:after="0"/>
              <w:rPr>
                <w:sz w:val="15"/>
                <w:szCs w:val="15"/>
                <w:color w:val="auto"/>
              </w:rPr>
            </w:pPr>
          </w:p>
        </w:tc>
      </w:tr>
      <w:tr>
        <w:trPr>
          <w:trHeight w:val="169"/>
        </w:trPr>
        <w:tc>
          <w:tcPr>
            <w:tcW w:w="464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Net asset value at end of year</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35.04</w:t>
            </w:r>
          </w:p>
        </w:tc>
        <w:tc>
          <w:tcPr>
            <w:tcW w:w="24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39.48</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22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54.84</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71.26</w:t>
            </w:r>
          </w:p>
        </w:tc>
        <w:tc>
          <w:tcPr>
            <w:tcW w:w="100" w:type="dxa"/>
            <w:vAlign w:val="bottom"/>
            <w:tcBorders>
              <w:top w:val="single" w:sz="8" w:color="CFF0FC"/>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assets at end of period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95,005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148,113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190,644</w:t>
            </w: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4640" w:type="dxa"/>
            <w:vAlign w:val="bottom"/>
          </w:tcPr>
          <w:p>
            <w:pPr>
              <w:ind w:left="20"/>
              <w:spacing w:after="0"/>
              <w:rPr>
                <w:sz w:val="20"/>
                <w:szCs w:val="20"/>
                <w:color w:val="auto"/>
              </w:rPr>
            </w:pPr>
            <w:r>
              <w:rPr>
                <w:rFonts w:ascii="Arial" w:cs="Arial" w:eastAsia="Arial" w:hAnsi="Arial"/>
                <w:sz w:val="14"/>
                <w:szCs w:val="14"/>
                <w:color w:val="auto"/>
              </w:rPr>
              <w:t>Shares outstanding at end of period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2,700,628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2,675,258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Per share market value at end of period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14.41</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rPr>
              <w:t>Total return based on market value</w:t>
            </w:r>
            <w:r>
              <w:rPr>
                <w:rFonts w:ascii="Arial" w:cs="Arial" w:eastAsia="Arial" w:hAnsi="Arial"/>
                <w:sz w:val="19"/>
                <w:szCs w:val="19"/>
                <w:color w:val="auto"/>
                <w:vertAlign w:val="superscript"/>
              </w:rPr>
              <w:t>(4)</w:t>
            </w:r>
          </w:p>
        </w:tc>
        <w:tc>
          <w:tcPr>
            <w:tcW w:w="26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(2.74 )%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59.54 %</w:t>
            </w:r>
          </w:p>
        </w:tc>
        <w:tc>
          <w:tcPr>
            <w:tcW w:w="26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(71.10 )%</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37.75 %</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12.14 %</w:t>
            </w: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Ratio/Supplemental data:</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640" w:type="dxa"/>
            <w:vAlign w:val="bottom"/>
          </w:tcPr>
          <w:p>
            <w:pPr>
              <w:ind w:left="20"/>
              <w:spacing w:after="0"/>
              <w:rPr>
                <w:sz w:val="20"/>
                <w:szCs w:val="20"/>
                <w:color w:val="auto"/>
              </w:rPr>
            </w:pPr>
            <w:r>
              <w:rPr>
                <w:rFonts w:ascii="Arial" w:cs="Arial" w:eastAsia="Arial" w:hAnsi="Arial"/>
                <w:sz w:val="14"/>
                <w:szCs w:val="14"/>
                <w:color w:val="auto"/>
              </w:rPr>
              <w:t>Ratio of net investment (loss) income to average net assets</w:t>
            </w:r>
          </w:p>
        </w:tc>
        <w:tc>
          <w:tcPr>
            <w:tcW w:w="26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(1.15 )%</w:t>
            </w:r>
          </w:p>
        </w:tc>
        <w:tc>
          <w:tcPr>
            <w:tcW w:w="2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(3.20 )%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0.05 %</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7.85 %</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7.60 %</w:t>
            </w: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Ratio of incentive fee, net of incentive fee waiver, to average net assets</w:t>
            </w:r>
            <w:r>
              <w:rPr>
                <w:rFonts w:ascii="Arial" w:cs="Arial" w:eastAsia="Arial" w:hAnsi="Arial"/>
                <w:sz w:val="19"/>
                <w:szCs w:val="19"/>
                <w:color w:val="auto"/>
                <w:vertAlign w:val="superscript"/>
              </w:rPr>
              <w:t>(5)</w:t>
            </w: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0.73 %</w:t>
            </w: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0.12 %</w:t>
            </w:r>
          </w:p>
        </w:tc>
        <w:tc>
          <w:tcPr>
            <w:tcW w:w="80" w:type="dxa"/>
            <w:vAlign w:val="bottom"/>
          </w:tcPr>
          <w:p>
            <w:pPr>
              <w:spacing w:after="0"/>
              <w:rPr>
                <w:sz w:val="15"/>
                <w:szCs w:val="15"/>
                <w:color w:val="auto"/>
              </w:rPr>
            </w:pPr>
          </w:p>
        </w:tc>
      </w:tr>
      <w:tr>
        <w:trPr>
          <w:trHeight w:val="175"/>
        </w:trPr>
        <w:tc>
          <w:tcPr>
            <w:tcW w:w="4640" w:type="dxa"/>
            <w:vAlign w:val="bottom"/>
          </w:tcPr>
          <w:p>
            <w:pPr>
              <w:ind w:left="20"/>
              <w:spacing w:after="0"/>
              <w:rPr>
                <w:sz w:val="20"/>
                <w:szCs w:val="20"/>
                <w:color w:val="auto"/>
              </w:rPr>
            </w:pPr>
            <w:r>
              <w:rPr>
                <w:rFonts w:ascii="Arial" w:cs="Arial" w:eastAsia="Arial" w:hAnsi="Arial"/>
                <w:sz w:val="14"/>
                <w:szCs w:val="14"/>
                <w:color w:val="auto"/>
              </w:rPr>
              <w:t>Ratio of interest and financing expenses to average net assets</w:t>
            </w:r>
          </w:p>
        </w:tc>
        <w:tc>
          <w:tcPr>
            <w:tcW w:w="2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7.70 %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9.42 %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13.23 %</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10.30 %</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8.20 %</w:t>
            </w:r>
          </w:p>
        </w:tc>
        <w:tc>
          <w:tcPr>
            <w:tcW w:w="80" w:type="dxa"/>
            <w:vAlign w:val="bottom"/>
          </w:tcPr>
          <w:p>
            <w:pPr>
              <w:spacing w:after="0"/>
              <w:rPr>
                <w:sz w:val="15"/>
                <w:szCs w:val="15"/>
                <w:color w:val="auto"/>
              </w:rPr>
            </w:pPr>
          </w:p>
        </w:tc>
      </w:tr>
      <w:tr>
        <w:trPr>
          <w:trHeight w:val="176"/>
        </w:trPr>
        <w:tc>
          <w:tcPr>
            <w:tcW w:w="4640" w:type="dxa"/>
            <w:vAlign w:val="bottom"/>
          </w:tcPr>
          <w:p>
            <w:pPr>
              <w:ind w:left="20"/>
              <w:spacing w:after="0"/>
              <w:rPr>
                <w:sz w:val="20"/>
                <w:szCs w:val="20"/>
                <w:color w:val="auto"/>
              </w:rPr>
            </w:pPr>
            <w:r>
              <w:rPr>
                <w:rFonts w:ascii="Arial" w:cs="Arial" w:eastAsia="Arial" w:hAnsi="Arial"/>
                <w:sz w:val="14"/>
                <w:szCs w:val="14"/>
                <w:color w:val="auto"/>
              </w:rPr>
              <w:t>Ratio of tax provision (benefit) to average net assets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0.38 %</w:t>
            </w:r>
          </w:p>
        </w:tc>
        <w:tc>
          <w:tcPr>
            <w:tcW w:w="2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(0.91 )%</w:t>
            </w:r>
          </w:p>
        </w:tc>
      </w:tr>
      <w:tr>
        <w:trPr>
          <w:trHeight w:val="176"/>
        </w:trPr>
        <w:tc>
          <w:tcPr>
            <w:tcW w:w="4640" w:type="dxa"/>
            <w:vAlign w:val="bottom"/>
          </w:tcPr>
          <w:p>
            <w:pPr>
              <w:ind w:left="20"/>
              <w:spacing w:after="0"/>
              <w:rPr>
                <w:sz w:val="20"/>
                <w:szCs w:val="20"/>
                <w:color w:val="auto"/>
              </w:rPr>
            </w:pPr>
            <w:r>
              <w:rPr>
                <w:rFonts w:ascii="Arial" w:cs="Arial" w:eastAsia="Arial" w:hAnsi="Arial"/>
                <w:sz w:val="14"/>
                <w:szCs w:val="14"/>
                <w:color w:val="auto"/>
              </w:rPr>
              <w:t>Ratio of other operating expenses to average net assets</w:t>
            </w:r>
          </w:p>
        </w:tc>
        <w:tc>
          <w:tcPr>
            <w:tcW w:w="2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8.14 %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8.71 %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9.82 %</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7.62 %</w:t>
            </w:r>
          </w:p>
        </w:tc>
        <w:tc>
          <w:tcPr>
            <w:tcW w:w="26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6.52 %</w:t>
            </w:r>
          </w:p>
        </w:tc>
      </w:tr>
      <w:tr>
        <w:trPr>
          <w:trHeight w:val="135"/>
        </w:trPr>
        <w:tc>
          <w:tcPr>
            <w:tcW w:w="4640" w:type="dxa"/>
            <w:vAlign w:val="bottom"/>
            <w:shd w:val="clear" w:color="auto" w:fill="CFF0FC"/>
          </w:tcPr>
          <w:p>
            <w:pPr>
              <w:ind w:left="20"/>
              <w:spacing w:after="0" w:line="135" w:lineRule="exact"/>
              <w:rPr>
                <w:sz w:val="20"/>
                <w:szCs w:val="20"/>
                <w:color w:val="auto"/>
              </w:rPr>
            </w:pPr>
            <w:r>
              <w:rPr>
                <w:rFonts w:ascii="Arial" w:cs="Arial" w:eastAsia="Arial" w:hAnsi="Arial"/>
                <w:sz w:val="14"/>
                <w:szCs w:val="14"/>
                <w:color w:val="auto"/>
                <w:w w:val="96"/>
              </w:rPr>
              <w:t>Ratio of total expenses including tax provision, net of fee waivers, to average</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r>
      <w:tr>
        <w:trPr>
          <w:trHeight w:val="189"/>
        </w:trPr>
        <w:tc>
          <w:tcPr>
            <w:tcW w:w="464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net assets</w:t>
            </w:r>
            <w:r>
              <w:rPr>
                <w:rFonts w:ascii="Arial" w:cs="Arial" w:eastAsia="Arial" w:hAnsi="Arial"/>
                <w:sz w:val="19"/>
                <w:szCs w:val="19"/>
                <w:color w:val="auto"/>
                <w:vertAlign w:val="superscript"/>
              </w:rPr>
              <w:t>(5)</w:t>
            </w: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15.84 %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18.12 %</w:t>
            </w: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23.05 %</w:t>
            </w:r>
          </w:p>
        </w:tc>
        <w:tc>
          <w:tcPr>
            <w:tcW w:w="3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19.03 %</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13.93 %</w:t>
            </w:r>
          </w:p>
        </w:tc>
        <w:tc>
          <w:tcPr>
            <w:tcW w:w="80" w:type="dxa"/>
            <w:vAlign w:val="bottom"/>
          </w:tcPr>
          <w:p>
            <w:pPr>
              <w:spacing w:after="0"/>
              <w:rPr>
                <w:sz w:val="16"/>
                <w:szCs w:val="16"/>
                <w:color w:val="auto"/>
              </w:rPr>
            </w:pPr>
          </w:p>
        </w:tc>
      </w:tr>
      <w:tr>
        <w:trPr>
          <w:trHeight w:val="176"/>
        </w:trPr>
        <w:tc>
          <w:tcPr>
            <w:tcW w:w="4640" w:type="dxa"/>
            <w:vAlign w:val="bottom"/>
          </w:tcPr>
          <w:p>
            <w:pPr>
              <w:ind w:left="20"/>
              <w:spacing w:after="0" w:line="175" w:lineRule="exact"/>
              <w:rPr>
                <w:sz w:val="20"/>
                <w:szCs w:val="20"/>
                <w:color w:val="auto"/>
              </w:rPr>
            </w:pPr>
            <w:r>
              <w:rPr>
                <w:rFonts w:ascii="Arial" w:cs="Arial" w:eastAsia="Arial" w:hAnsi="Arial"/>
                <w:sz w:val="14"/>
                <w:szCs w:val="14"/>
                <w:color w:val="auto"/>
              </w:rPr>
              <w:t>Portfolio turnover rate</w:t>
            </w:r>
            <w:r>
              <w:rPr>
                <w:rFonts w:ascii="Arial" w:cs="Arial" w:eastAsia="Arial" w:hAnsi="Arial"/>
                <w:sz w:val="19"/>
                <w:szCs w:val="19"/>
                <w:color w:val="auto"/>
                <w:vertAlign w:val="superscript"/>
              </w:rPr>
              <w:t>(6)</w:t>
            </w:r>
          </w:p>
        </w:tc>
        <w:tc>
          <w:tcPr>
            <w:tcW w:w="2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48.09 %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38.73 %</w:t>
            </w: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6.90 %</w:t>
            </w:r>
          </w:p>
        </w:tc>
        <w:tc>
          <w:tcPr>
            <w:tcW w:w="3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19.18 %</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22.69 %</w:t>
            </w:r>
          </w:p>
        </w:tc>
        <w:tc>
          <w:tcPr>
            <w:tcW w:w="80" w:type="dxa"/>
            <w:vAlign w:val="bottom"/>
          </w:tcPr>
          <w:p>
            <w:pPr>
              <w:spacing w:after="0"/>
              <w:rPr>
                <w:sz w:val="15"/>
                <w:szCs w:val="15"/>
                <w:color w:val="auto"/>
              </w:rPr>
            </w:pPr>
          </w:p>
        </w:tc>
      </w:tr>
      <w:tr>
        <w:trPr>
          <w:trHeight w:val="176"/>
        </w:trPr>
        <w:tc>
          <w:tcPr>
            <w:tcW w:w="46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Average debt outstanding</w:t>
            </w:r>
            <w:r>
              <w:rPr>
                <w:rFonts w:ascii="Arial" w:cs="Arial" w:eastAsia="Arial" w:hAnsi="Arial"/>
                <w:sz w:val="19"/>
                <w:szCs w:val="19"/>
                <w:color w:val="auto"/>
                <w:vertAlign w:val="superscript"/>
              </w:rPr>
              <w:t>(7)</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119,677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167,102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256,673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290,073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302,420</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640" w:type="dxa"/>
            <w:vAlign w:val="bottom"/>
          </w:tcPr>
          <w:p>
            <w:pPr>
              <w:ind w:left="20"/>
              <w:spacing w:after="0"/>
              <w:rPr>
                <w:sz w:val="20"/>
                <w:szCs w:val="20"/>
                <w:color w:val="auto"/>
              </w:rPr>
            </w:pPr>
            <w:r>
              <w:rPr>
                <w:rFonts w:ascii="Arial" w:cs="Arial" w:eastAsia="Arial" w:hAnsi="Arial"/>
                <w:sz w:val="14"/>
                <w:szCs w:val="14"/>
                <w:color w:val="auto"/>
              </w:rPr>
              <w:t>Average debt outstanding per common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44.14</w:t>
            </w:r>
          </w:p>
        </w:tc>
        <w:tc>
          <w:tcPr>
            <w:tcW w:w="24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61.64</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94.68</w:t>
            </w:r>
          </w:p>
        </w:tc>
        <w:tc>
          <w:tcPr>
            <w:tcW w:w="2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107.41</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-1786890</wp:posOffset>
            </wp:positionV>
            <wp:extent cx="77470" cy="1289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-1786890</wp:posOffset>
            </wp:positionV>
            <wp:extent cx="68580" cy="1289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-1786890</wp:posOffset>
            </wp:positionV>
            <wp:extent cx="68580" cy="1289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-1786890</wp:posOffset>
            </wp:positionV>
            <wp:extent cx="68580" cy="1289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-1786890</wp:posOffset>
            </wp:positionV>
            <wp:extent cx="68580" cy="1289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1117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95123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7"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6"/>
          <w:szCs w:val="16"/>
          <w:b w:val="1"/>
          <w:bCs w:val="1"/>
          <w:color w:val="auto"/>
          <w:vertAlign w:val="superscript"/>
        </w:rPr>
      </w:pPr>
      <w:r>
        <w:rPr>
          <w:rFonts w:ascii="Arial" w:cs="Arial" w:eastAsia="Arial" w:hAnsi="Arial"/>
          <w:sz w:val="12"/>
          <w:szCs w:val="12"/>
          <w:color w:val="auto"/>
        </w:rPr>
        <w:t>Shares and per share data have been adjusted for the periods shown to reflect the one-for-six reverse stock split effected on August 21, 2020 on a retroactive basis, as described in Note 1.</w:t>
      </w:r>
    </w:p>
    <w:p>
      <w:pPr>
        <w:ind w:left="520" w:hanging="512"/>
        <w:spacing w:after="0" w:line="187" w:lineRule="auto"/>
        <w:tabs>
          <w:tab w:leader="none" w:pos="520" w:val="left"/>
        </w:tabs>
        <w:numPr>
          <w:ilvl w:val="0"/>
          <w:numId w:val="80"/>
        </w:numPr>
        <w:rPr>
          <w:rFonts w:ascii="Arial" w:cs="Arial" w:eastAsia="Arial" w:hAnsi="Arial"/>
          <w:sz w:val="15"/>
          <w:szCs w:val="15"/>
          <w:b w:val="1"/>
          <w:bCs w:val="1"/>
          <w:color w:val="auto"/>
          <w:vertAlign w:val="superscript"/>
        </w:rPr>
      </w:pPr>
      <w:r>
        <w:rPr>
          <w:rFonts w:ascii="Arial" w:cs="Arial" w:eastAsia="Arial" w:hAnsi="Arial"/>
          <w:sz w:val="11"/>
          <w:szCs w:val="11"/>
          <w:color w:val="auto"/>
        </w:rPr>
        <w:t>Based on daily weighted average balance of shares of the Company’s common stock outstanding during the period.</w:t>
      </w:r>
    </w:p>
    <w:p>
      <w:pPr>
        <w:ind w:left="520" w:right="100" w:hanging="512"/>
        <w:spacing w:after="0" w:line="201" w:lineRule="auto"/>
        <w:tabs>
          <w:tab w:leader="none" w:pos="520" w:val="left"/>
        </w:tabs>
        <w:numPr>
          <w:ilvl w:val="0"/>
          <w:numId w:val="80"/>
        </w:numPr>
        <w:rPr>
          <w:rFonts w:ascii="Arial" w:cs="Arial" w:eastAsia="Arial" w:hAnsi="Arial"/>
          <w:sz w:val="16"/>
          <w:szCs w:val="16"/>
          <w:b w:val="1"/>
          <w:bCs w:val="1"/>
          <w:color w:val="auto"/>
          <w:vertAlign w:val="superscript"/>
        </w:rPr>
      </w:pPr>
      <w:r>
        <w:rPr>
          <w:rFonts w:ascii="Arial" w:cs="Arial" w:eastAsia="Arial" w:hAnsi="Arial"/>
          <w:sz w:val="12"/>
          <w:szCs w:val="12"/>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p>
    <w:p>
      <w:pPr>
        <w:ind w:left="520" w:right="80" w:hanging="512"/>
        <w:spacing w:after="0" w:line="216" w:lineRule="auto"/>
        <w:tabs>
          <w:tab w:leader="none" w:pos="520" w:val="left"/>
        </w:tabs>
        <w:numPr>
          <w:ilvl w:val="0"/>
          <w:numId w:val="80"/>
        </w:numPr>
        <w:rPr>
          <w:rFonts w:ascii="Arial" w:cs="Arial" w:eastAsia="Arial" w:hAnsi="Arial"/>
          <w:sz w:val="15"/>
          <w:szCs w:val="15"/>
          <w:b w:val="1"/>
          <w:bCs w:val="1"/>
          <w:color w:val="auto"/>
          <w:vertAlign w:val="superscript"/>
        </w:rPr>
      </w:pPr>
      <w:r>
        <w:rPr>
          <w:rFonts w:ascii="Arial" w:cs="Arial" w:eastAsia="Arial" w:hAnsi="Arial"/>
          <w:sz w:val="11"/>
          <w:szCs w:val="11"/>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p>
    <w:p>
      <w:pPr>
        <w:ind w:left="520" w:hanging="512"/>
        <w:spacing w:after="0" w:line="187" w:lineRule="auto"/>
        <w:tabs>
          <w:tab w:leader="none" w:pos="520" w:val="left"/>
        </w:tabs>
        <w:numPr>
          <w:ilvl w:val="0"/>
          <w:numId w:val="80"/>
        </w:numPr>
        <w:rPr>
          <w:rFonts w:ascii="Arial" w:cs="Arial" w:eastAsia="Arial" w:hAnsi="Arial"/>
          <w:sz w:val="15"/>
          <w:szCs w:val="15"/>
          <w:b w:val="1"/>
          <w:bCs w:val="1"/>
          <w:color w:val="auto"/>
          <w:vertAlign w:val="superscript"/>
        </w:rPr>
      </w:pPr>
      <w:r>
        <w:rPr>
          <w:rFonts w:ascii="Arial" w:cs="Arial" w:eastAsia="Arial" w:hAnsi="Arial"/>
          <w:sz w:val="11"/>
          <w:szCs w:val="11"/>
          <w:color w:val="auto"/>
        </w:rPr>
        <w:t>The ratio of waived incentive fees to average net assets was 0.00%, 0.00%, 0.00%, 0.17%, and 0.00%, for the years ended December 31, 2022, 2021, 2020, 2019 and 2018, respectively.</w:t>
      </w:r>
    </w:p>
    <w:p>
      <w:pPr>
        <w:ind w:left="520" w:hanging="512"/>
        <w:spacing w:after="0" w:line="187" w:lineRule="auto"/>
        <w:tabs>
          <w:tab w:leader="none" w:pos="520" w:val="left"/>
        </w:tabs>
        <w:numPr>
          <w:ilvl w:val="0"/>
          <w:numId w:val="80"/>
        </w:numPr>
        <w:rPr>
          <w:rFonts w:ascii="Arial" w:cs="Arial" w:eastAsia="Arial" w:hAnsi="Arial"/>
          <w:sz w:val="15"/>
          <w:szCs w:val="15"/>
          <w:b w:val="1"/>
          <w:bCs w:val="1"/>
          <w:color w:val="auto"/>
          <w:vertAlign w:val="superscript"/>
        </w:rPr>
      </w:pPr>
      <w:r>
        <w:rPr>
          <w:rFonts w:ascii="Arial" w:cs="Arial" w:eastAsia="Arial" w:hAnsi="Arial"/>
          <w:sz w:val="11"/>
          <w:szCs w:val="11"/>
          <w:color w:val="auto"/>
        </w:rPr>
        <w:t>Portfolio turnover rate is calculated using the lesser of year-to-date sales or year-to-date purchases over the average of the invested assets at fair value.</w:t>
      </w:r>
    </w:p>
    <w:p>
      <w:pPr>
        <w:ind w:left="520" w:hanging="512"/>
        <w:spacing w:after="0" w:line="180" w:lineRule="auto"/>
        <w:tabs>
          <w:tab w:leader="none" w:pos="520" w:val="left"/>
        </w:tabs>
        <w:numPr>
          <w:ilvl w:val="0"/>
          <w:numId w:val="80"/>
        </w:numPr>
        <w:rPr>
          <w:rFonts w:ascii="Arial" w:cs="Arial" w:eastAsia="Arial" w:hAnsi="Arial"/>
          <w:sz w:val="16"/>
          <w:szCs w:val="16"/>
          <w:b w:val="1"/>
          <w:bCs w:val="1"/>
          <w:color w:val="auto"/>
          <w:vertAlign w:val="superscript"/>
        </w:rPr>
      </w:pPr>
      <w:r>
        <w:rPr>
          <w:rFonts w:ascii="Arial" w:cs="Arial" w:eastAsia="Arial" w:hAnsi="Arial"/>
          <w:sz w:val="12"/>
          <w:szCs w:val="12"/>
          <w:color w:val="auto"/>
        </w:rPr>
        <w:t>Based on daily weighted average balance of debt outstanding during the period.</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Senior Securities</w:t>
      </w:r>
    </w:p>
    <w:p>
      <w:pPr>
        <w:spacing w:after="0" w:line="140" w:lineRule="exact"/>
        <w:rPr>
          <w:sz w:val="20"/>
          <w:szCs w:val="20"/>
          <w:color w:val="auto"/>
        </w:rPr>
      </w:pPr>
    </w:p>
    <w:p>
      <w:pPr>
        <w:ind w:right="20" w:firstLine="509"/>
        <w:spacing w:after="0" w:line="253" w:lineRule="auto"/>
        <w:rPr>
          <w:sz w:val="20"/>
          <w:szCs w:val="20"/>
          <w:color w:val="auto"/>
        </w:rPr>
      </w:pPr>
      <w:r>
        <w:rPr>
          <w:rFonts w:ascii="Arial" w:cs="Arial" w:eastAsia="Arial" w:hAnsi="Arial"/>
          <w:sz w:val="14"/>
          <w:szCs w:val="14"/>
          <w:color w:val="auto"/>
        </w:rPr>
        <w:t>The following is a schedule of the Company’s senior securities for the years ended December 31, 2022, 2021, 2020, 2019 and 2018 (dollars in thousands, except share and per share data, unless otherwise noted):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69"/>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Total Debt Outstanding:</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KeyBank Credit Facility</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55,937</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FF0FC"/>
          </w:tcPr>
          <w:p>
            <w:pPr>
              <w:spacing w:after="0"/>
              <w:rPr>
                <w:sz w:val="15"/>
                <w:szCs w:val="15"/>
                <w:color w:val="auto"/>
              </w:rPr>
            </w:pPr>
          </w:p>
        </w:tc>
      </w:tr>
      <w:tr>
        <w:trPr>
          <w:trHeight w:val="175"/>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SBA-guaranteed debentures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91,000</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150,000</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165,700</w:t>
            </w:r>
          </w:p>
        </w:tc>
        <w:tc>
          <w:tcPr>
            <w:tcW w:w="100" w:type="dxa"/>
            <w:vAlign w:val="bottom"/>
          </w:tcPr>
          <w:p>
            <w:pPr>
              <w:spacing w:after="0"/>
              <w:rPr>
                <w:sz w:val="15"/>
                <w:szCs w:val="15"/>
                <w:color w:val="auto"/>
              </w:rPr>
            </w:pPr>
          </w:p>
        </w:tc>
      </w:tr>
      <w:tr>
        <w:trPr>
          <w:trHeight w:val="176"/>
        </w:trPr>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72,833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FF0FC"/>
          </w:tcPr>
          <w:p>
            <w:pPr>
              <w:spacing w:after="0"/>
              <w:rPr>
                <w:sz w:val="15"/>
                <w:szCs w:val="15"/>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52,088</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52,088</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52,088</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52,088</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5"/>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2032 Convertible Notes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15,000</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Asset coverage per unit</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KeyBank Credit Facility</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1,771</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1,849</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1,872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FF0FC"/>
          </w:tcPr>
          <w:p>
            <w:pPr>
              <w:spacing w:after="0"/>
              <w:rPr>
                <w:sz w:val="15"/>
                <w:szCs w:val="15"/>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SBA-guaranteed debentures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FF0FC"/>
          </w:tcPr>
          <w:p>
            <w:pPr>
              <w:spacing w:after="0"/>
              <w:rPr>
                <w:sz w:val="15"/>
                <w:szCs w:val="15"/>
                <w:color w:val="auto"/>
              </w:rPr>
            </w:pPr>
          </w:p>
        </w:tc>
      </w:tr>
      <w:tr>
        <w:trPr>
          <w:trHeight w:val="176"/>
        </w:trPr>
        <w:tc>
          <w:tcPr>
            <w:tcW w:w="320" w:type="dxa"/>
            <w:vAlign w:val="bottom"/>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1,849</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1,872</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2,165</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Pr>
          <w:p>
            <w:pPr>
              <w:spacing w:after="0"/>
              <w:rPr>
                <w:sz w:val="15"/>
                <w:szCs w:val="15"/>
                <w:color w:val="auto"/>
              </w:rPr>
            </w:pPr>
          </w:p>
        </w:tc>
      </w:tr>
      <w:tr>
        <w:trPr>
          <w:trHeight w:val="176"/>
        </w:trPr>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w w:val="89"/>
              </w:rPr>
              <w:t>2026</w:t>
            </w:r>
          </w:p>
        </w:tc>
        <w:tc>
          <w:tcPr>
            <w:tcW w:w="4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4"/>
                <w:szCs w:val="14"/>
                <w:color w:val="auto"/>
                <w:w w:val="89"/>
              </w:rPr>
              <w:t>2032</w:t>
            </w:r>
          </w:p>
        </w:tc>
        <w:tc>
          <w:tcPr>
            <w:tcW w:w="450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1,771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Involuntary liquidation preference per unit</w:t>
            </w:r>
            <w:r>
              <w:rPr>
                <w:rFonts w:ascii="Arial" w:cs="Arial" w:eastAsia="Arial" w:hAnsi="Arial"/>
                <w:sz w:val="19"/>
                <w:szCs w:val="19"/>
                <w:b w:val="1"/>
                <w:bCs w:val="1"/>
                <w:color w:val="auto"/>
                <w:vertAlign w:val="superscript"/>
              </w:rPr>
              <w:t>(2)</w:t>
            </w:r>
            <w:r>
              <w:rPr>
                <w:rFonts w:ascii="Arial" w:cs="Arial" w:eastAsia="Arial" w:hAnsi="Arial"/>
                <w:sz w:val="14"/>
                <w:szCs w:val="14"/>
                <w:b w:val="1"/>
                <w:bCs w:val="1"/>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KeyBank Credit Facility</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5"/>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SBA-guaranteed debentures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2022 Convertible Notes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5"/>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2032 Convertible Notes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5"/>
        </w:trPr>
        <w:tc>
          <w:tcPr>
            <w:tcW w:w="482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Average market value per unit</w:t>
            </w:r>
            <w:r>
              <w:rPr>
                <w:rFonts w:ascii="Arial" w:cs="Arial" w:eastAsia="Arial" w:hAnsi="Arial"/>
                <w:sz w:val="19"/>
                <w:szCs w:val="19"/>
                <w:b w:val="1"/>
                <w:bCs w:val="1"/>
                <w:color w:val="auto"/>
                <w:vertAlign w:val="superscript"/>
              </w:rPr>
              <w:t>(3)</w:t>
            </w:r>
            <w:r>
              <w:rPr>
                <w:rFonts w:ascii="Arial" w:cs="Arial" w:eastAsia="Arial" w:hAnsi="Arial"/>
                <w:sz w:val="14"/>
                <w:szCs w:val="14"/>
                <w:b w:val="1"/>
                <w:bCs w:val="1"/>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KeyBank Credit Facility</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75"/>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SBA-guaranteed debentures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320" w:type="dxa"/>
            <w:vAlign w:val="bottom"/>
            <w:shd w:val="clear" w:color="auto" w:fill="CFF0FC"/>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FF0FC"/>
          </w:tcPr>
          <w:p>
            <w:pPr>
              <w:spacing w:after="0"/>
              <w:rPr>
                <w:sz w:val="15"/>
                <w:szCs w:val="15"/>
                <w:color w:val="auto"/>
              </w:rPr>
            </w:pPr>
          </w:p>
        </w:tc>
      </w:tr>
      <w:tr>
        <w:trPr>
          <w:trHeight w:val="176"/>
        </w:trPr>
        <w:tc>
          <w:tcPr>
            <w:tcW w:w="320" w:type="dxa"/>
            <w:vAlign w:val="bottom"/>
          </w:tcPr>
          <w:p>
            <w:pPr>
              <w:ind w:left="20"/>
              <w:spacing w:after="0"/>
              <w:rPr>
                <w:sz w:val="20"/>
                <w:szCs w:val="20"/>
                <w:color w:val="auto"/>
              </w:rPr>
            </w:pPr>
            <w:r>
              <w:rPr>
                <w:rFonts w:ascii="Arial" w:cs="Arial" w:eastAsia="Arial" w:hAnsi="Arial"/>
                <w:sz w:val="14"/>
                <w:szCs w:val="14"/>
                <w:color w:val="auto"/>
                <w:w w:val="89"/>
              </w:rPr>
              <w:t>2022</w:t>
            </w:r>
          </w:p>
        </w:tc>
        <w:tc>
          <w:tcPr>
            <w:tcW w:w="450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1,002</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856</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994</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5"/>
                <w:szCs w:val="15"/>
                <w:color w:val="auto"/>
              </w:rPr>
            </w:pPr>
          </w:p>
        </w:tc>
      </w:tr>
      <w:tr>
        <w:trPr>
          <w:trHeight w:val="175"/>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r>
        <w:trPr>
          <w:trHeight w:val="18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2032 Convertible Notes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5123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9" w:lineRule="exact"/>
        <w:rPr>
          <w:sz w:val="20"/>
          <w:szCs w:val="20"/>
          <w:color w:val="auto"/>
        </w:rPr>
      </w:pPr>
    </w:p>
    <w:p>
      <w:pPr>
        <w:jc w:val="both"/>
        <w:ind w:left="520" w:hanging="512"/>
        <w:spacing w:after="0" w:line="220" w:lineRule="auto"/>
        <w:tabs>
          <w:tab w:leader="none" w:pos="520" w:val="left"/>
        </w:tabs>
        <w:numPr>
          <w:ilvl w:val="0"/>
          <w:numId w:val="81"/>
        </w:numPr>
        <w:rPr>
          <w:rFonts w:ascii="Arial" w:cs="Arial" w:eastAsia="Arial" w:hAnsi="Arial"/>
          <w:sz w:val="16"/>
          <w:szCs w:val="16"/>
          <w:b w:val="1"/>
          <w:bCs w:val="1"/>
          <w:color w:val="auto"/>
          <w:vertAlign w:val="superscript"/>
        </w:rPr>
      </w:pPr>
      <w:r>
        <w:rPr>
          <w:rFonts w:ascii="Arial" w:cs="Arial" w:eastAsia="Arial" w:hAnsi="Arial"/>
          <w:sz w:val="12"/>
          <w:szCs w:val="12"/>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pursuant to the exemptive relief granted by the SEC in June 2014 that permits us to exclude such debentures from the definition of senior securities in the 200% asset coverage ratio (150% after November 1, 2019) we are required to maintain under the 1940 Act. Asset coverage per unit is expressed in terms of dollar amounts per $1,000 of indebtedness.</w:t>
      </w:r>
    </w:p>
    <w:p>
      <w:pPr>
        <w:spacing w:after="0" w:line="1" w:lineRule="exact"/>
        <w:rPr>
          <w:rFonts w:ascii="Arial" w:cs="Arial" w:eastAsia="Arial" w:hAnsi="Arial"/>
          <w:sz w:val="16"/>
          <w:szCs w:val="16"/>
          <w:b w:val="1"/>
          <w:bCs w:val="1"/>
          <w:color w:val="auto"/>
          <w:vertAlign w:val="superscript"/>
        </w:rPr>
      </w:pPr>
    </w:p>
    <w:p>
      <w:pPr>
        <w:ind w:left="520" w:right="20" w:hanging="512"/>
        <w:spacing w:after="0" w:line="201" w:lineRule="auto"/>
        <w:tabs>
          <w:tab w:leader="none" w:pos="520" w:val="left"/>
        </w:tabs>
        <w:numPr>
          <w:ilvl w:val="0"/>
          <w:numId w:val="81"/>
        </w:numPr>
        <w:rPr>
          <w:rFonts w:ascii="Arial" w:cs="Arial" w:eastAsia="Arial" w:hAnsi="Arial"/>
          <w:sz w:val="16"/>
          <w:szCs w:val="16"/>
          <w:b w:val="1"/>
          <w:bCs w:val="1"/>
          <w:color w:val="auto"/>
          <w:vertAlign w:val="superscript"/>
        </w:rPr>
      </w:pPr>
      <w:r>
        <w:rPr>
          <w:rFonts w:ascii="Arial" w:cs="Arial" w:eastAsia="Arial" w:hAnsi="Arial"/>
          <w:sz w:val="12"/>
          <w:szCs w:val="12"/>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ind w:left="520" w:hanging="512"/>
        <w:spacing w:after="0" w:line="203" w:lineRule="auto"/>
        <w:tabs>
          <w:tab w:leader="none" w:pos="520" w:val="left"/>
        </w:tabs>
        <w:numPr>
          <w:ilvl w:val="0"/>
          <w:numId w:val="81"/>
        </w:numPr>
        <w:rPr>
          <w:rFonts w:ascii="Arial" w:cs="Arial" w:eastAsia="Arial" w:hAnsi="Arial"/>
          <w:sz w:val="16"/>
          <w:szCs w:val="16"/>
          <w:b w:val="1"/>
          <w:bCs w:val="1"/>
          <w:color w:val="auto"/>
          <w:vertAlign w:val="superscript"/>
        </w:rPr>
      </w:pPr>
      <w:r>
        <w:rPr>
          <w:rFonts w:ascii="Arial" w:cs="Arial" w:eastAsia="Arial" w:hAnsi="Arial"/>
          <w:sz w:val="12"/>
          <w:szCs w:val="12"/>
          <w:color w:val="auto"/>
        </w:rPr>
        <w:t>Not applicable except for the 2022 Notes and the 2022 Convertible Notes which were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b w:val="1"/>
          <w:bCs w:val="1"/>
          <w:color w:val="auto"/>
        </w:rPr>
        <w:t>LOGAN RIDGE FINANCE CORPORATION</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Note 15. Selected Quarterly Financial Data (Unaudited)</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8"/>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2022</w:t>
            </w:r>
          </w:p>
        </w:tc>
        <w:tc>
          <w:tcPr>
            <w:tcW w:w="20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June 30, 2022</w:t>
            </w:r>
          </w:p>
        </w:tc>
        <w:tc>
          <w:tcPr>
            <w:tcW w:w="18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r>
      <w:tr>
        <w:trPr>
          <w:trHeight w:val="169"/>
        </w:trPr>
        <w:tc>
          <w:tcPr>
            <w:tcW w:w="4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4,539</w:t>
            </w: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3,748</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3,303</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3,337</w:t>
            </w:r>
          </w:p>
        </w:tc>
        <w:tc>
          <w:tcPr>
            <w:tcW w:w="100" w:type="dxa"/>
            <w:vAlign w:val="bottom"/>
            <w:shd w:val="clear" w:color="auto" w:fill="CFF0FC"/>
          </w:tcPr>
          <w:p>
            <w:pPr>
              <w:spacing w:after="0"/>
              <w:rPr>
                <w:sz w:val="14"/>
                <w:szCs w:val="14"/>
                <w:color w:val="auto"/>
              </w:rPr>
            </w:pPr>
          </w:p>
        </w:tc>
      </w:tr>
      <w:tr>
        <w:trPr>
          <w:trHeight w:val="176"/>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Net investment income (loss)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(929 )</w:t>
            </w:r>
          </w:p>
        </w:tc>
        <w:tc>
          <w:tcPr>
            <w:tcW w:w="18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(1,051 )</w:t>
            </w:r>
          </w:p>
        </w:tc>
      </w:tr>
      <w:tr>
        <w:trPr>
          <w:trHeight w:val="176"/>
        </w:trPr>
        <w:tc>
          <w:tcPr>
            <w:tcW w:w="4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resulting from operations</w:t>
            </w:r>
          </w:p>
        </w:tc>
        <w:tc>
          <w:tcPr>
            <w:tcW w:w="1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(3,171 )</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(2,961 )</w:t>
            </w:r>
          </w:p>
        </w:tc>
        <w:tc>
          <w:tcPr>
            <w:tcW w:w="2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(5,034 )</w:t>
            </w: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(858 )</w:t>
            </w:r>
          </w:p>
        </w:tc>
      </w:tr>
      <w:tr>
        <w:trPr>
          <w:trHeight w:val="175"/>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Net investment income (loss) per share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(0.34 )</w:t>
            </w:r>
          </w:p>
        </w:tc>
        <w:tc>
          <w:tcPr>
            <w:tcW w:w="18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(0.39 )</w:t>
            </w:r>
          </w:p>
        </w:tc>
      </w:tr>
      <w:tr>
        <w:trPr>
          <w:trHeight w:val="176"/>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resulting from operations</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(1.17 )</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(1.09 )</w:t>
            </w:r>
          </w:p>
        </w:tc>
        <w:tc>
          <w:tcPr>
            <w:tcW w:w="2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(1.86 )</w:t>
            </w:r>
          </w:p>
        </w:tc>
        <w:tc>
          <w:tcPr>
            <w:tcW w:w="1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(0.32 )</w:t>
            </w:r>
          </w:p>
        </w:tc>
      </w:tr>
      <w:tr>
        <w:trPr>
          <w:trHeight w:val="175"/>
        </w:trPr>
        <w:tc>
          <w:tcPr>
            <w:tcW w:w="4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 share</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color w:val="auto"/>
              </w:rPr>
              <w:t>Net asset value per share at end of period</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35.04</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36.21</w:t>
            </w:r>
          </w:p>
        </w:tc>
        <w:tc>
          <w:tcPr>
            <w:tcW w:w="24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37.31</w:t>
            </w:r>
          </w:p>
        </w:tc>
        <w:tc>
          <w:tcPr>
            <w:tcW w:w="2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39.16</w:t>
            </w:r>
          </w:p>
        </w:tc>
        <w:tc>
          <w:tcPr>
            <w:tcW w:w="100" w:type="dxa"/>
            <w:vAlign w:val="bottom"/>
          </w:tcPr>
          <w:p>
            <w:pPr>
              <w:spacing w:after="0"/>
              <w:rPr>
                <w:sz w:val="15"/>
                <w:szCs w:val="15"/>
                <w:color w:val="auto"/>
              </w:rPr>
            </w:pP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r>
      <w:tr>
        <w:trPr>
          <w:trHeight w:val="169"/>
        </w:trPr>
        <w:tc>
          <w:tcPr>
            <w:tcW w:w="4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3,373</w:t>
            </w: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5,044</w:t>
            </w: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4,926</w:t>
            </w:r>
          </w:p>
        </w:tc>
        <w:tc>
          <w:tcPr>
            <w:tcW w:w="100" w:type="dxa"/>
            <w:vAlign w:val="bottom"/>
            <w:shd w:val="clear" w:color="auto" w:fill="CFF0FC"/>
          </w:tcPr>
          <w:p>
            <w:pPr>
              <w:spacing w:after="0"/>
              <w:rPr>
                <w:sz w:val="14"/>
                <w:szCs w:val="14"/>
                <w:color w:val="auto"/>
              </w:rPr>
            </w:pPr>
          </w:p>
        </w:tc>
      </w:tr>
      <w:tr>
        <w:trPr>
          <w:trHeight w:val="176"/>
        </w:trPr>
        <w:tc>
          <w:tcPr>
            <w:tcW w:w="4540" w:type="dxa"/>
            <w:vAlign w:val="bottom"/>
            <w:gridSpan w:val="2"/>
          </w:tcPr>
          <w:p>
            <w:pPr>
              <w:ind w:left="20"/>
              <w:spacing w:after="0"/>
              <w:rPr>
                <w:sz w:val="20"/>
                <w:szCs w:val="20"/>
                <w:color w:val="auto"/>
              </w:rPr>
            </w:pPr>
            <w:r>
              <w:rPr>
                <w:rFonts w:ascii="Arial" w:cs="Arial" w:eastAsia="Arial" w:hAnsi="Arial"/>
                <w:sz w:val="14"/>
                <w:szCs w:val="14"/>
                <w:color w:val="auto"/>
              </w:rPr>
              <w:t>Net investment (loss) income</w:t>
            </w:r>
          </w:p>
        </w:tc>
        <w:tc>
          <w:tcPr>
            <w:tcW w:w="12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(1,333 )</w:t>
            </w:r>
          </w:p>
        </w:tc>
        <w:tc>
          <w:tcPr>
            <w:tcW w:w="10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(1,510 )</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(783 )</w:t>
            </w:r>
          </w:p>
        </w:tc>
      </w:tr>
      <w:tr>
        <w:trPr>
          <w:trHeight w:val="175"/>
        </w:trPr>
        <w:tc>
          <w:tcPr>
            <w:tcW w:w="4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(3,232 )</w:t>
            </w:r>
          </w:p>
        </w:tc>
        <w:tc>
          <w:tcPr>
            <w:tcW w:w="1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(3,486 )</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(7,554 )</w:t>
            </w: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12,354</w:t>
            </w:r>
          </w:p>
        </w:tc>
        <w:tc>
          <w:tcPr>
            <w:tcW w:w="100" w:type="dxa"/>
            <w:vAlign w:val="bottom"/>
            <w:shd w:val="clear" w:color="auto" w:fill="CFF0FC"/>
          </w:tcPr>
          <w:p>
            <w:pPr>
              <w:spacing w:after="0"/>
              <w:rPr>
                <w:sz w:val="15"/>
                <w:szCs w:val="15"/>
                <w:color w:val="auto"/>
              </w:rPr>
            </w:pPr>
          </w:p>
        </w:tc>
      </w:tr>
      <w:tr>
        <w:trPr>
          <w:trHeight w:val="176"/>
        </w:trPr>
        <w:tc>
          <w:tcPr>
            <w:tcW w:w="4540" w:type="dxa"/>
            <w:vAlign w:val="bottom"/>
            <w:gridSpan w:val="2"/>
          </w:tcPr>
          <w:p>
            <w:pPr>
              <w:ind w:left="20"/>
              <w:spacing w:after="0"/>
              <w:rPr>
                <w:sz w:val="20"/>
                <w:szCs w:val="20"/>
                <w:color w:val="auto"/>
              </w:rPr>
            </w:pPr>
            <w:r>
              <w:rPr>
                <w:rFonts w:ascii="Arial" w:cs="Arial" w:eastAsia="Arial" w:hAnsi="Arial"/>
                <w:sz w:val="14"/>
                <w:szCs w:val="14"/>
                <w:color w:val="auto"/>
              </w:rPr>
              <w:t>Net investment (loss) income per share</w:t>
            </w:r>
          </w:p>
        </w:tc>
        <w:tc>
          <w:tcPr>
            <w:tcW w:w="12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(0.48 )</w:t>
            </w:r>
          </w:p>
        </w:tc>
        <w:tc>
          <w:tcPr>
            <w:tcW w:w="10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(0.56 )</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(0.29 )</w:t>
            </w:r>
          </w:p>
        </w:tc>
      </w:tr>
      <w:tr>
        <w:trPr>
          <w:trHeight w:val="176"/>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net assets resulting from operations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(1.29 )</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(2.79 )</w:t>
            </w: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FF0FC"/>
          </w:tcPr>
          <w:p>
            <w:pPr>
              <w:spacing w:after="0"/>
              <w:rPr>
                <w:sz w:val="15"/>
                <w:szCs w:val="15"/>
                <w:color w:val="auto"/>
              </w:rPr>
            </w:pPr>
          </w:p>
        </w:tc>
      </w:tr>
      <w:tr>
        <w:trPr>
          <w:trHeight w:val="17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per share</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4380" w:type="dxa"/>
            <w:vAlign w:val="bottom"/>
          </w:tcPr>
          <w:p>
            <w:pPr>
              <w:ind w:left="20"/>
              <w:spacing w:after="0"/>
              <w:rPr>
                <w:sz w:val="20"/>
                <w:szCs w:val="20"/>
                <w:color w:val="auto"/>
              </w:rPr>
            </w:pPr>
            <w:r>
              <w:rPr>
                <w:rFonts w:ascii="Arial" w:cs="Arial" w:eastAsia="Arial" w:hAnsi="Arial"/>
                <w:sz w:val="14"/>
                <w:szCs w:val="14"/>
                <w:color w:val="auto"/>
              </w:rPr>
              <w:t>Net asset value per share at end of period</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39.48</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40.67</w:t>
            </w:r>
          </w:p>
        </w:tc>
        <w:tc>
          <w:tcPr>
            <w:tcW w:w="2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41.96</w:t>
            </w:r>
          </w:p>
        </w:tc>
        <w:tc>
          <w:tcPr>
            <w:tcW w:w="2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5"/>
                <w:szCs w:val="15"/>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Subsequent Events</w:t>
      </w:r>
    </w:p>
    <w:p>
      <w:pPr>
        <w:spacing w:after="0" w:line="140" w:lineRule="exact"/>
        <w:rPr>
          <w:sz w:val="20"/>
          <w:szCs w:val="20"/>
          <w:color w:val="auto"/>
        </w:rPr>
      </w:pPr>
    </w:p>
    <w:p>
      <w:pPr>
        <w:ind w:right="300" w:firstLine="509"/>
        <w:spacing w:after="0" w:line="253" w:lineRule="auto"/>
        <w:rPr>
          <w:sz w:val="20"/>
          <w:szCs w:val="20"/>
          <w:color w:val="auto"/>
        </w:rPr>
      </w:pPr>
      <w:r>
        <w:rPr>
          <w:rFonts w:ascii="Arial" w:cs="Arial" w:eastAsia="Arial" w:hAnsi="Arial"/>
          <w:sz w:val="14"/>
          <w:szCs w:val="14"/>
          <w:color w:val="auto"/>
        </w:rPr>
        <w:t>The Company has evaluated subsequent events through the date of filing of this Annual Report on Form 10-K, and determined that there have been no events that have occurred that would require adjustments to our disclosures in the consolidated financial statements, except as discussed below.</w:t>
      </w:r>
    </w:p>
    <w:p>
      <w:pPr>
        <w:spacing w:after="0" w:line="93" w:lineRule="exact"/>
        <w:rPr>
          <w:sz w:val="20"/>
          <w:szCs w:val="20"/>
          <w:color w:val="auto"/>
        </w:rPr>
      </w:pPr>
    </w:p>
    <w:p>
      <w:pPr>
        <w:ind w:right="20" w:firstLine="509"/>
        <w:spacing w:after="0" w:line="231" w:lineRule="auto"/>
        <w:rPr>
          <w:sz w:val="20"/>
          <w:szCs w:val="20"/>
          <w:color w:val="auto"/>
        </w:rPr>
      </w:pPr>
      <w:r>
        <w:rPr>
          <w:rFonts w:ascii="Arial" w:cs="Arial" w:eastAsia="Arial" w:hAnsi="Arial"/>
          <w:sz w:val="14"/>
          <w:szCs w:val="14"/>
          <w:color w:val="auto"/>
        </w:rPr>
        <w:t>On March 6, 2023,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spacing w:after="0" w:line="116"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On March 6, 2023, the Company’s Board of Directors approved a distribution of $0.18 per share payable on March 31, 2023 to stockholders of record as of March 20,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3"/>
          <w:szCs w:val="13"/>
          <w:color w:val="auto"/>
        </w:rPr>
        <w:t>As of December 31, 2022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Report of Management on Internal Control Over Financial Reporting</w:t>
      </w:r>
    </w:p>
    <w:p>
      <w:pPr>
        <w:spacing w:after="0" w:line="13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4"/>
          <w:szCs w:val="14"/>
          <w:color w:val="auto"/>
        </w:rPr>
        <w:t>Management performed an assessment of the effectiveness of the Company’s internal control over financial reporting as of December 31, 2022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2022.</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As a non-accelerated filer, the Company is not currently required to obtain an audit of the effectiveness of internal control over financial reporting from its independent registered public accounting firm as of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Management has not identified any change in the Company’s internal control over financing reporting that occurred during the fourth quarter of 2022 that has materially affected, or is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ind w:left="5320"/>
        <w:spacing w:after="0"/>
        <w:rPr>
          <w:sz w:val="20"/>
          <w:szCs w:val="20"/>
          <w:color w:val="auto"/>
        </w:rPr>
      </w:pPr>
      <w:r>
        <w:rPr>
          <w:rFonts w:ascii="Arial" w:cs="Arial" w:eastAsia="Arial" w:hAnsi="Arial"/>
          <w:sz w:val="14"/>
          <w:szCs w:val="14"/>
          <w:b w:val="1"/>
          <w:bCs w:val="1"/>
          <w:color w:val="auto"/>
        </w:rPr>
        <w:t>PART III</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0"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2023 Annual Stockholder Meeting, to be filed with the SEC within 120 days after December 31, 2022,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08"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2023 Annual Stockholder Meeting, to be filed with the SEC within 120 days after December 31, 2022,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8"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2023 Annual Stockholder Meeting, to be filed with the SEC within 120 days after December 31, 2022,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27"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2023 Annual Stockholder Meeting, to be filed with the SEC within 120 days after December 31, 2022,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208"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2023 Annual Stockholder Meeting, to be filed with the SEC within 120 days after December 31, 2022, and is incorporated herein by reference.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ind w:left="5320"/>
        <w:spacing w:after="0"/>
        <w:rPr>
          <w:sz w:val="20"/>
          <w:szCs w:val="20"/>
          <w:color w:val="auto"/>
        </w:rPr>
      </w:pPr>
      <w:r>
        <w:rPr>
          <w:rFonts w:ascii="Arial" w:cs="Arial" w:eastAsia="Arial" w:hAnsi="Arial"/>
          <w:sz w:val="14"/>
          <w:szCs w:val="14"/>
          <w:b w:val="1"/>
          <w:bCs w:val="1"/>
          <w:color w:val="auto"/>
        </w:rPr>
        <w:t>PART IV</w:t>
      </w:r>
    </w:p>
    <w:p>
      <w:pPr>
        <w:spacing w:after="0" w:line="20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ITEM 15.  EXHIBITS AND CONSOLIDATED FINANCIAL STATEMENT SCHEDULES</w:t>
      </w:r>
    </w:p>
    <w:p>
      <w:pPr>
        <w:spacing w:after="0" w:line="140" w:lineRule="exact"/>
        <w:rPr>
          <w:sz w:val="20"/>
          <w:szCs w:val="20"/>
          <w:color w:val="auto"/>
        </w:rPr>
      </w:pPr>
    </w:p>
    <w:p>
      <w:pPr>
        <w:jc w:val="center"/>
        <w:ind w:right="5620"/>
        <w:spacing w:after="0"/>
        <w:rPr>
          <w:sz w:val="20"/>
          <w:szCs w:val="20"/>
          <w:color w:val="auto"/>
        </w:rPr>
      </w:pPr>
      <w:r>
        <w:rPr>
          <w:rFonts w:ascii="Arial" w:cs="Arial" w:eastAsia="Arial" w:hAnsi="Arial"/>
          <w:sz w:val="14"/>
          <w:szCs w:val="14"/>
          <w:color w:val="auto"/>
        </w:rPr>
        <w:t>The following documents are filed as part of this Annual Report on Form 10-K:</w:t>
      </w:r>
    </w:p>
    <w:p>
      <w:pPr>
        <w:spacing w:after="0" w:line="123" w:lineRule="exact"/>
        <w:rPr>
          <w:sz w:val="20"/>
          <w:szCs w:val="20"/>
          <w:color w:val="auto"/>
        </w:rPr>
      </w:pPr>
    </w:p>
    <w:p>
      <w:pPr>
        <w:ind w:left="1020" w:firstLine="515"/>
        <w:spacing w:after="0" w:line="253" w:lineRule="auto"/>
        <w:tabs>
          <w:tab w:leader="none" w:pos="1809"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Consolidated Financial Statements – Consolidated Financial statements are included in Item 8. See the Index to the Consolidated Financial Statements on page F-1 of this Annual Report on Form 10-K.</w:t>
      </w:r>
    </w:p>
    <w:p>
      <w:pPr>
        <w:spacing w:after="0" w:line="106" w:lineRule="exact"/>
        <w:rPr>
          <w:rFonts w:ascii="Arial" w:cs="Arial" w:eastAsia="Arial" w:hAnsi="Arial"/>
          <w:sz w:val="14"/>
          <w:szCs w:val="14"/>
          <w:color w:val="auto"/>
        </w:rPr>
      </w:pPr>
    </w:p>
    <w:p>
      <w:pPr>
        <w:jc w:val="both"/>
        <w:ind w:left="1020" w:firstLine="515"/>
        <w:spacing w:after="0" w:line="238" w:lineRule="auto"/>
        <w:tabs>
          <w:tab w:leader="none" w:pos="1976"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Consolidated Financial Statement Schedules – None. We have omitted consolidated financial statement schedules because they are not required or are not applicable, or the required information is shown in the consolidated financial statements or notes to the consolidated financial statements included in this Annual Report on Form 10-K.</w:t>
      </w:r>
    </w:p>
    <w:p>
      <w:pPr>
        <w:spacing w:after="0" w:line="115" w:lineRule="exact"/>
        <w:rPr>
          <w:rFonts w:ascii="Arial" w:cs="Arial" w:eastAsia="Arial" w:hAnsi="Arial"/>
          <w:sz w:val="14"/>
          <w:szCs w:val="14"/>
          <w:color w:val="auto"/>
        </w:rPr>
      </w:pPr>
    </w:p>
    <w:p>
      <w:pPr>
        <w:ind w:left="1920" w:hanging="385"/>
        <w:spacing w:after="0"/>
        <w:tabs>
          <w:tab w:leader="none" w:pos="19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Exhibits – The following is a list of all exhibits filed as part of this Annual Report on Form 10-K, including those incorporated by reference.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exhibits are filed as part of this report or hereby incorporated by reference to exhibits previously filed with the SEC (and are numbered in accordance with Item 601 of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Regulation S-K):</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940" w:type="dxa"/>
            <w:vAlign w:val="bottom"/>
            <w:gridSpan w:val="30"/>
            <w:vMerge w:val="restart"/>
          </w:tcPr>
          <w:p>
            <w:pPr>
              <w:ind w:left="19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4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60" w:type="dxa"/>
            <w:vAlign w:val="bottom"/>
          </w:tcPr>
          <w:p>
            <w:pPr>
              <w:spacing w:after="0"/>
              <w:rPr>
                <w:sz w:val="6"/>
                <w:szCs w:val="6"/>
                <w:color w:val="auto"/>
              </w:rPr>
            </w:pPr>
          </w:p>
        </w:tc>
        <w:tc>
          <w:tcPr>
            <w:tcW w:w="2340" w:type="dxa"/>
            <w:vAlign w:val="bottom"/>
            <w:gridSpan w:val="25"/>
            <w:vMerge w:val="restart"/>
          </w:tcPr>
          <w:p>
            <w:pPr>
              <w:spacing w:after="0" w:line="142" w:lineRule="exact"/>
              <w:rPr>
                <w:rFonts w:ascii="Arial" w:cs="Arial" w:eastAsia="Arial" w:hAnsi="Arial"/>
                <w:sz w:val="14"/>
                <w:szCs w:val="14"/>
                <w:color w:val="0000FF"/>
                <w:w w:val="92"/>
              </w:rPr>
            </w:pPr>
            <w:hyperlink r:id="rId577">
              <w:r>
                <w:rPr>
                  <w:rFonts w:ascii="Arial" w:cs="Arial" w:eastAsia="Arial" w:hAnsi="Arial"/>
                  <w:sz w:val="14"/>
                  <w:szCs w:val="14"/>
                  <w:color w:val="0000FF"/>
                  <w:w w:val="92"/>
                </w:rPr>
                <w:t>Articles of Amendment and Restatement</w:t>
              </w:r>
            </w:hyperlink>
          </w:p>
        </w:tc>
        <w:tc>
          <w:tcPr>
            <w:tcW w:w="120" w:type="dxa"/>
            <w:vAlign w:val="bottom"/>
            <w:tcBorders>
              <w:bottom w:val="single" w:sz="8" w:color="0000FF"/>
            </w:tcBorders>
          </w:tcPr>
          <w:p>
            <w:pPr>
              <w:jc w:val="right"/>
              <w:spacing w:after="0" w:line="61" w:lineRule="exact"/>
              <w:rPr>
                <w:rFonts w:ascii="Arial" w:cs="Arial" w:eastAsia="Arial" w:hAnsi="Arial"/>
                <w:sz w:val="7"/>
                <w:szCs w:val="7"/>
                <w:color w:val="0000FF"/>
              </w:rPr>
            </w:pPr>
            <w:hyperlink r:id="rId577">
              <w:r>
                <w:rPr>
                  <w:rFonts w:ascii="Arial" w:cs="Arial" w:eastAsia="Arial" w:hAnsi="Arial"/>
                  <w:sz w:val="7"/>
                  <w:szCs w:val="7"/>
                  <w:color w:val="0000FF"/>
                </w:rPr>
                <w:t>(1)</w:t>
              </w:r>
            </w:hyperlink>
          </w:p>
        </w:tc>
        <w:tc>
          <w:tcPr>
            <w:tcW w:w="2700" w:type="dxa"/>
            <w:vAlign w:val="bottom"/>
            <w:gridSpan w:val="5"/>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680" w:type="dxa"/>
            <w:vAlign w:val="bottom"/>
            <w:gridSpan w:val="2"/>
            <w:vMerge w:val="restart"/>
          </w:tcPr>
          <w:p>
            <w:pPr>
              <w:spacing w:after="0"/>
              <w:rPr>
                <w:sz w:val="6"/>
                <w:szCs w:val="6"/>
                <w:color w:val="auto"/>
              </w:rPr>
            </w:pPr>
          </w:p>
        </w:tc>
        <w:tc>
          <w:tcPr>
            <w:tcW w:w="400" w:type="dxa"/>
            <w:vAlign w:val="bottom"/>
            <w:gridSpan w:val="2"/>
            <w:vMerge w:val="restart"/>
          </w:tcPr>
          <w:p>
            <w:pPr>
              <w:spacing w:after="0"/>
              <w:rPr>
                <w:sz w:val="6"/>
                <w:szCs w:val="6"/>
                <w:color w:val="auto"/>
              </w:rPr>
            </w:pPr>
          </w:p>
        </w:tc>
        <w:tc>
          <w:tcPr>
            <w:tcW w:w="400" w:type="dxa"/>
            <w:vAlign w:val="bottom"/>
            <w:gridSpan w:val="2"/>
            <w:vMerge w:val="restart"/>
          </w:tcPr>
          <w:p>
            <w:pPr>
              <w:spacing w:after="0"/>
              <w:rPr>
                <w:sz w:val="6"/>
                <w:szCs w:val="6"/>
                <w:color w:val="auto"/>
              </w:rPr>
            </w:pPr>
          </w:p>
        </w:tc>
        <w:tc>
          <w:tcPr>
            <w:tcW w:w="240" w:type="dxa"/>
            <w:vAlign w:val="bottom"/>
            <w:gridSpan w:val="3"/>
            <w:vMerge w:val="restart"/>
          </w:tcPr>
          <w:p>
            <w:pPr>
              <w:spacing w:after="0"/>
              <w:rPr>
                <w:sz w:val="6"/>
                <w:szCs w:val="6"/>
                <w:color w:val="auto"/>
              </w:rPr>
            </w:pPr>
          </w:p>
        </w:tc>
        <w:tc>
          <w:tcPr>
            <w:tcW w:w="700" w:type="dxa"/>
            <w:vAlign w:val="bottom"/>
            <w:gridSpan w:val="3"/>
            <w:vMerge w:val="restart"/>
          </w:tcPr>
          <w:p>
            <w:pPr>
              <w:spacing w:after="0"/>
              <w:rPr>
                <w:sz w:val="6"/>
                <w:szCs w:val="6"/>
                <w:color w:val="auto"/>
              </w:rPr>
            </w:pPr>
          </w:p>
        </w:tc>
        <w:tc>
          <w:tcPr>
            <w:tcW w:w="680" w:type="dxa"/>
            <w:vAlign w:val="bottom"/>
            <w:gridSpan w:val="2"/>
            <w:vMerge w:val="restart"/>
          </w:tcPr>
          <w:p>
            <w:pPr>
              <w:spacing w:after="0"/>
              <w:rPr>
                <w:sz w:val="6"/>
                <w:szCs w:val="6"/>
                <w:color w:val="auto"/>
              </w:rPr>
            </w:pPr>
          </w:p>
        </w:tc>
        <w:tc>
          <w:tcPr>
            <w:tcW w:w="280" w:type="dxa"/>
            <w:vAlign w:val="bottom"/>
            <w:gridSpan w:val="2"/>
            <w:vMerge w:val="restart"/>
          </w:tcPr>
          <w:p>
            <w:pPr>
              <w:spacing w:after="0"/>
              <w:rPr>
                <w:sz w:val="6"/>
                <w:szCs w:val="6"/>
                <w:color w:val="auto"/>
              </w:rPr>
            </w:pPr>
          </w:p>
        </w:tc>
        <w:tc>
          <w:tcPr>
            <w:tcW w:w="1840" w:type="dxa"/>
            <w:vAlign w:val="bottom"/>
            <w:gridSpan w:val="8"/>
            <w:vMerge w:val="restart"/>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340" w:type="dxa"/>
            <w:vAlign w:val="bottom"/>
            <w:tcBorders>
              <w:bottom w:val="single" w:sz="8" w:color="0000FF"/>
            </w:tcBorders>
            <w:gridSpan w:val="25"/>
            <w:vMerge w:val="continue"/>
          </w:tcPr>
          <w:p>
            <w:pPr>
              <w:spacing w:after="0"/>
              <w:rPr>
                <w:sz w:val="4"/>
                <w:szCs w:val="4"/>
                <w:color w:val="auto"/>
              </w:rPr>
            </w:pPr>
          </w:p>
        </w:tc>
        <w:tc>
          <w:tcPr>
            <w:tcW w:w="120" w:type="dxa"/>
            <w:vAlign w:val="bottom"/>
          </w:tcPr>
          <w:p>
            <w:pPr>
              <w:spacing w:after="0"/>
              <w:rPr>
                <w:sz w:val="4"/>
                <w:szCs w:val="4"/>
                <w:color w:val="auto"/>
              </w:rPr>
            </w:pPr>
          </w:p>
        </w:tc>
        <w:tc>
          <w:tcPr>
            <w:tcW w:w="270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12"/>
                <w:szCs w:val="12"/>
                <w:color w:val="auto"/>
              </w:rPr>
            </w:pPr>
          </w:p>
        </w:tc>
        <w:tc>
          <w:tcPr>
            <w:tcW w:w="1360" w:type="dxa"/>
            <w:vAlign w:val="bottom"/>
            <w:gridSpan w:val="9"/>
            <w:vMerge w:val="restart"/>
          </w:tcPr>
          <w:p>
            <w:pPr>
              <w:spacing w:after="0"/>
              <w:rPr>
                <w:rFonts w:ascii="Arial" w:cs="Arial" w:eastAsia="Arial" w:hAnsi="Arial"/>
                <w:sz w:val="14"/>
                <w:szCs w:val="14"/>
                <w:color w:val="0000FF"/>
                <w:w w:val="95"/>
              </w:rPr>
            </w:pPr>
            <w:hyperlink r:id="rId578">
              <w:r>
                <w:rPr>
                  <w:rFonts w:ascii="Arial" w:cs="Arial" w:eastAsia="Arial" w:hAnsi="Arial"/>
                  <w:sz w:val="14"/>
                  <w:szCs w:val="14"/>
                  <w:color w:val="0000FF"/>
                  <w:w w:val="95"/>
                </w:rPr>
                <w:t>Articles of Amendment</w:t>
              </w:r>
            </w:hyperlink>
          </w:p>
        </w:tc>
        <w:tc>
          <w:tcPr>
            <w:tcW w:w="100" w:type="dxa"/>
            <w:vAlign w:val="bottom"/>
            <w:tcBorders>
              <w:bottom w:val="single" w:sz="8" w:color="0000FF"/>
            </w:tcBorders>
            <w:gridSpan w:val="4"/>
          </w:tcPr>
          <w:p>
            <w:pPr>
              <w:spacing w:after="0"/>
              <w:rPr>
                <w:rFonts w:ascii="Arial" w:cs="Arial" w:eastAsia="Arial" w:hAnsi="Arial"/>
                <w:sz w:val="8"/>
                <w:szCs w:val="8"/>
                <w:color w:val="0000FF"/>
                <w:w w:val="81"/>
              </w:rPr>
            </w:pPr>
            <w:hyperlink r:id="rId578">
              <w:r>
                <w:rPr>
                  <w:rFonts w:ascii="Arial" w:cs="Arial" w:eastAsia="Arial" w:hAnsi="Arial"/>
                  <w:sz w:val="8"/>
                  <w:szCs w:val="8"/>
                  <w:color w:val="0000FF"/>
                  <w:w w:val="81"/>
                </w:rPr>
                <w:t>(6)</w:t>
              </w:r>
            </w:hyperlink>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40" w:type="dxa"/>
            <w:vAlign w:val="bottom"/>
            <w:gridSpan w:val="3"/>
            <w:vMerge w:val="restart"/>
          </w:tcPr>
          <w:p>
            <w:pPr>
              <w:spacing w:after="0"/>
              <w:rPr>
                <w:sz w:val="12"/>
                <w:szCs w:val="12"/>
                <w:color w:val="auto"/>
              </w:rPr>
            </w:pPr>
          </w:p>
        </w:tc>
        <w:tc>
          <w:tcPr>
            <w:tcW w:w="380" w:type="dxa"/>
            <w:vAlign w:val="bottom"/>
            <w:gridSpan w:val="6"/>
            <w:vMerge w:val="restart"/>
          </w:tcPr>
          <w:p>
            <w:pPr>
              <w:spacing w:after="0"/>
              <w:rPr>
                <w:sz w:val="12"/>
                <w:szCs w:val="12"/>
                <w:color w:val="auto"/>
              </w:rPr>
            </w:pPr>
          </w:p>
        </w:tc>
        <w:tc>
          <w:tcPr>
            <w:tcW w:w="2900" w:type="dxa"/>
            <w:vAlign w:val="bottom"/>
            <w:gridSpan w:val="7"/>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240" w:type="dxa"/>
            <w:vAlign w:val="bottom"/>
            <w:gridSpan w:val="3"/>
            <w:vMerge w:val="restart"/>
          </w:tcPr>
          <w:p>
            <w:pPr>
              <w:spacing w:after="0"/>
              <w:rPr>
                <w:sz w:val="12"/>
                <w:szCs w:val="12"/>
                <w:color w:val="auto"/>
              </w:rPr>
            </w:pPr>
          </w:p>
        </w:tc>
        <w:tc>
          <w:tcPr>
            <w:tcW w:w="700" w:type="dxa"/>
            <w:vAlign w:val="bottom"/>
            <w:gridSpan w:val="3"/>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Borders>
              <w:bottom w:val="single" w:sz="8" w:color="0000FF"/>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6"/>
            <w:vMerge w:val="continue"/>
          </w:tcPr>
          <w:p>
            <w:pPr>
              <w:spacing w:after="0"/>
              <w:rPr>
                <w:sz w:val="4"/>
                <w:szCs w:val="4"/>
                <w:color w:val="auto"/>
              </w:rPr>
            </w:pPr>
          </w:p>
        </w:tc>
        <w:tc>
          <w:tcPr>
            <w:tcW w:w="2900" w:type="dxa"/>
            <w:vAlign w:val="bottom"/>
            <w:gridSpan w:val="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3.3</w:t>
            </w:r>
          </w:p>
        </w:tc>
        <w:tc>
          <w:tcPr>
            <w:tcW w:w="160" w:type="dxa"/>
            <w:vAlign w:val="bottom"/>
          </w:tcPr>
          <w:p>
            <w:pPr>
              <w:spacing w:after="0"/>
              <w:rPr>
                <w:sz w:val="12"/>
                <w:szCs w:val="12"/>
                <w:color w:val="auto"/>
              </w:rPr>
            </w:pPr>
          </w:p>
        </w:tc>
        <w:tc>
          <w:tcPr>
            <w:tcW w:w="5040" w:type="dxa"/>
            <w:vAlign w:val="bottom"/>
            <w:gridSpan w:val="27"/>
            <w:vMerge w:val="restart"/>
          </w:tcPr>
          <w:p>
            <w:pPr>
              <w:spacing w:after="0"/>
              <w:rPr>
                <w:rFonts w:ascii="Arial" w:cs="Arial" w:eastAsia="Arial" w:hAnsi="Arial"/>
                <w:sz w:val="14"/>
                <w:szCs w:val="14"/>
                <w:color w:val="0000FF"/>
                <w:w w:val="94"/>
              </w:rPr>
            </w:pPr>
            <w:hyperlink r:id="rId579">
              <w:r>
                <w:rPr>
                  <w:rFonts w:ascii="Arial" w:cs="Arial" w:eastAsia="Arial" w:hAnsi="Arial"/>
                  <w:sz w:val="14"/>
                  <w:szCs w:val="14"/>
                  <w:color w:val="0000FF"/>
                  <w:w w:val="94"/>
                </w:rPr>
                <w:t>Certificate of Limited Partnership of CapitalSouth Partners Fund II Limited Partnership</w:t>
              </w:r>
            </w:hyperlink>
          </w:p>
        </w:tc>
        <w:tc>
          <w:tcPr>
            <w:tcW w:w="120" w:type="dxa"/>
            <w:vAlign w:val="bottom"/>
            <w:tcBorders>
              <w:bottom w:val="single" w:sz="8" w:color="0000FF"/>
            </w:tcBorders>
            <w:gridSpan w:val="4"/>
          </w:tcPr>
          <w:p>
            <w:pPr>
              <w:jc w:val="right"/>
              <w:spacing w:after="0"/>
              <w:rPr>
                <w:rFonts w:ascii="Arial" w:cs="Arial" w:eastAsia="Arial" w:hAnsi="Arial"/>
                <w:sz w:val="10"/>
                <w:szCs w:val="10"/>
                <w:color w:val="0000FF"/>
                <w:w w:val="81"/>
              </w:rPr>
            </w:pPr>
            <w:hyperlink r:id="rId579">
              <w:r>
                <w:rPr>
                  <w:rFonts w:ascii="Arial" w:cs="Arial" w:eastAsia="Arial" w:hAnsi="Arial"/>
                  <w:sz w:val="10"/>
                  <w:szCs w:val="10"/>
                  <w:color w:val="0000FF"/>
                  <w:w w:val="81"/>
                </w:rPr>
                <w:t>(2)</w:t>
              </w:r>
            </w:hyperlink>
          </w:p>
        </w:tc>
        <w:tc>
          <w:tcPr>
            <w:tcW w:w="2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240" w:type="dxa"/>
            <w:vAlign w:val="bottom"/>
            <w:gridSpan w:val="3"/>
            <w:vMerge w:val="restart"/>
          </w:tcPr>
          <w:p>
            <w:pPr>
              <w:spacing w:after="0"/>
              <w:rPr>
                <w:sz w:val="12"/>
                <w:szCs w:val="12"/>
                <w:color w:val="auto"/>
              </w:rPr>
            </w:pPr>
          </w:p>
        </w:tc>
        <w:tc>
          <w:tcPr>
            <w:tcW w:w="700" w:type="dxa"/>
            <w:vAlign w:val="bottom"/>
            <w:gridSpan w:val="3"/>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40" w:type="dxa"/>
            <w:vAlign w:val="bottom"/>
            <w:tcBorders>
              <w:bottom w:val="single" w:sz="8" w:color="0000FF"/>
            </w:tcBorders>
            <w:gridSpan w:val="27"/>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3.4</w:t>
            </w:r>
          </w:p>
        </w:tc>
        <w:tc>
          <w:tcPr>
            <w:tcW w:w="160" w:type="dxa"/>
            <w:vAlign w:val="bottom"/>
          </w:tcPr>
          <w:p>
            <w:pPr>
              <w:spacing w:after="0"/>
              <w:rPr>
                <w:sz w:val="12"/>
                <w:szCs w:val="12"/>
                <w:color w:val="auto"/>
              </w:rPr>
            </w:pPr>
          </w:p>
        </w:tc>
        <w:tc>
          <w:tcPr>
            <w:tcW w:w="6540" w:type="dxa"/>
            <w:vAlign w:val="bottom"/>
            <w:gridSpan w:val="37"/>
            <w:vMerge w:val="restart"/>
          </w:tcPr>
          <w:p>
            <w:pPr>
              <w:spacing w:after="0"/>
              <w:rPr>
                <w:rFonts w:ascii="Arial" w:cs="Arial" w:eastAsia="Arial" w:hAnsi="Arial"/>
                <w:sz w:val="14"/>
                <w:szCs w:val="14"/>
                <w:color w:val="0000FF"/>
                <w:w w:val="94"/>
              </w:rPr>
            </w:pPr>
            <w:hyperlink r:id="rId580">
              <w:r>
                <w:rPr>
                  <w:rFonts w:ascii="Arial" w:cs="Arial" w:eastAsia="Arial" w:hAnsi="Arial"/>
                  <w:sz w:val="14"/>
                  <w:szCs w:val="14"/>
                  <w:color w:val="0000FF"/>
                  <w:w w:val="94"/>
                </w:rPr>
                <w:t>Certificate of Limited Partnership of CapitalSouth Fund III, L.P. (f/k/a CapitalSouth Partners SBIC Fund III, L.P.)</w:t>
              </w:r>
            </w:hyperlink>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81"/>
              </w:rPr>
              <w:t>(2)</w:t>
            </w:r>
          </w:p>
        </w:tc>
        <w:tc>
          <w:tcPr>
            <w:tcW w:w="240" w:type="dxa"/>
            <w:vAlign w:val="bottom"/>
            <w:gridSpan w:val="3"/>
            <w:vMerge w:val="restart"/>
          </w:tcPr>
          <w:p>
            <w:pPr>
              <w:spacing w:after="0"/>
              <w:rPr>
                <w:sz w:val="12"/>
                <w:szCs w:val="12"/>
                <w:color w:val="auto"/>
              </w:rPr>
            </w:pPr>
          </w:p>
        </w:tc>
        <w:tc>
          <w:tcPr>
            <w:tcW w:w="700" w:type="dxa"/>
            <w:vAlign w:val="bottom"/>
            <w:gridSpan w:val="3"/>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540" w:type="dxa"/>
            <w:vAlign w:val="bottom"/>
            <w:tcBorders>
              <w:bottom w:val="single" w:sz="8" w:color="0000FF"/>
            </w:tcBorders>
            <w:gridSpan w:val="37"/>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3.5</w:t>
            </w:r>
          </w:p>
        </w:tc>
        <w:tc>
          <w:tcPr>
            <w:tcW w:w="160" w:type="dxa"/>
            <w:vAlign w:val="bottom"/>
          </w:tcPr>
          <w:p>
            <w:pPr>
              <w:spacing w:after="0"/>
              <w:rPr>
                <w:sz w:val="12"/>
                <w:szCs w:val="12"/>
                <w:color w:val="auto"/>
              </w:rPr>
            </w:pPr>
          </w:p>
        </w:tc>
        <w:tc>
          <w:tcPr>
            <w:tcW w:w="420" w:type="dxa"/>
            <w:vAlign w:val="bottom"/>
            <w:vMerge w:val="restart"/>
          </w:tcPr>
          <w:p>
            <w:pPr>
              <w:spacing w:after="0"/>
              <w:rPr>
                <w:rFonts w:ascii="Arial" w:cs="Arial" w:eastAsia="Arial" w:hAnsi="Arial"/>
                <w:sz w:val="14"/>
                <w:szCs w:val="14"/>
                <w:color w:val="0000FF"/>
                <w:w w:val="90"/>
              </w:rPr>
            </w:pPr>
            <w:hyperlink r:id="rId581">
              <w:r>
                <w:rPr>
                  <w:rFonts w:ascii="Arial" w:cs="Arial" w:eastAsia="Arial" w:hAnsi="Arial"/>
                  <w:sz w:val="14"/>
                  <w:szCs w:val="14"/>
                  <w:color w:val="0000FF"/>
                  <w:w w:val="90"/>
                </w:rPr>
                <w:t>Bylaws</w:t>
              </w:r>
            </w:hyperlink>
          </w:p>
        </w:tc>
        <w:tc>
          <w:tcPr>
            <w:tcW w:w="120" w:type="dxa"/>
            <w:vAlign w:val="bottom"/>
            <w:tcBorders>
              <w:bottom w:val="single" w:sz="8" w:color="0000FF"/>
            </w:tcBorders>
            <w:gridSpan w:val="2"/>
          </w:tcPr>
          <w:p>
            <w:pPr>
              <w:jc w:val="right"/>
              <w:spacing w:after="0"/>
              <w:rPr>
                <w:rFonts w:ascii="Arial" w:cs="Arial" w:eastAsia="Arial" w:hAnsi="Arial"/>
                <w:sz w:val="10"/>
                <w:szCs w:val="10"/>
                <w:color w:val="0000FF"/>
                <w:w w:val="81"/>
              </w:rPr>
            </w:pPr>
            <w:hyperlink r:id="rId581">
              <w:r>
                <w:rPr>
                  <w:rFonts w:ascii="Arial" w:cs="Arial" w:eastAsia="Arial" w:hAnsi="Arial"/>
                  <w:sz w:val="10"/>
                  <w:szCs w:val="10"/>
                  <w:color w:val="0000FF"/>
                  <w:w w:val="81"/>
                </w:rPr>
                <w:t>(1)</w:t>
              </w:r>
            </w:hyperlink>
          </w:p>
        </w:tc>
        <w:tc>
          <w:tcPr>
            <w:tcW w:w="120" w:type="dxa"/>
            <w:vAlign w:val="bottom"/>
            <w:gridSpan w:val="2"/>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660" w:type="dxa"/>
            <w:vAlign w:val="bottom"/>
            <w:gridSpan w:val="7"/>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40" w:type="dxa"/>
            <w:vAlign w:val="bottom"/>
            <w:gridSpan w:val="3"/>
            <w:vMerge w:val="restart"/>
          </w:tcPr>
          <w:p>
            <w:pPr>
              <w:spacing w:after="0"/>
              <w:rPr>
                <w:sz w:val="12"/>
                <w:szCs w:val="12"/>
                <w:color w:val="auto"/>
              </w:rPr>
            </w:pPr>
          </w:p>
        </w:tc>
        <w:tc>
          <w:tcPr>
            <w:tcW w:w="380" w:type="dxa"/>
            <w:vAlign w:val="bottom"/>
            <w:gridSpan w:val="6"/>
            <w:vMerge w:val="restart"/>
          </w:tcPr>
          <w:p>
            <w:pPr>
              <w:spacing w:after="0"/>
              <w:rPr>
                <w:sz w:val="12"/>
                <w:szCs w:val="12"/>
                <w:color w:val="auto"/>
              </w:rPr>
            </w:pPr>
          </w:p>
        </w:tc>
        <w:tc>
          <w:tcPr>
            <w:tcW w:w="292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640" w:type="dxa"/>
            <w:vAlign w:val="bottom"/>
            <w:gridSpan w:val="5"/>
            <w:vMerge w:val="restart"/>
          </w:tcPr>
          <w:p>
            <w:pPr>
              <w:spacing w:after="0"/>
              <w:rPr>
                <w:sz w:val="12"/>
                <w:szCs w:val="12"/>
                <w:color w:val="auto"/>
              </w:rPr>
            </w:pPr>
          </w:p>
        </w:tc>
        <w:tc>
          <w:tcPr>
            <w:tcW w:w="700" w:type="dxa"/>
            <w:vAlign w:val="bottom"/>
            <w:gridSpan w:val="3"/>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bottom w:val="single" w:sz="8" w:color="0000FF"/>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60" w:type="dxa"/>
            <w:vAlign w:val="bottom"/>
            <w:gridSpan w:val="7"/>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6"/>
            <w:vMerge w:val="continue"/>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40" w:type="dxa"/>
            <w:vAlign w:val="bottom"/>
            <w:gridSpan w:val="5"/>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160" w:type="dxa"/>
            <w:vAlign w:val="bottom"/>
          </w:tcPr>
          <w:p>
            <w:pPr>
              <w:spacing w:after="0"/>
              <w:rPr>
                <w:sz w:val="12"/>
                <w:szCs w:val="12"/>
                <w:color w:val="auto"/>
              </w:rPr>
            </w:pPr>
          </w:p>
        </w:tc>
        <w:tc>
          <w:tcPr>
            <w:tcW w:w="6780" w:type="dxa"/>
            <w:vAlign w:val="bottom"/>
            <w:gridSpan w:val="39"/>
            <w:vMerge w:val="restart"/>
          </w:tcPr>
          <w:p>
            <w:pPr>
              <w:spacing w:after="0"/>
              <w:rPr>
                <w:rFonts w:ascii="Arial" w:cs="Arial" w:eastAsia="Arial" w:hAnsi="Arial"/>
                <w:sz w:val="14"/>
                <w:szCs w:val="14"/>
                <w:color w:val="0000FF"/>
                <w:w w:val="93"/>
              </w:rPr>
            </w:pPr>
            <w:hyperlink r:id="rId582">
              <w:r>
                <w:rPr>
                  <w:rFonts w:ascii="Arial" w:cs="Arial" w:eastAsia="Arial" w:hAnsi="Arial"/>
                  <w:sz w:val="14"/>
                  <w:szCs w:val="14"/>
                  <w:color w:val="0000FF"/>
                  <w:w w:val="93"/>
                </w:rPr>
                <w:t>Form of Amended and Restated Limited Partnership Agreement of CapitalSouth Partners Fund II Limited Partnership</w:t>
              </w:r>
            </w:hyperlink>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0"/>
                <w:szCs w:val="10"/>
                <w:color w:val="0000FF"/>
                <w:w w:val="81"/>
              </w:rPr>
              <w:t>(3)</w:t>
            </w:r>
          </w:p>
        </w:tc>
        <w:tc>
          <w:tcPr>
            <w:tcW w:w="700" w:type="dxa"/>
            <w:vAlign w:val="bottom"/>
            <w:gridSpan w:val="3"/>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80" w:type="dxa"/>
            <w:vAlign w:val="bottom"/>
            <w:gridSpan w:val="2"/>
            <w:vMerge w:val="restart"/>
          </w:tcPr>
          <w:p>
            <w:pPr>
              <w:spacing w:after="0"/>
              <w:rPr>
                <w:sz w:val="12"/>
                <w:szCs w:val="12"/>
                <w:color w:val="auto"/>
              </w:rPr>
            </w:pPr>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780" w:type="dxa"/>
            <w:vAlign w:val="bottom"/>
            <w:tcBorders>
              <w:bottom w:val="single" w:sz="8" w:color="0000FF"/>
            </w:tcBorders>
            <w:gridSpan w:val="3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3.7</w:t>
            </w:r>
          </w:p>
        </w:tc>
        <w:tc>
          <w:tcPr>
            <w:tcW w:w="160" w:type="dxa"/>
            <w:vAlign w:val="bottom"/>
          </w:tcPr>
          <w:p>
            <w:pPr>
              <w:spacing w:after="0"/>
              <w:rPr>
                <w:sz w:val="12"/>
                <w:szCs w:val="12"/>
                <w:color w:val="auto"/>
              </w:rPr>
            </w:pPr>
          </w:p>
        </w:tc>
        <w:tc>
          <w:tcPr>
            <w:tcW w:w="8460" w:type="dxa"/>
            <w:vAlign w:val="bottom"/>
            <w:gridSpan w:val="47"/>
            <w:vMerge w:val="restart"/>
          </w:tcPr>
          <w:p>
            <w:pPr>
              <w:spacing w:after="0"/>
              <w:rPr>
                <w:rFonts w:ascii="Arial" w:cs="Arial" w:eastAsia="Arial" w:hAnsi="Arial"/>
                <w:sz w:val="14"/>
                <w:szCs w:val="14"/>
                <w:color w:val="0000FF"/>
                <w:w w:val="94"/>
              </w:rPr>
            </w:pPr>
            <w:hyperlink r:id="rId583">
              <w:r>
                <w:rPr>
                  <w:rFonts w:ascii="Arial" w:cs="Arial" w:eastAsia="Arial" w:hAnsi="Arial"/>
                  <w:sz w:val="14"/>
                  <w:szCs w:val="14"/>
                  <w:color w:val="0000FF"/>
                  <w:w w:val="94"/>
                </w:rPr>
                <w:t>Form of Amended and Restated Agreement of Limited Partnership of CapitalSouth Fund III, L.P. (f/k/a CapitalSouth Partners SBIC Fund III, L.P.)</w:t>
              </w:r>
            </w:hyperlink>
          </w:p>
        </w:tc>
        <w:tc>
          <w:tcPr>
            <w:tcW w:w="100" w:type="dxa"/>
            <w:vAlign w:val="bottom"/>
            <w:tcBorders>
              <w:bottom w:val="single" w:sz="8" w:color="0000FF"/>
            </w:tcBorders>
          </w:tcPr>
          <w:p>
            <w:pPr>
              <w:jc w:val="right"/>
              <w:spacing w:after="0"/>
              <w:rPr>
                <w:rFonts w:ascii="Arial" w:cs="Arial" w:eastAsia="Arial" w:hAnsi="Arial"/>
                <w:sz w:val="8"/>
                <w:szCs w:val="8"/>
                <w:color w:val="0000FF"/>
                <w:w w:val="81"/>
              </w:rPr>
            </w:pPr>
            <w:hyperlink r:id="rId583">
              <w:r>
                <w:rPr>
                  <w:rFonts w:ascii="Arial" w:cs="Arial" w:eastAsia="Arial" w:hAnsi="Arial"/>
                  <w:sz w:val="8"/>
                  <w:szCs w:val="8"/>
                  <w:color w:val="0000FF"/>
                  <w:w w:val="81"/>
                </w:rPr>
                <w:t>(3)</w:t>
              </w:r>
            </w:hyperlink>
          </w:p>
        </w:tc>
        <w:tc>
          <w:tcPr>
            <w:tcW w:w="18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460" w:type="dxa"/>
            <w:vAlign w:val="bottom"/>
            <w:tcBorders>
              <w:bottom w:val="single" w:sz="8" w:color="0000FF"/>
            </w:tcBorders>
            <w:gridSpan w:val="47"/>
            <w:vMerge w:val="continue"/>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4.1</w:t>
            </w:r>
          </w:p>
        </w:tc>
        <w:tc>
          <w:tcPr>
            <w:tcW w:w="160" w:type="dxa"/>
            <w:vAlign w:val="bottom"/>
          </w:tcPr>
          <w:p>
            <w:pPr>
              <w:spacing w:after="0"/>
              <w:rPr>
                <w:sz w:val="12"/>
                <w:szCs w:val="12"/>
                <w:color w:val="auto"/>
              </w:rPr>
            </w:pPr>
          </w:p>
        </w:tc>
        <w:tc>
          <w:tcPr>
            <w:tcW w:w="2040" w:type="dxa"/>
            <w:vAlign w:val="bottom"/>
            <w:gridSpan w:val="19"/>
            <w:vMerge w:val="restart"/>
          </w:tcPr>
          <w:p>
            <w:pPr>
              <w:spacing w:after="0"/>
              <w:rPr>
                <w:rFonts w:ascii="Arial" w:cs="Arial" w:eastAsia="Arial" w:hAnsi="Arial"/>
                <w:sz w:val="14"/>
                <w:szCs w:val="14"/>
                <w:color w:val="0000FF"/>
                <w:w w:val="94"/>
              </w:rPr>
            </w:pPr>
            <w:hyperlink r:id="rId584">
              <w:r>
                <w:rPr>
                  <w:rFonts w:ascii="Arial" w:cs="Arial" w:eastAsia="Arial" w:hAnsi="Arial"/>
                  <w:sz w:val="14"/>
                  <w:szCs w:val="14"/>
                  <w:color w:val="0000FF"/>
                  <w:w w:val="94"/>
                </w:rPr>
                <w:t>Form of Common Stock Certificate</w:t>
              </w:r>
            </w:hyperlink>
          </w:p>
        </w:tc>
        <w:tc>
          <w:tcPr>
            <w:tcW w:w="120" w:type="dxa"/>
            <w:vAlign w:val="bottom"/>
            <w:tcBorders>
              <w:bottom w:val="single" w:sz="8" w:color="0000FF"/>
            </w:tcBorders>
            <w:gridSpan w:val="3"/>
          </w:tcPr>
          <w:p>
            <w:pPr>
              <w:jc w:val="right"/>
              <w:spacing w:after="0"/>
              <w:rPr>
                <w:rFonts w:ascii="Arial" w:cs="Arial" w:eastAsia="Arial" w:hAnsi="Arial"/>
                <w:sz w:val="10"/>
                <w:szCs w:val="10"/>
                <w:color w:val="0000FF"/>
                <w:w w:val="81"/>
              </w:rPr>
            </w:pPr>
            <w:hyperlink r:id="rId584">
              <w:r>
                <w:rPr>
                  <w:rFonts w:ascii="Arial" w:cs="Arial" w:eastAsia="Arial" w:hAnsi="Arial"/>
                  <w:sz w:val="10"/>
                  <w:szCs w:val="10"/>
                  <w:color w:val="0000FF"/>
                  <w:w w:val="81"/>
                </w:rPr>
                <w:t>(1)</w:t>
              </w:r>
            </w:hyperlink>
          </w:p>
        </w:tc>
        <w:tc>
          <w:tcPr>
            <w:tcW w:w="100" w:type="dxa"/>
            <w:vAlign w:val="bottom"/>
            <w:gridSpan w:val="2"/>
            <w:vMerge w:val="restart"/>
          </w:tcPr>
          <w:p>
            <w:pPr>
              <w:spacing w:after="0"/>
              <w:rPr>
                <w:sz w:val="12"/>
                <w:szCs w:val="12"/>
                <w:color w:val="auto"/>
              </w:rPr>
            </w:pPr>
          </w:p>
        </w:tc>
        <w:tc>
          <w:tcPr>
            <w:tcW w:w="292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134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40" w:type="dxa"/>
            <w:vAlign w:val="bottom"/>
            <w:tcBorders>
              <w:bottom w:val="single" w:sz="8" w:color="0000FF"/>
            </w:tcBorders>
            <w:gridSpan w:val="19"/>
            <w:vMerge w:val="continue"/>
          </w:tcPr>
          <w:p>
            <w:pPr>
              <w:spacing w:after="0"/>
              <w:rPr>
                <w:sz w:val="4"/>
                <w:szCs w:val="4"/>
                <w:color w:val="auto"/>
              </w:rPr>
            </w:pPr>
          </w:p>
        </w:tc>
        <w:tc>
          <w:tcPr>
            <w:tcW w:w="120" w:type="dxa"/>
            <w:vAlign w:val="bottom"/>
            <w:gridSpan w:val="3"/>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2"/>
              </w:rPr>
              <w:t>4.2</w:t>
            </w:r>
          </w:p>
        </w:tc>
        <w:tc>
          <w:tcPr>
            <w:tcW w:w="160" w:type="dxa"/>
            <w:vAlign w:val="bottom"/>
          </w:tcPr>
          <w:p>
            <w:pPr>
              <w:spacing w:after="0"/>
              <w:rPr>
                <w:sz w:val="12"/>
                <w:szCs w:val="12"/>
                <w:color w:val="auto"/>
              </w:rPr>
            </w:pPr>
          </w:p>
        </w:tc>
        <w:tc>
          <w:tcPr>
            <w:tcW w:w="1380" w:type="dxa"/>
            <w:vAlign w:val="bottom"/>
            <w:gridSpan w:val="10"/>
            <w:vMerge w:val="restart"/>
          </w:tcPr>
          <w:p>
            <w:pPr>
              <w:spacing w:after="0"/>
              <w:rPr>
                <w:rFonts w:ascii="Arial" w:cs="Arial" w:eastAsia="Arial" w:hAnsi="Arial"/>
                <w:sz w:val="14"/>
                <w:szCs w:val="14"/>
                <w:color w:val="0000FF"/>
                <w:w w:val="92"/>
              </w:rPr>
            </w:pPr>
            <w:hyperlink r:id="rId585">
              <w:r>
                <w:rPr>
                  <w:rFonts w:ascii="Arial" w:cs="Arial" w:eastAsia="Arial" w:hAnsi="Arial"/>
                  <w:sz w:val="14"/>
                  <w:szCs w:val="14"/>
                  <w:color w:val="0000FF"/>
                  <w:w w:val="92"/>
                </w:rPr>
                <w:t>Form of Base Indenture</w:t>
              </w:r>
            </w:hyperlink>
          </w:p>
        </w:tc>
        <w:tc>
          <w:tcPr>
            <w:tcW w:w="100" w:type="dxa"/>
            <w:vAlign w:val="bottom"/>
            <w:tcBorders>
              <w:bottom w:val="single" w:sz="8" w:color="0000FF"/>
            </w:tcBorders>
            <w:gridSpan w:val="4"/>
          </w:tcPr>
          <w:p>
            <w:pPr>
              <w:spacing w:after="0"/>
              <w:rPr>
                <w:rFonts w:ascii="Arial" w:cs="Arial" w:eastAsia="Arial" w:hAnsi="Arial"/>
                <w:sz w:val="8"/>
                <w:szCs w:val="8"/>
                <w:color w:val="0000FF"/>
                <w:w w:val="81"/>
              </w:rPr>
            </w:pPr>
            <w:hyperlink r:id="rId585">
              <w:r>
                <w:rPr>
                  <w:rFonts w:ascii="Arial" w:cs="Arial" w:eastAsia="Arial" w:hAnsi="Arial"/>
                  <w:sz w:val="8"/>
                  <w:szCs w:val="8"/>
                  <w:color w:val="0000FF"/>
                  <w:w w:val="81"/>
                </w:rPr>
                <w:t>(4)</w:t>
              </w:r>
            </w:hyperlink>
          </w:p>
        </w:tc>
        <w:tc>
          <w:tcPr>
            <w:tcW w:w="60" w:type="dxa"/>
            <w:vAlign w:val="bottom"/>
            <w:vMerge w:val="restart"/>
          </w:tcPr>
          <w:p>
            <w:pPr>
              <w:spacing w:after="0"/>
              <w:rPr>
                <w:sz w:val="12"/>
                <w:szCs w:val="12"/>
                <w:color w:val="auto"/>
              </w:rPr>
            </w:pPr>
          </w:p>
        </w:tc>
        <w:tc>
          <w:tcPr>
            <w:tcW w:w="340" w:type="dxa"/>
            <w:vAlign w:val="bottom"/>
            <w:gridSpan w:val="3"/>
            <w:vMerge w:val="restart"/>
          </w:tcPr>
          <w:p>
            <w:pPr>
              <w:spacing w:after="0"/>
              <w:rPr>
                <w:sz w:val="12"/>
                <w:szCs w:val="12"/>
                <w:color w:val="auto"/>
              </w:rPr>
            </w:pPr>
          </w:p>
        </w:tc>
        <w:tc>
          <w:tcPr>
            <w:tcW w:w="380" w:type="dxa"/>
            <w:vAlign w:val="bottom"/>
            <w:gridSpan w:val="6"/>
            <w:vMerge w:val="restart"/>
          </w:tcPr>
          <w:p>
            <w:pPr>
              <w:spacing w:after="0"/>
              <w:rPr>
                <w:sz w:val="12"/>
                <w:szCs w:val="12"/>
                <w:color w:val="auto"/>
              </w:rPr>
            </w:pPr>
          </w:p>
        </w:tc>
        <w:tc>
          <w:tcPr>
            <w:tcW w:w="292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134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bottom w:val="single" w:sz="8" w:color="0000FF"/>
            </w:tcBorders>
            <w:gridSpan w:val="10"/>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6"/>
            <w:vMerge w:val="continue"/>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60" w:type="dxa"/>
            <w:vAlign w:val="bottom"/>
          </w:tcPr>
          <w:p>
            <w:pPr>
              <w:spacing w:after="0"/>
              <w:rPr>
                <w:sz w:val="17"/>
                <w:szCs w:val="17"/>
                <w:color w:val="auto"/>
              </w:rPr>
            </w:pPr>
          </w:p>
        </w:tc>
        <w:tc>
          <w:tcPr>
            <w:tcW w:w="10400" w:type="dxa"/>
            <w:vAlign w:val="bottom"/>
            <w:gridSpan w:val="56"/>
          </w:tcPr>
          <w:p>
            <w:pPr>
              <w:spacing w:after="0"/>
              <w:rPr>
                <w:rFonts w:ascii="Arial" w:cs="Arial" w:eastAsia="Arial" w:hAnsi="Arial"/>
                <w:sz w:val="14"/>
                <w:szCs w:val="14"/>
                <w:u w:val="single" w:color="auto"/>
                <w:color w:val="0000FF"/>
                <w:w w:val="94"/>
              </w:rPr>
            </w:pPr>
            <w:hyperlink r:id="rId586">
              <w:r>
                <w:rPr>
                  <w:rFonts w:ascii="Arial" w:cs="Arial" w:eastAsia="Arial" w:hAnsi="Arial"/>
                  <w:sz w:val="14"/>
                  <w:szCs w:val="14"/>
                  <w:u w:val="single" w:color="auto"/>
                  <w:color w:val="0000FF"/>
                  <w:w w:val="94"/>
                </w:rPr>
                <w:t>Form of Fourth Supplemental Indenture relating to the 5.25% notes due 2026, by and between the Registrant and U.S. Bank National Association, as trustee, including the form of</w:t>
              </w:r>
            </w:hyperlink>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6"/>
            <w:vMerge w:val="restart"/>
          </w:tcPr>
          <w:p>
            <w:pPr>
              <w:spacing w:after="0" w:line="149" w:lineRule="exact"/>
              <w:rPr>
                <w:rFonts w:ascii="Arial" w:cs="Arial" w:eastAsia="Arial" w:hAnsi="Arial"/>
                <w:sz w:val="14"/>
                <w:szCs w:val="14"/>
                <w:color w:val="0000FF"/>
                <w:w w:val="91"/>
              </w:rPr>
            </w:pPr>
            <w:hyperlink r:id="rId586">
              <w:r>
                <w:rPr>
                  <w:rFonts w:ascii="Arial" w:cs="Arial" w:eastAsia="Arial" w:hAnsi="Arial"/>
                  <w:sz w:val="14"/>
                  <w:szCs w:val="14"/>
                  <w:color w:val="0000FF"/>
                  <w:w w:val="91"/>
                </w:rPr>
                <w:t>Global Note</w:t>
              </w:r>
            </w:hyperlink>
          </w:p>
        </w:tc>
        <w:tc>
          <w:tcPr>
            <w:tcW w:w="120" w:type="dxa"/>
            <w:vAlign w:val="bottom"/>
            <w:tcBorders>
              <w:bottom w:val="single" w:sz="8" w:color="0000FF"/>
            </w:tcBorders>
          </w:tcPr>
          <w:p>
            <w:pPr>
              <w:spacing w:after="0" w:line="75" w:lineRule="exact"/>
              <w:rPr>
                <w:rFonts w:ascii="Arial" w:cs="Arial" w:eastAsia="Arial" w:hAnsi="Arial"/>
                <w:sz w:val="8"/>
                <w:szCs w:val="8"/>
                <w:color w:val="0000FF"/>
              </w:rPr>
            </w:pPr>
            <w:hyperlink r:id="rId586">
              <w:r>
                <w:rPr>
                  <w:rFonts w:ascii="Arial" w:cs="Arial" w:eastAsia="Arial" w:hAnsi="Arial"/>
                  <w:sz w:val="8"/>
                  <w:szCs w:val="8"/>
                  <w:color w:val="0000FF"/>
                </w:rPr>
                <w:t>(8)</w:t>
              </w:r>
            </w:hyperlink>
          </w:p>
        </w:tc>
        <w:tc>
          <w:tcPr>
            <w:tcW w:w="720" w:type="dxa"/>
            <w:vAlign w:val="bottom"/>
            <w:gridSpan w:val="8"/>
            <w:vMerge w:val="restart"/>
          </w:tcPr>
          <w:p>
            <w:pPr>
              <w:spacing w:after="0"/>
              <w:rPr>
                <w:sz w:val="8"/>
                <w:szCs w:val="8"/>
                <w:color w:val="auto"/>
              </w:rPr>
            </w:pPr>
          </w:p>
        </w:tc>
        <w:tc>
          <w:tcPr>
            <w:tcW w:w="340" w:type="dxa"/>
            <w:vAlign w:val="bottom"/>
            <w:gridSpan w:val="3"/>
            <w:vMerge w:val="restart"/>
          </w:tcPr>
          <w:p>
            <w:pPr>
              <w:spacing w:after="0"/>
              <w:rPr>
                <w:sz w:val="8"/>
                <w:szCs w:val="8"/>
                <w:color w:val="auto"/>
              </w:rPr>
            </w:pPr>
          </w:p>
        </w:tc>
        <w:tc>
          <w:tcPr>
            <w:tcW w:w="380" w:type="dxa"/>
            <w:vAlign w:val="bottom"/>
            <w:gridSpan w:val="6"/>
            <w:vMerge w:val="restart"/>
          </w:tcPr>
          <w:p>
            <w:pPr>
              <w:spacing w:after="0"/>
              <w:rPr>
                <w:sz w:val="8"/>
                <w:szCs w:val="8"/>
                <w:color w:val="auto"/>
              </w:rPr>
            </w:pPr>
          </w:p>
        </w:tc>
        <w:tc>
          <w:tcPr>
            <w:tcW w:w="2920" w:type="dxa"/>
            <w:vAlign w:val="bottom"/>
            <w:gridSpan w:val="8"/>
            <w:vMerge w:val="restart"/>
          </w:tcPr>
          <w:p>
            <w:pPr>
              <w:spacing w:after="0"/>
              <w:rPr>
                <w:sz w:val="8"/>
                <w:szCs w:val="8"/>
                <w:color w:val="auto"/>
              </w:rPr>
            </w:pPr>
          </w:p>
        </w:tc>
        <w:tc>
          <w:tcPr>
            <w:tcW w:w="680" w:type="dxa"/>
            <w:vAlign w:val="bottom"/>
            <w:gridSpan w:val="2"/>
            <w:vMerge w:val="restart"/>
          </w:tcPr>
          <w:p>
            <w:pPr>
              <w:spacing w:after="0"/>
              <w:rPr>
                <w:sz w:val="8"/>
                <w:szCs w:val="8"/>
                <w:color w:val="auto"/>
              </w:rPr>
            </w:pPr>
          </w:p>
        </w:tc>
        <w:tc>
          <w:tcPr>
            <w:tcW w:w="400" w:type="dxa"/>
            <w:vAlign w:val="bottom"/>
            <w:gridSpan w:val="2"/>
            <w:vMerge w:val="restart"/>
          </w:tcPr>
          <w:p>
            <w:pPr>
              <w:spacing w:after="0"/>
              <w:rPr>
                <w:sz w:val="8"/>
                <w:szCs w:val="8"/>
                <w:color w:val="auto"/>
              </w:rPr>
            </w:pPr>
          </w:p>
        </w:tc>
        <w:tc>
          <w:tcPr>
            <w:tcW w:w="1340" w:type="dxa"/>
            <w:vAlign w:val="bottom"/>
            <w:gridSpan w:val="8"/>
            <w:vMerge w:val="restart"/>
          </w:tcPr>
          <w:p>
            <w:pPr>
              <w:spacing w:after="0"/>
              <w:rPr>
                <w:sz w:val="8"/>
                <w:szCs w:val="8"/>
                <w:color w:val="auto"/>
              </w:rPr>
            </w:pPr>
          </w:p>
        </w:tc>
        <w:tc>
          <w:tcPr>
            <w:tcW w:w="680" w:type="dxa"/>
            <w:vAlign w:val="bottom"/>
            <w:gridSpan w:val="2"/>
            <w:vMerge w:val="restart"/>
          </w:tcPr>
          <w:p>
            <w:pPr>
              <w:spacing w:after="0"/>
              <w:rPr>
                <w:sz w:val="8"/>
                <w:szCs w:val="8"/>
                <w:color w:val="auto"/>
              </w:rPr>
            </w:pPr>
          </w:p>
        </w:tc>
        <w:tc>
          <w:tcPr>
            <w:tcW w:w="2040" w:type="dxa"/>
            <w:vAlign w:val="bottom"/>
            <w:gridSpan w:val="9"/>
            <w:vMerge w:val="restart"/>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bottom w:val="single" w:sz="8" w:color="0000FF"/>
            </w:tcBorders>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8"/>
            <w:vMerge w:val="continue"/>
          </w:tcPr>
          <w:p>
            <w:pPr>
              <w:spacing w:after="0"/>
              <w:rPr>
                <w:sz w:val="3"/>
                <w:szCs w:val="3"/>
                <w:color w:val="auto"/>
              </w:rPr>
            </w:pPr>
          </w:p>
        </w:tc>
        <w:tc>
          <w:tcPr>
            <w:tcW w:w="340" w:type="dxa"/>
            <w:vAlign w:val="bottom"/>
            <w:gridSpan w:val="3"/>
            <w:vMerge w:val="continue"/>
          </w:tcPr>
          <w:p>
            <w:pPr>
              <w:spacing w:after="0"/>
              <w:rPr>
                <w:sz w:val="3"/>
                <w:szCs w:val="3"/>
                <w:color w:val="auto"/>
              </w:rPr>
            </w:pPr>
          </w:p>
        </w:tc>
        <w:tc>
          <w:tcPr>
            <w:tcW w:w="380" w:type="dxa"/>
            <w:vAlign w:val="bottom"/>
            <w:gridSpan w:val="6"/>
            <w:vMerge w:val="continue"/>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340" w:type="dxa"/>
            <w:vAlign w:val="bottom"/>
            <w:gridSpan w:val="8"/>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2040" w:type="dxa"/>
            <w:vAlign w:val="bottom"/>
            <w:gridSpan w:val="9"/>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4.4</w:t>
            </w:r>
          </w:p>
        </w:tc>
        <w:tc>
          <w:tcPr>
            <w:tcW w:w="160" w:type="dxa"/>
            <w:vAlign w:val="bottom"/>
          </w:tcPr>
          <w:p>
            <w:pPr>
              <w:spacing w:after="0"/>
              <w:rPr>
                <w:sz w:val="7"/>
                <w:szCs w:val="7"/>
                <w:color w:val="auto"/>
              </w:rPr>
            </w:pPr>
          </w:p>
        </w:tc>
        <w:tc>
          <w:tcPr>
            <w:tcW w:w="700" w:type="dxa"/>
            <w:vAlign w:val="bottom"/>
            <w:gridSpan w:val="6"/>
            <w:vMerge w:val="restart"/>
          </w:tcPr>
          <w:p>
            <w:pPr>
              <w:spacing w:after="0" w:line="149" w:lineRule="exact"/>
              <w:rPr>
                <w:rFonts w:ascii="Arial" w:cs="Arial" w:eastAsia="Arial" w:hAnsi="Arial"/>
                <w:sz w:val="14"/>
                <w:szCs w:val="14"/>
                <w:color w:val="0000FF"/>
                <w:w w:val="97"/>
              </w:rPr>
            </w:pPr>
            <w:hyperlink r:id="rId587">
              <w:r>
                <w:rPr>
                  <w:rFonts w:ascii="Arial" w:cs="Arial" w:eastAsia="Arial" w:hAnsi="Arial"/>
                  <w:sz w:val="14"/>
                  <w:szCs w:val="14"/>
                  <w:color w:val="0000FF"/>
                  <w:w w:val="97"/>
                </w:rPr>
                <w:t>Description</w:t>
              </w:r>
            </w:hyperlink>
          </w:p>
        </w:tc>
        <w:tc>
          <w:tcPr>
            <w:tcW w:w="720" w:type="dxa"/>
            <w:vAlign w:val="bottom"/>
            <w:gridSpan w:val="6"/>
            <w:vMerge w:val="restart"/>
          </w:tcPr>
          <w:p>
            <w:pPr>
              <w:spacing w:after="0" w:line="149" w:lineRule="exact"/>
              <w:rPr>
                <w:rFonts w:ascii="Arial" w:cs="Arial" w:eastAsia="Arial" w:hAnsi="Arial"/>
                <w:sz w:val="14"/>
                <w:szCs w:val="14"/>
                <w:color w:val="0000FF"/>
                <w:w w:val="90"/>
              </w:rPr>
            </w:pPr>
            <w:hyperlink r:id="rId587">
              <w:r>
                <w:rPr>
                  <w:rFonts w:ascii="Arial" w:cs="Arial" w:eastAsia="Arial" w:hAnsi="Arial"/>
                  <w:sz w:val="14"/>
                  <w:szCs w:val="14"/>
                  <w:color w:val="0000FF"/>
                  <w:w w:val="90"/>
                </w:rPr>
                <w:t>of Securities</w:t>
              </w:r>
            </w:hyperlink>
          </w:p>
        </w:tc>
        <w:tc>
          <w:tcPr>
            <w:tcW w:w="120" w:type="dxa"/>
            <w:vAlign w:val="bottom"/>
            <w:tcBorders>
              <w:bottom w:val="single" w:sz="8" w:color="0000FF"/>
            </w:tcBorders>
            <w:gridSpan w:val="3"/>
          </w:tcPr>
          <w:p>
            <w:pPr>
              <w:jc w:val="right"/>
              <w:spacing w:after="0" w:line="61" w:lineRule="exact"/>
              <w:rPr>
                <w:rFonts w:ascii="Arial" w:cs="Arial" w:eastAsia="Arial" w:hAnsi="Arial"/>
                <w:sz w:val="7"/>
                <w:szCs w:val="7"/>
                <w:color w:val="0000FF"/>
              </w:rPr>
            </w:pPr>
            <w:hyperlink r:id="rId587">
              <w:r>
                <w:rPr>
                  <w:rFonts w:ascii="Arial" w:cs="Arial" w:eastAsia="Arial" w:hAnsi="Arial"/>
                  <w:sz w:val="7"/>
                  <w:szCs w:val="7"/>
                  <w:color w:val="0000FF"/>
                </w:rPr>
                <w:t>(9)</w:t>
              </w:r>
            </w:hyperlink>
          </w:p>
        </w:tc>
        <w:tc>
          <w:tcPr>
            <w:tcW w:w="340" w:type="dxa"/>
            <w:vAlign w:val="bottom"/>
            <w:gridSpan w:val="3"/>
            <w:vMerge w:val="restart"/>
          </w:tcPr>
          <w:p>
            <w:pPr>
              <w:spacing w:after="0"/>
              <w:rPr>
                <w:sz w:val="7"/>
                <w:szCs w:val="7"/>
                <w:color w:val="auto"/>
              </w:rPr>
            </w:pPr>
          </w:p>
        </w:tc>
        <w:tc>
          <w:tcPr>
            <w:tcW w:w="380" w:type="dxa"/>
            <w:vAlign w:val="bottom"/>
            <w:gridSpan w:val="6"/>
            <w:vMerge w:val="restart"/>
          </w:tcPr>
          <w:p>
            <w:pPr>
              <w:spacing w:after="0"/>
              <w:rPr>
                <w:sz w:val="7"/>
                <w:szCs w:val="7"/>
                <w:color w:val="auto"/>
              </w:rPr>
            </w:pPr>
          </w:p>
        </w:tc>
        <w:tc>
          <w:tcPr>
            <w:tcW w:w="2920" w:type="dxa"/>
            <w:vAlign w:val="bottom"/>
            <w:gridSpan w:val="8"/>
            <w:vMerge w:val="restart"/>
          </w:tcPr>
          <w:p>
            <w:pPr>
              <w:spacing w:after="0"/>
              <w:rPr>
                <w:sz w:val="7"/>
                <w:szCs w:val="7"/>
                <w:color w:val="auto"/>
              </w:rPr>
            </w:pPr>
          </w:p>
        </w:tc>
        <w:tc>
          <w:tcPr>
            <w:tcW w:w="680" w:type="dxa"/>
            <w:vAlign w:val="bottom"/>
            <w:gridSpan w:val="2"/>
            <w:vMerge w:val="restart"/>
          </w:tcPr>
          <w:p>
            <w:pPr>
              <w:spacing w:after="0"/>
              <w:rPr>
                <w:sz w:val="7"/>
                <w:szCs w:val="7"/>
                <w:color w:val="auto"/>
              </w:rPr>
            </w:pPr>
          </w:p>
        </w:tc>
        <w:tc>
          <w:tcPr>
            <w:tcW w:w="400" w:type="dxa"/>
            <w:vAlign w:val="bottom"/>
            <w:gridSpan w:val="2"/>
            <w:vMerge w:val="restart"/>
          </w:tcPr>
          <w:p>
            <w:pPr>
              <w:spacing w:after="0"/>
              <w:rPr>
                <w:sz w:val="7"/>
                <w:szCs w:val="7"/>
                <w:color w:val="auto"/>
              </w:rPr>
            </w:pPr>
          </w:p>
        </w:tc>
        <w:tc>
          <w:tcPr>
            <w:tcW w:w="1340" w:type="dxa"/>
            <w:vAlign w:val="bottom"/>
            <w:gridSpan w:val="8"/>
            <w:vMerge w:val="restart"/>
          </w:tcPr>
          <w:p>
            <w:pPr>
              <w:spacing w:after="0"/>
              <w:rPr>
                <w:sz w:val="7"/>
                <w:szCs w:val="7"/>
                <w:color w:val="auto"/>
              </w:rPr>
            </w:pPr>
          </w:p>
        </w:tc>
        <w:tc>
          <w:tcPr>
            <w:tcW w:w="680" w:type="dxa"/>
            <w:vAlign w:val="bottom"/>
            <w:gridSpan w:val="2"/>
            <w:vMerge w:val="restart"/>
          </w:tcPr>
          <w:p>
            <w:pPr>
              <w:spacing w:after="0"/>
              <w:rPr>
                <w:sz w:val="7"/>
                <w:szCs w:val="7"/>
                <w:color w:val="auto"/>
              </w:rPr>
            </w:pPr>
          </w:p>
        </w:tc>
        <w:tc>
          <w:tcPr>
            <w:tcW w:w="2120" w:type="dxa"/>
            <w:vAlign w:val="bottom"/>
            <w:gridSpan w:val="10"/>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bottom w:val="single" w:sz="8" w:color="0000FF"/>
            </w:tcBorders>
            <w:gridSpan w:val="6"/>
            <w:vMerge w:val="continue"/>
          </w:tcPr>
          <w:p>
            <w:pPr>
              <w:spacing w:after="0"/>
              <w:rPr>
                <w:sz w:val="4"/>
                <w:szCs w:val="4"/>
                <w:color w:val="auto"/>
              </w:rPr>
            </w:pPr>
          </w:p>
        </w:tc>
        <w:tc>
          <w:tcPr>
            <w:tcW w:w="720" w:type="dxa"/>
            <w:vAlign w:val="bottom"/>
            <w:tcBorders>
              <w:bottom w:val="single" w:sz="8" w:color="0000FF"/>
            </w:tcBorders>
            <w:gridSpan w:val="6"/>
            <w:vMerge w:val="continue"/>
          </w:tcPr>
          <w:p>
            <w:pPr>
              <w:spacing w:after="0"/>
              <w:rPr>
                <w:sz w:val="4"/>
                <w:szCs w:val="4"/>
                <w:color w:val="auto"/>
              </w:rPr>
            </w:pPr>
          </w:p>
        </w:tc>
        <w:tc>
          <w:tcPr>
            <w:tcW w:w="120" w:type="dxa"/>
            <w:vAlign w:val="bottom"/>
            <w:gridSpan w:val="3"/>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6"/>
            <w:vMerge w:val="continue"/>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160" w:type="dxa"/>
            <w:vAlign w:val="bottom"/>
          </w:tcPr>
          <w:p>
            <w:pPr>
              <w:spacing w:after="0"/>
              <w:rPr>
                <w:sz w:val="12"/>
                <w:szCs w:val="12"/>
                <w:color w:val="auto"/>
              </w:rPr>
            </w:pPr>
          </w:p>
        </w:tc>
        <w:tc>
          <w:tcPr>
            <w:tcW w:w="2160" w:type="dxa"/>
            <w:vAlign w:val="bottom"/>
            <w:gridSpan w:val="22"/>
            <w:vMerge w:val="restart"/>
          </w:tcPr>
          <w:p>
            <w:pPr>
              <w:spacing w:after="0"/>
              <w:rPr>
                <w:rFonts w:ascii="Arial" w:cs="Arial" w:eastAsia="Arial" w:hAnsi="Arial"/>
                <w:sz w:val="14"/>
                <w:szCs w:val="14"/>
                <w:color w:val="0000FF"/>
                <w:w w:val="93"/>
              </w:rPr>
            </w:pPr>
            <w:hyperlink r:id="rId588">
              <w:r>
                <w:rPr>
                  <w:rFonts w:ascii="Arial" w:cs="Arial" w:eastAsia="Arial" w:hAnsi="Arial"/>
                  <w:sz w:val="14"/>
                  <w:szCs w:val="14"/>
                  <w:color w:val="0000FF"/>
                  <w:w w:val="93"/>
                </w:rPr>
                <w:t>Form of Dividend Reinvestment Plan</w:t>
              </w:r>
            </w:hyperlink>
          </w:p>
        </w:tc>
        <w:tc>
          <w:tcPr>
            <w:tcW w:w="100" w:type="dxa"/>
            <w:vAlign w:val="bottom"/>
            <w:tcBorders>
              <w:bottom w:val="single" w:sz="8" w:color="0000FF"/>
            </w:tcBorders>
            <w:gridSpan w:val="2"/>
          </w:tcPr>
          <w:p>
            <w:pPr>
              <w:jc w:val="right"/>
              <w:spacing w:after="0"/>
              <w:rPr>
                <w:rFonts w:ascii="Arial" w:cs="Arial" w:eastAsia="Arial" w:hAnsi="Arial"/>
                <w:sz w:val="8"/>
                <w:szCs w:val="8"/>
                <w:color w:val="0000FF"/>
                <w:w w:val="81"/>
              </w:rPr>
            </w:pPr>
            <w:hyperlink r:id="rId588">
              <w:r>
                <w:rPr>
                  <w:rFonts w:ascii="Arial" w:cs="Arial" w:eastAsia="Arial" w:hAnsi="Arial"/>
                  <w:sz w:val="8"/>
                  <w:szCs w:val="8"/>
                  <w:color w:val="0000FF"/>
                  <w:w w:val="81"/>
                </w:rPr>
                <w:t>(1)</w:t>
              </w:r>
            </w:hyperlink>
          </w:p>
        </w:tc>
        <w:tc>
          <w:tcPr>
            <w:tcW w:w="292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134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Borders>
              <w:bottom w:val="single" w:sz="8" w:color="0000FF"/>
            </w:tcBorders>
            <w:gridSpan w:val="2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10.2</w:t>
            </w:r>
          </w:p>
        </w:tc>
        <w:tc>
          <w:tcPr>
            <w:tcW w:w="160" w:type="dxa"/>
            <w:vAlign w:val="bottom"/>
          </w:tcPr>
          <w:p>
            <w:pPr>
              <w:spacing w:after="0"/>
              <w:rPr>
                <w:sz w:val="12"/>
                <w:szCs w:val="12"/>
                <w:color w:val="auto"/>
              </w:rPr>
            </w:pPr>
          </w:p>
        </w:tc>
        <w:tc>
          <w:tcPr>
            <w:tcW w:w="6160" w:type="dxa"/>
            <w:vAlign w:val="bottom"/>
            <w:gridSpan w:val="35"/>
            <w:vMerge w:val="restart"/>
          </w:tcPr>
          <w:p>
            <w:pPr>
              <w:spacing w:after="0"/>
              <w:rPr>
                <w:rFonts w:ascii="Arial" w:cs="Arial" w:eastAsia="Arial" w:hAnsi="Arial"/>
                <w:sz w:val="14"/>
                <w:szCs w:val="14"/>
                <w:color w:val="0000FF"/>
                <w:w w:val="94"/>
              </w:rPr>
            </w:pPr>
            <w:hyperlink r:id="rId589">
              <w:r>
                <w:rPr>
                  <w:rFonts w:ascii="Arial" w:cs="Arial" w:eastAsia="Arial" w:hAnsi="Arial"/>
                  <w:sz w:val="14"/>
                  <w:szCs w:val="14"/>
                  <w:color w:val="0000FF"/>
                  <w:w w:val="94"/>
                </w:rPr>
                <w:t>Form of Investment Advisory Agreement by and between Registrant and Mount Logan Management, LLC</w:t>
              </w:r>
            </w:hyperlink>
          </w:p>
        </w:tc>
        <w:tc>
          <w:tcPr>
            <w:tcW w:w="100" w:type="dxa"/>
            <w:vAlign w:val="bottom"/>
            <w:tcBorders>
              <w:bottom w:val="single" w:sz="8" w:color="0000FF"/>
            </w:tcBorders>
          </w:tcPr>
          <w:p>
            <w:pPr>
              <w:jc w:val="right"/>
              <w:spacing w:after="0"/>
              <w:rPr>
                <w:rFonts w:ascii="Arial" w:cs="Arial" w:eastAsia="Arial" w:hAnsi="Arial"/>
                <w:sz w:val="8"/>
                <w:szCs w:val="8"/>
                <w:color w:val="0000FF"/>
                <w:w w:val="81"/>
              </w:rPr>
            </w:pPr>
            <w:hyperlink r:id="rId589">
              <w:r>
                <w:rPr>
                  <w:rFonts w:ascii="Arial" w:cs="Arial" w:eastAsia="Arial" w:hAnsi="Arial"/>
                  <w:sz w:val="8"/>
                  <w:szCs w:val="8"/>
                  <w:color w:val="0000FF"/>
                  <w:w w:val="81"/>
                </w:rPr>
                <w:t>(5)</w:t>
              </w:r>
            </w:hyperlink>
          </w:p>
        </w:tc>
        <w:tc>
          <w:tcPr>
            <w:tcW w:w="1340" w:type="dxa"/>
            <w:vAlign w:val="bottom"/>
            <w:gridSpan w:val="8"/>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160" w:type="dxa"/>
            <w:vAlign w:val="bottom"/>
            <w:tcBorders>
              <w:bottom w:val="single" w:sz="8" w:color="0000FF"/>
            </w:tcBorders>
            <w:gridSpan w:val="35"/>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8"/>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160" w:type="dxa"/>
            <w:vAlign w:val="bottom"/>
          </w:tcPr>
          <w:p>
            <w:pPr>
              <w:spacing w:after="0"/>
              <w:rPr>
                <w:sz w:val="12"/>
                <w:szCs w:val="12"/>
                <w:color w:val="auto"/>
              </w:rPr>
            </w:pPr>
          </w:p>
        </w:tc>
        <w:tc>
          <w:tcPr>
            <w:tcW w:w="1760" w:type="dxa"/>
            <w:vAlign w:val="bottom"/>
            <w:gridSpan w:val="16"/>
            <w:vMerge w:val="restart"/>
          </w:tcPr>
          <w:p>
            <w:pPr>
              <w:spacing w:after="0"/>
              <w:rPr>
                <w:rFonts w:ascii="Arial" w:cs="Arial" w:eastAsia="Arial" w:hAnsi="Arial"/>
                <w:sz w:val="14"/>
                <w:szCs w:val="14"/>
                <w:color w:val="0000FF"/>
                <w:w w:val="92"/>
              </w:rPr>
            </w:pPr>
            <w:hyperlink r:id="rId590">
              <w:r>
                <w:rPr>
                  <w:rFonts w:ascii="Arial" w:cs="Arial" w:eastAsia="Arial" w:hAnsi="Arial"/>
                  <w:sz w:val="14"/>
                  <w:szCs w:val="14"/>
                  <w:color w:val="0000FF"/>
                  <w:w w:val="92"/>
                </w:rPr>
                <w:t>Form of Custodian Agreement</w:t>
              </w:r>
            </w:hyperlink>
          </w:p>
        </w:tc>
        <w:tc>
          <w:tcPr>
            <w:tcW w:w="120" w:type="dxa"/>
            <w:vAlign w:val="bottom"/>
            <w:tcBorders>
              <w:bottom w:val="single" w:sz="8" w:color="0000FF"/>
            </w:tcBorders>
            <w:gridSpan w:val="2"/>
          </w:tcPr>
          <w:p>
            <w:pPr>
              <w:jc w:val="right"/>
              <w:spacing w:after="0"/>
              <w:rPr>
                <w:rFonts w:ascii="Arial" w:cs="Arial" w:eastAsia="Arial" w:hAnsi="Arial"/>
                <w:sz w:val="10"/>
                <w:szCs w:val="10"/>
                <w:color w:val="0000FF"/>
                <w:w w:val="81"/>
              </w:rPr>
            </w:pPr>
            <w:hyperlink r:id="rId590">
              <w:r>
                <w:rPr>
                  <w:rFonts w:ascii="Arial" w:cs="Arial" w:eastAsia="Arial" w:hAnsi="Arial"/>
                  <w:sz w:val="10"/>
                  <w:szCs w:val="10"/>
                  <w:color w:val="0000FF"/>
                  <w:w w:val="81"/>
                </w:rPr>
                <w:t>(1)</w:t>
              </w:r>
            </w:hyperlink>
          </w:p>
        </w:tc>
        <w:tc>
          <w:tcPr>
            <w:tcW w:w="3300" w:type="dxa"/>
            <w:vAlign w:val="bottom"/>
            <w:gridSpan w:val="14"/>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1740" w:type="dxa"/>
            <w:vAlign w:val="bottom"/>
            <w:gridSpan w:val="10"/>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760" w:type="dxa"/>
            <w:vAlign w:val="bottom"/>
            <w:tcBorders>
              <w:bottom w:val="single" w:sz="8" w:color="0000FF"/>
            </w:tcBorders>
            <w:gridSpan w:val="16"/>
            <w:vMerge w:val="continue"/>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gridSpan w:val="14"/>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740" w:type="dxa"/>
            <w:vAlign w:val="bottom"/>
            <w:gridSpan w:val="10"/>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10.4</w:t>
            </w:r>
          </w:p>
        </w:tc>
        <w:tc>
          <w:tcPr>
            <w:tcW w:w="160" w:type="dxa"/>
            <w:vAlign w:val="bottom"/>
          </w:tcPr>
          <w:p>
            <w:pPr>
              <w:spacing w:after="0"/>
              <w:rPr>
                <w:sz w:val="12"/>
                <w:szCs w:val="12"/>
                <w:color w:val="auto"/>
              </w:rPr>
            </w:pPr>
          </w:p>
        </w:tc>
        <w:tc>
          <w:tcPr>
            <w:tcW w:w="5720" w:type="dxa"/>
            <w:vAlign w:val="bottom"/>
            <w:gridSpan w:val="33"/>
            <w:vMerge w:val="restart"/>
          </w:tcPr>
          <w:p>
            <w:pPr>
              <w:spacing w:after="0"/>
              <w:rPr>
                <w:rFonts w:ascii="Arial" w:cs="Arial" w:eastAsia="Arial" w:hAnsi="Arial"/>
                <w:sz w:val="14"/>
                <w:szCs w:val="14"/>
                <w:color w:val="0000FF"/>
                <w:w w:val="93"/>
              </w:rPr>
            </w:pPr>
            <w:hyperlink r:id="rId591">
              <w:r>
                <w:rPr>
                  <w:rFonts w:ascii="Arial" w:cs="Arial" w:eastAsia="Arial" w:hAnsi="Arial"/>
                  <w:sz w:val="14"/>
                  <w:szCs w:val="14"/>
                  <w:color w:val="0000FF"/>
                  <w:w w:val="93"/>
                </w:rPr>
                <w:t>Form of Administration Agreement by and between Registrant and BC Partners Management LLC.</w:t>
              </w:r>
            </w:hyperlink>
          </w:p>
        </w:tc>
        <w:tc>
          <w:tcPr>
            <w:tcW w:w="140" w:type="dxa"/>
            <w:vAlign w:val="bottom"/>
            <w:tcBorders>
              <w:bottom w:val="single" w:sz="8" w:color="0000EE"/>
            </w:tcBorders>
          </w:tcPr>
          <w:p>
            <w:pPr>
              <w:jc w:val="right"/>
              <w:spacing w:after="0"/>
              <w:rPr>
                <w:rFonts w:ascii="Arial" w:cs="Arial" w:eastAsia="Arial" w:hAnsi="Arial"/>
                <w:sz w:val="10"/>
                <w:szCs w:val="10"/>
                <w:color w:val="0000FF"/>
                <w:w w:val="81"/>
              </w:rPr>
            </w:pPr>
            <w:hyperlink r:id="rId591">
              <w:r>
                <w:rPr>
                  <w:rFonts w:ascii="Arial" w:cs="Arial" w:eastAsia="Arial" w:hAnsi="Arial"/>
                  <w:sz w:val="10"/>
                  <w:szCs w:val="10"/>
                  <w:color w:val="0000FF"/>
                  <w:w w:val="81"/>
                </w:rPr>
                <w:t>(5)</w:t>
              </w:r>
            </w:hyperlink>
          </w:p>
        </w:tc>
        <w:tc>
          <w:tcPr>
            <w:tcW w:w="1740" w:type="dxa"/>
            <w:vAlign w:val="bottom"/>
            <w:gridSpan w:val="10"/>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720" w:type="dxa"/>
            <w:vAlign w:val="bottom"/>
            <w:tcBorders>
              <w:bottom w:val="single" w:sz="8" w:color="0000FF"/>
            </w:tcBorders>
            <w:gridSpan w:val="33"/>
            <w:vMerge w:val="continue"/>
          </w:tcPr>
          <w:p>
            <w:pPr>
              <w:spacing w:after="0"/>
              <w:rPr>
                <w:sz w:val="4"/>
                <w:szCs w:val="4"/>
                <w:color w:val="auto"/>
              </w:rPr>
            </w:pPr>
          </w:p>
        </w:tc>
        <w:tc>
          <w:tcPr>
            <w:tcW w:w="140" w:type="dxa"/>
            <w:vAlign w:val="bottom"/>
          </w:tcPr>
          <w:p>
            <w:pPr>
              <w:spacing w:after="0"/>
              <w:rPr>
                <w:sz w:val="4"/>
                <w:szCs w:val="4"/>
                <w:color w:val="auto"/>
              </w:rPr>
            </w:pPr>
          </w:p>
        </w:tc>
        <w:tc>
          <w:tcPr>
            <w:tcW w:w="1740" w:type="dxa"/>
            <w:vAlign w:val="bottom"/>
            <w:gridSpan w:val="10"/>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10.5</w:t>
            </w:r>
          </w:p>
        </w:tc>
        <w:tc>
          <w:tcPr>
            <w:tcW w:w="160" w:type="dxa"/>
            <w:vAlign w:val="bottom"/>
          </w:tcPr>
          <w:p>
            <w:pPr>
              <w:spacing w:after="0"/>
              <w:rPr>
                <w:sz w:val="12"/>
                <w:szCs w:val="12"/>
                <w:color w:val="auto"/>
              </w:rPr>
            </w:pPr>
          </w:p>
        </w:tc>
        <w:tc>
          <w:tcPr>
            <w:tcW w:w="5080" w:type="dxa"/>
            <w:vAlign w:val="bottom"/>
            <w:gridSpan w:val="29"/>
            <w:vMerge w:val="restart"/>
          </w:tcPr>
          <w:p>
            <w:pPr>
              <w:spacing w:after="0"/>
              <w:rPr>
                <w:rFonts w:ascii="Arial" w:cs="Arial" w:eastAsia="Arial" w:hAnsi="Arial"/>
                <w:sz w:val="14"/>
                <w:szCs w:val="14"/>
                <w:color w:val="0000FF"/>
                <w:w w:val="93"/>
              </w:rPr>
            </w:pPr>
            <w:hyperlink r:id="rId592">
              <w:r>
                <w:rPr>
                  <w:rFonts w:ascii="Arial" w:cs="Arial" w:eastAsia="Arial" w:hAnsi="Arial"/>
                  <w:sz w:val="14"/>
                  <w:szCs w:val="14"/>
                  <w:color w:val="0000FF"/>
                  <w:w w:val="93"/>
                </w:rPr>
                <w:t>Form of Indemnification Agreement by and between Registrant and each of its directors</w:t>
              </w:r>
            </w:hyperlink>
          </w:p>
        </w:tc>
        <w:tc>
          <w:tcPr>
            <w:tcW w:w="100" w:type="dxa"/>
            <w:vAlign w:val="bottom"/>
            <w:tcBorders>
              <w:bottom w:val="single" w:sz="8" w:color="0000FF"/>
            </w:tcBorders>
            <w:gridSpan w:val="3"/>
          </w:tcPr>
          <w:p>
            <w:pPr>
              <w:jc w:val="right"/>
              <w:spacing w:after="0"/>
              <w:rPr>
                <w:rFonts w:ascii="Arial" w:cs="Arial" w:eastAsia="Arial" w:hAnsi="Arial"/>
                <w:sz w:val="8"/>
                <w:szCs w:val="8"/>
                <w:color w:val="0000FF"/>
                <w:w w:val="81"/>
              </w:rPr>
            </w:pPr>
            <w:hyperlink r:id="rId592">
              <w:r>
                <w:rPr>
                  <w:rFonts w:ascii="Arial" w:cs="Arial" w:eastAsia="Arial" w:hAnsi="Arial"/>
                  <w:sz w:val="8"/>
                  <w:szCs w:val="8"/>
                  <w:color w:val="0000FF"/>
                  <w:w w:val="81"/>
                </w:rPr>
                <w:t>(1)</w:t>
              </w:r>
            </w:hyperlink>
          </w:p>
        </w:tc>
        <w:tc>
          <w:tcPr>
            <w:tcW w:w="2420" w:type="dxa"/>
            <w:vAlign w:val="bottom"/>
            <w:gridSpan w:val="12"/>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80" w:type="dxa"/>
            <w:vAlign w:val="bottom"/>
            <w:tcBorders>
              <w:bottom w:val="single" w:sz="8" w:color="0000FF"/>
            </w:tcBorders>
            <w:gridSpan w:val="2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gridSpan w:val="2"/>
          </w:tcPr>
          <w:p>
            <w:pPr>
              <w:spacing w:after="0"/>
              <w:rPr>
                <w:sz w:val="4"/>
                <w:szCs w:val="4"/>
                <w:color w:val="auto"/>
              </w:rPr>
            </w:pPr>
          </w:p>
        </w:tc>
        <w:tc>
          <w:tcPr>
            <w:tcW w:w="2420" w:type="dxa"/>
            <w:vAlign w:val="bottom"/>
            <w:gridSpan w:val="1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10.6</w:t>
            </w:r>
          </w:p>
        </w:tc>
        <w:tc>
          <w:tcPr>
            <w:tcW w:w="160" w:type="dxa"/>
            <w:vAlign w:val="bottom"/>
          </w:tcPr>
          <w:p>
            <w:pPr>
              <w:spacing w:after="0"/>
              <w:rPr>
                <w:sz w:val="12"/>
                <w:szCs w:val="12"/>
                <w:color w:val="auto"/>
              </w:rPr>
            </w:pPr>
          </w:p>
        </w:tc>
        <w:tc>
          <w:tcPr>
            <w:tcW w:w="7480" w:type="dxa"/>
            <w:vAlign w:val="bottom"/>
            <w:gridSpan w:val="42"/>
            <w:vMerge w:val="restart"/>
          </w:tcPr>
          <w:p>
            <w:pPr>
              <w:spacing w:after="0"/>
              <w:rPr>
                <w:rFonts w:ascii="Arial" w:cs="Arial" w:eastAsia="Arial" w:hAnsi="Arial"/>
                <w:sz w:val="14"/>
                <w:szCs w:val="14"/>
                <w:color w:val="0000FF"/>
                <w:w w:val="92"/>
              </w:rPr>
            </w:pPr>
            <w:hyperlink r:id="rId593">
              <w:r>
                <w:rPr>
                  <w:rFonts w:ascii="Arial" w:cs="Arial" w:eastAsia="Arial" w:hAnsi="Arial"/>
                  <w:sz w:val="14"/>
                  <w:szCs w:val="14"/>
                  <w:color w:val="0000FF"/>
                  <w:w w:val="92"/>
                </w:rPr>
                <w:t>Fee Waiver Agreement, dated as of July 1, 2021, between Logan Ridge Finance Corporation and Mount Logan Management LLC</w:t>
              </w:r>
            </w:hyperlink>
          </w:p>
        </w:tc>
        <w:tc>
          <w:tcPr>
            <w:tcW w:w="120" w:type="dxa"/>
            <w:vAlign w:val="bottom"/>
            <w:tcBorders>
              <w:bottom w:val="single" w:sz="8" w:color="0000FF"/>
            </w:tcBorders>
            <w:gridSpan w:val="2"/>
          </w:tcPr>
          <w:p>
            <w:pPr>
              <w:jc w:val="right"/>
              <w:spacing w:after="0"/>
              <w:rPr>
                <w:rFonts w:ascii="Arial" w:cs="Arial" w:eastAsia="Arial" w:hAnsi="Arial"/>
                <w:sz w:val="10"/>
                <w:szCs w:val="10"/>
                <w:color w:val="0000FF"/>
                <w:w w:val="81"/>
              </w:rPr>
            </w:pPr>
            <w:hyperlink r:id="rId593">
              <w:r>
                <w:rPr>
                  <w:rFonts w:ascii="Arial" w:cs="Arial" w:eastAsia="Arial" w:hAnsi="Arial"/>
                  <w:sz w:val="10"/>
                  <w:szCs w:val="10"/>
                  <w:color w:val="0000FF"/>
                  <w:w w:val="81"/>
                </w:rPr>
                <w:t>(5)</w:t>
              </w:r>
            </w:hyperlink>
          </w:p>
        </w:tc>
        <w:tc>
          <w:tcPr>
            <w:tcW w:w="680" w:type="dxa"/>
            <w:vAlign w:val="bottom"/>
            <w:gridSpan w:val="2"/>
            <w:vMerge w:val="restart"/>
          </w:tcPr>
          <w:p>
            <w:pPr>
              <w:spacing w:after="0"/>
              <w:rPr>
                <w:sz w:val="12"/>
                <w:szCs w:val="12"/>
                <w:color w:val="auto"/>
              </w:rPr>
            </w:pPr>
          </w:p>
        </w:tc>
        <w:tc>
          <w:tcPr>
            <w:tcW w:w="21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80" w:type="dxa"/>
            <w:vAlign w:val="bottom"/>
            <w:tcBorders>
              <w:bottom w:val="single" w:sz="8" w:color="0000FF"/>
            </w:tcBorders>
            <w:gridSpan w:val="4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60" w:type="dxa"/>
            <w:vAlign w:val="bottom"/>
          </w:tcPr>
          <w:p>
            <w:pPr>
              <w:spacing w:after="0"/>
              <w:rPr>
                <w:sz w:val="18"/>
                <w:szCs w:val="18"/>
                <w:color w:val="auto"/>
              </w:rPr>
            </w:pPr>
          </w:p>
        </w:tc>
        <w:tc>
          <w:tcPr>
            <w:tcW w:w="10400" w:type="dxa"/>
            <w:vAlign w:val="bottom"/>
            <w:gridSpan w:val="56"/>
          </w:tcPr>
          <w:p>
            <w:pPr>
              <w:spacing w:after="0"/>
              <w:rPr>
                <w:rFonts w:ascii="Arial" w:cs="Arial" w:eastAsia="Arial" w:hAnsi="Arial"/>
                <w:sz w:val="14"/>
                <w:szCs w:val="14"/>
                <w:color w:val="0000FF"/>
                <w:w w:val="95"/>
              </w:rPr>
            </w:pPr>
            <w:hyperlink r:id="rId594">
              <w:r>
                <w:rPr>
                  <w:rFonts w:ascii="Arial" w:cs="Arial" w:eastAsia="Arial" w:hAnsi="Arial"/>
                  <w:sz w:val="14"/>
                  <w:szCs w:val="14"/>
                  <w:color w:val="0000FF"/>
                  <w:w w:val="95"/>
                </w:rPr>
                <w:t>Third Amendment to Revolving Credit Facility, dated as of October 20, 2022, among Capitala Business Lending, LLC, as the borrower, Mount Logan Management, LLC, as the</w:t>
              </w:r>
            </w:hyperlink>
          </w:p>
        </w:tc>
        <w:tc>
          <w:tcPr>
            <w:tcW w:w="0" w:type="dxa"/>
            <w:vAlign w:val="bottom"/>
          </w:tcPr>
          <w:p>
            <w:pPr>
              <w:spacing w:after="0"/>
              <w:rPr>
                <w:sz w:val="1"/>
                <w:szCs w:val="1"/>
                <w:color w:val="auto"/>
              </w:rPr>
            </w:pPr>
          </w:p>
        </w:tc>
      </w:tr>
      <w:tr>
        <w:trPr>
          <w:trHeight w:val="115"/>
        </w:trPr>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20" w:type="dxa"/>
            <w:vAlign w:val="bottom"/>
            <w:tcBorders>
              <w:top w:val="single" w:sz="8" w:color="0000FF"/>
            </w:tcBorders>
            <w:gridSpan w:val="54"/>
          </w:tcPr>
          <w:p>
            <w:pPr>
              <w:spacing w:after="0" w:line="115" w:lineRule="exact"/>
              <w:rPr>
                <w:rFonts w:ascii="Arial" w:cs="Arial" w:eastAsia="Arial" w:hAnsi="Arial"/>
                <w:sz w:val="13"/>
                <w:szCs w:val="13"/>
                <w:u w:val="single" w:color="auto"/>
                <w:color w:val="0000FF"/>
              </w:rPr>
            </w:pPr>
            <w:hyperlink r:id="rId594">
              <w:r>
                <w:rPr>
                  <w:rFonts w:ascii="Arial" w:cs="Arial" w:eastAsia="Arial" w:hAnsi="Arial"/>
                  <w:sz w:val="13"/>
                  <w:szCs w:val="13"/>
                  <w:u w:val="single" w:color="auto"/>
                  <w:color w:val="0000FF"/>
                </w:rPr>
                <w:t>collateral manager, the lenders from to time to time parties thereto, KeyBank National Association, as the administrative agent, and U.S. Bank National Association, as the</w:t>
              </w:r>
            </w:hyperlink>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160" w:type="dxa"/>
            <w:vAlign w:val="bottom"/>
          </w:tcPr>
          <w:p>
            <w:pPr>
              <w:spacing w:after="0"/>
              <w:rPr>
                <w:sz w:val="8"/>
                <w:szCs w:val="8"/>
                <w:color w:val="auto"/>
              </w:rPr>
            </w:pPr>
          </w:p>
        </w:tc>
        <w:tc>
          <w:tcPr>
            <w:tcW w:w="560" w:type="dxa"/>
            <w:vAlign w:val="bottom"/>
            <w:gridSpan w:val="4"/>
            <w:vMerge w:val="restart"/>
          </w:tcPr>
          <w:p>
            <w:pPr>
              <w:spacing w:after="0" w:line="149" w:lineRule="exact"/>
              <w:rPr>
                <w:rFonts w:ascii="Arial" w:cs="Arial" w:eastAsia="Arial" w:hAnsi="Arial"/>
                <w:sz w:val="14"/>
                <w:szCs w:val="14"/>
                <w:color w:val="0000FF"/>
                <w:w w:val="90"/>
              </w:rPr>
            </w:pPr>
            <w:hyperlink r:id="rId594">
              <w:r>
                <w:rPr>
                  <w:rFonts w:ascii="Arial" w:cs="Arial" w:eastAsia="Arial" w:hAnsi="Arial"/>
                  <w:sz w:val="14"/>
                  <w:szCs w:val="14"/>
                  <w:color w:val="0000FF"/>
                  <w:w w:val="90"/>
                </w:rPr>
                <w:t>custodian</w:t>
              </w:r>
            </w:hyperlink>
          </w:p>
        </w:tc>
        <w:tc>
          <w:tcPr>
            <w:tcW w:w="100" w:type="dxa"/>
            <w:vAlign w:val="bottom"/>
            <w:tcBorders>
              <w:bottom w:val="single" w:sz="8" w:color="0000FF"/>
            </w:tcBorders>
          </w:tcPr>
          <w:p>
            <w:pPr>
              <w:jc w:val="right"/>
              <w:spacing w:after="0" w:line="75" w:lineRule="exact"/>
              <w:rPr>
                <w:rFonts w:ascii="Arial" w:cs="Arial" w:eastAsia="Arial" w:hAnsi="Arial"/>
                <w:sz w:val="8"/>
                <w:szCs w:val="8"/>
                <w:color w:val="0000FF"/>
                <w:w w:val="81"/>
              </w:rPr>
            </w:pPr>
            <w:hyperlink r:id="rId594">
              <w:r>
                <w:rPr>
                  <w:rFonts w:ascii="Arial" w:cs="Arial" w:eastAsia="Arial" w:hAnsi="Arial"/>
                  <w:sz w:val="8"/>
                  <w:szCs w:val="8"/>
                  <w:color w:val="0000FF"/>
                  <w:w w:val="81"/>
                </w:rPr>
                <w:t>(7)</w:t>
              </w:r>
            </w:hyperlink>
          </w:p>
        </w:tc>
        <w:tc>
          <w:tcPr>
            <w:tcW w:w="7620" w:type="dxa"/>
            <w:vAlign w:val="bottom"/>
            <w:gridSpan w:val="41"/>
            <w:vMerge w:val="restart"/>
          </w:tcPr>
          <w:p>
            <w:pPr>
              <w:spacing w:after="0"/>
              <w:rPr>
                <w:sz w:val="8"/>
                <w:szCs w:val="8"/>
                <w:color w:val="auto"/>
              </w:rPr>
            </w:pPr>
          </w:p>
        </w:tc>
        <w:tc>
          <w:tcPr>
            <w:tcW w:w="1600" w:type="dxa"/>
            <w:vAlign w:val="bottom"/>
            <w:gridSpan w:val="5"/>
            <w:vMerge w:val="restart"/>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0000FF"/>
            </w:tcBorders>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7620" w:type="dxa"/>
            <w:vAlign w:val="bottom"/>
            <w:gridSpan w:val="41"/>
            <w:vMerge w:val="continue"/>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180" w:type="dxa"/>
            <w:vAlign w:val="bottom"/>
            <w:gridSpan w:val="45"/>
            <w:vMerge w:val="restart"/>
          </w:tcPr>
          <w:p>
            <w:pPr>
              <w:spacing w:after="0" w:line="149" w:lineRule="exact"/>
              <w:rPr>
                <w:rFonts w:ascii="Arial" w:cs="Arial" w:eastAsia="Arial" w:hAnsi="Arial"/>
                <w:sz w:val="14"/>
                <w:szCs w:val="14"/>
                <w:color w:val="0000FF"/>
                <w:w w:val="92"/>
              </w:rPr>
            </w:pPr>
            <w:hyperlink r:id="rId595">
              <w:r>
                <w:rPr>
                  <w:rFonts w:ascii="Arial" w:cs="Arial" w:eastAsia="Arial" w:hAnsi="Arial"/>
                  <w:sz w:val="14"/>
                  <w:szCs w:val="14"/>
                  <w:color w:val="0000FF"/>
                  <w:w w:val="92"/>
                </w:rPr>
                <w:t>Note Purchase Agreement, dated as of April 1, 2022, by and among Logan Ridge Finance Corporation and the Purchasers (as defined therein)</w:t>
              </w:r>
            </w:hyperlink>
          </w:p>
        </w:tc>
        <w:tc>
          <w:tcPr>
            <w:tcW w:w="100" w:type="dxa"/>
            <w:vAlign w:val="bottom"/>
            <w:tcBorders>
              <w:bottom w:val="single" w:sz="8" w:color="0000FF"/>
            </w:tcBorders>
          </w:tcPr>
          <w:p>
            <w:pPr>
              <w:jc w:val="right"/>
              <w:spacing w:after="0" w:line="61" w:lineRule="exact"/>
              <w:rPr>
                <w:rFonts w:ascii="Arial" w:cs="Arial" w:eastAsia="Arial" w:hAnsi="Arial"/>
                <w:sz w:val="7"/>
                <w:szCs w:val="7"/>
                <w:color w:val="0000FF"/>
                <w:w w:val="92"/>
              </w:rPr>
            </w:pPr>
            <w:hyperlink r:id="rId595">
              <w:r>
                <w:rPr>
                  <w:rFonts w:ascii="Arial" w:cs="Arial" w:eastAsia="Arial" w:hAnsi="Arial"/>
                  <w:sz w:val="7"/>
                  <w:szCs w:val="7"/>
                  <w:color w:val="0000FF"/>
                  <w:w w:val="92"/>
                </w:rPr>
                <w:t>(8)</w:t>
              </w:r>
            </w:hyperlink>
          </w:p>
        </w:tc>
        <w:tc>
          <w:tcPr>
            <w:tcW w:w="2120" w:type="dxa"/>
            <w:vAlign w:val="bottom"/>
            <w:gridSpan w:val="10"/>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180" w:type="dxa"/>
            <w:vAlign w:val="bottom"/>
            <w:tcBorders>
              <w:bottom w:val="single" w:sz="8" w:color="0000FF"/>
            </w:tcBorders>
            <w:gridSpan w:val="45"/>
            <w:vMerge w:val="continue"/>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60" w:type="dxa"/>
            <w:vAlign w:val="bottom"/>
          </w:tcPr>
          <w:p>
            <w:pPr>
              <w:spacing w:after="0"/>
              <w:rPr>
                <w:sz w:val="18"/>
                <w:szCs w:val="18"/>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0000FF"/>
              </w:rPr>
              <w:t>Code of Ethics (filed herewith)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4"/>
                <w:szCs w:val="14"/>
                <w:color w:val="auto"/>
                <w:w w:val="95"/>
              </w:rPr>
              <w:t>21.1</w:t>
            </w:r>
          </w:p>
        </w:tc>
        <w:tc>
          <w:tcPr>
            <w:tcW w:w="160" w:type="dxa"/>
            <w:vAlign w:val="bottom"/>
          </w:tcPr>
          <w:p>
            <w:pPr>
              <w:spacing w:after="0"/>
              <w:rPr>
                <w:sz w:val="18"/>
                <w:szCs w:val="18"/>
                <w:color w:val="auto"/>
              </w:rPr>
            </w:pPr>
          </w:p>
        </w:tc>
        <w:tc>
          <w:tcPr>
            <w:tcW w:w="206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5"/>
              </w:rPr>
              <w:t>List of Subsidiaries (filed herewith)</w:t>
            </w:r>
          </w:p>
        </w:tc>
        <w:tc>
          <w:tcPr>
            <w:tcW w:w="20" w:type="dxa"/>
            <w:vAlign w:val="bottom"/>
            <w:tcBorders>
              <w:bottom w:val="single" w:sz="8" w:color="0000EE"/>
            </w:tcBorders>
          </w:tcPr>
          <w:p>
            <w:pPr>
              <w:spacing w:after="0"/>
              <w:rPr>
                <w:sz w:val="18"/>
                <w:szCs w:val="18"/>
                <w:color w:val="auto"/>
              </w:rPr>
            </w:pPr>
          </w:p>
        </w:tc>
        <w:tc>
          <w:tcPr>
            <w:tcW w:w="8320" w:type="dxa"/>
            <w:vAlign w:val="bottom"/>
            <w:gridSpan w:val="3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4"/>
                <w:szCs w:val="14"/>
                <w:color w:val="auto"/>
                <w:w w:val="95"/>
              </w:rPr>
              <w:t>31.1</w:t>
            </w:r>
          </w:p>
        </w:tc>
        <w:tc>
          <w:tcPr>
            <w:tcW w:w="160" w:type="dxa"/>
            <w:vAlign w:val="bottom"/>
          </w:tcPr>
          <w:p>
            <w:pPr>
              <w:spacing w:after="0"/>
              <w:rPr>
                <w:sz w:val="18"/>
                <w:szCs w:val="18"/>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0000FF"/>
                <w:w w:val="95"/>
              </w:rPr>
              <w:t>Certification of Chief Executive Officer pursuant to Rule 13a-14 of 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180" w:type="dxa"/>
            <w:vAlign w:val="bottom"/>
            <w:tcBorders>
              <w:top w:val="single" w:sz="8" w:color="0000FF"/>
            </w:tcBorders>
            <w:gridSpan w:val="53"/>
          </w:tcPr>
          <w:p>
            <w:pPr>
              <w:spacing w:after="0" w:line="129" w:lineRule="exact"/>
              <w:rPr>
                <w:sz w:val="20"/>
                <w:szCs w:val="20"/>
                <w:color w:val="auto"/>
              </w:rPr>
            </w:pPr>
            <w:r>
              <w:rPr>
                <w:rFonts w:ascii="Arial" w:cs="Arial" w:eastAsia="Arial" w:hAnsi="Arial"/>
                <w:sz w:val="14"/>
                <w:szCs w:val="14"/>
                <w:color w:val="0000FF"/>
              </w:rPr>
              <w:t>(filed herewith)</w:t>
            </w:r>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5"/>
              </w:rPr>
              <w:t>31.2</w:t>
            </w:r>
          </w:p>
        </w:tc>
        <w:tc>
          <w:tcPr>
            <w:tcW w:w="160" w:type="dxa"/>
            <w:vAlign w:val="bottom"/>
          </w:tcPr>
          <w:p>
            <w:pPr>
              <w:spacing w:after="0"/>
              <w:rPr>
                <w:sz w:val="12"/>
                <w:szCs w:val="12"/>
                <w:color w:val="auto"/>
              </w:rPr>
            </w:pPr>
          </w:p>
        </w:tc>
        <w:tc>
          <w:tcPr>
            <w:tcW w:w="940" w:type="dxa"/>
            <w:vAlign w:val="bottom"/>
            <w:tcBorders>
              <w:top w:val="single" w:sz="8" w:color="0000EE"/>
            </w:tcBorders>
            <w:gridSpan w:val="8"/>
          </w:tcPr>
          <w:p>
            <w:pPr>
              <w:spacing w:after="0" w:line="142" w:lineRule="exact"/>
              <w:rPr>
                <w:sz w:val="20"/>
                <w:szCs w:val="20"/>
                <w:color w:val="auto"/>
              </w:rPr>
            </w:pPr>
            <w:r>
              <w:rPr>
                <w:rFonts w:ascii="Arial" w:cs="Arial" w:eastAsia="Arial" w:hAnsi="Arial"/>
                <w:sz w:val="14"/>
                <w:szCs w:val="14"/>
                <w:color w:val="0000FF"/>
              </w:rPr>
              <w:t>Certification of</w:t>
            </w:r>
          </w:p>
        </w:tc>
        <w:tc>
          <w:tcPr>
            <w:tcW w:w="9460" w:type="dxa"/>
            <w:vAlign w:val="bottom"/>
            <w:gridSpan w:val="48"/>
          </w:tcPr>
          <w:p>
            <w:pPr>
              <w:spacing w:after="0" w:line="142" w:lineRule="exact"/>
              <w:rPr>
                <w:sz w:val="20"/>
                <w:szCs w:val="20"/>
                <w:color w:val="auto"/>
              </w:rPr>
            </w:pPr>
            <w:r>
              <w:rPr>
                <w:rFonts w:ascii="Arial" w:cs="Arial" w:eastAsia="Arial" w:hAnsi="Arial"/>
                <w:sz w:val="14"/>
                <w:szCs w:val="14"/>
                <w:color w:val="0000FF"/>
                <w:w w:val="95"/>
              </w:rPr>
              <w:t>Chief Financial Officer pursuant to Rule 13a-14 of 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5"/>
              </w:rPr>
              <w:t>32.1</w:t>
            </w:r>
          </w:p>
        </w:tc>
        <w:tc>
          <w:tcPr>
            <w:tcW w:w="160" w:type="dxa"/>
            <w:vAlign w:val="bottom"/>
          </w:tcPr>
          <w:p>
            <w:pPr>
              <w:spacing w:after="0"/>
              <w:rPr>
                <w:sz w:val="11"/>
                <w:szCs w:val="11"/>
                <w:color w:val="auto"/>
              </w:rPr>
            </w:pPr>
          </w:p>
        </w:tc>
        <w:tc>
          <w:tcPr>
            <w:tcW w:w="10140" w:type="dxa"/>
            <w:vAlign w:val="bottom"/>
            <w:tcBorders>
              <w:top w:val="single" w:sz="8" w:color="0000FF"/>
            </w:tcBorders>
            <w:gridSpan w:val="52"/>
          </w:tcPr>
          <w:p>
            <w:pPr>
              <w:spacing w:after="0" w:line="129" w:lineRule="exact"/>
              <w:rPr>
                <w:sz w:val="20"/>
                <w:szCs w:val="20"/>
                <w:color w:val="auto"/>
              </w:rPr>
            </w:pPr>
            <w:r>
              <w:rPr>
                <w:rFonts w:ascii="Arial" w:cs="Arial" w:eastAsia="Arial" w:hAnsi="Arial"/>
                <w:sz w:val="14"/>
                <w:szCs w:val="14"/>
                <w:color w:val="0000FF"/>
              </w:rPr>
              <w:t>(filed herewith)</w:t>
            </w:r>
          </w:p>
        </w:tc>
        <w:tc>
          <w:tcPr>
            <w:tcW w:w="2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0000EE"/>
              <w:bottom w:val="single" w:sz="8" w:color="0000EE"/>
            </w:tcBorders>
            <w:gridSpan w:val="8"/>
          </w:tcPr>
          <w:p>
            <w:pPr>
              <w:spacing w:after="0" w:line="142" w:lineRule="exact"/>
              <w:rPr>
                <w:sz w:val="20"/>
                <w:szCs w:val="20"/>
                <w:color w:val="auto"/>
              </w:rPr>
            </w:pPr>
            <w:r>
              <w:rPr>
                <w:rFonts w:ascii="Arial" w:cs="Arial" w:eastAsia="Arial" w:hAnsi="Arial"/>
                <w:sz w:val="14"/>
                <w:szCs w:val="14"/>
                <w:color w:val="0000FF"/>
              </w:rPr>
              <w:t>Certification of</w:t>
            </w:r>
          </w:p>
        </w:tc>
        <w:tc>
          <w:tcPr>
            <w:tcW w:w="7820" w:type="dxa"/>
            <w:vAlign w:val="bottom"/>
            <w:tcBorders>
              <w:bottom w:val="single" w:sz="8" w:color="0000EE"/>
            </w:tcBorders>
            <w:gridSpan w:val="42"/>
          </w:tcPr>
          <w:p>
            <w:pPr>
              <w:spacing w:after="0" w:line="142" w:lineRule="exact"/>
              <w:rPr>
                <w:sz w:val="20"/>
                <w:szCs w:val="20"/>
                <w:color w:val="auto"/>
              </w:rPr>
            </w:pPr>
            <w:r>
              <w:rPr>
                <w:rFonts w:ascii="Arial" w:cs="Arial" w:eastAsia="Arial" w:hAnsi="Arial"/>
                <w:sz w:val="14"/>
                <w:szCs w:val="14"/>
                <w:color w:val="0000FF"/>
                <w:w w:val="93"/>
              </w:rPr>
              <w:t>Chief Executive Officer 18 U.S.C. Section 1350, as adopted pursuant to section 906 of the Sarbanes-Oxley Act of 2002 (filed herewith)</w:t>
            </w:r>
          </w:p>
        </w:tc>
        <w:tc>
          <w:tcPr>
            <w:tcW w:w="16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4"/>
                <w:szCs w:val="14"/>
                <w:color w:val="auto"/>
                <w:w w:val="95"/>
              </w:rPr>
              <w:t>32.2</w:t>
            </w:r>
          </w:p>
        </w:tc>
        <w:tc>
          <w:tcPr>
            <w:tcW w:w="160" w:type="dxa"/>
            <w:vAlign w:val="bottom"/>
          </w:tcPr>
          <w:p>
            <w:pPr>
              <w:spacing w:after="0"/>
              <w:rPr>
                <w:sz w:val="18"/>
                <w:szCs w:val="18"/>
                <w:color w:val="auto"/>
              </w:rPr>
            </w:pPr>
          </w:p>
        </w:tc>
        <w:tc>
          <w:tcPr>
            <w:tcW w:w="8720" w:type="dxa"/>
            <w:vAlign w:val="bottom"/>
            <w:tcBorders>
              <w:bottom w:val="single" w:sz="8" w:color="0000EE"/>
            </w:tcBorders>
            <w:gridSpan w:val="49"/>
          </w:tcPr>
          <w:p>
            <w:pPr>
              <w:spacing w:after="0"/>
              <w:rPr>
                <w:sz w:val="20"/>
                <w:szCs w:val="20"/>
                <w:color w:val="auto"/>
              </w:rPr>
            </w:pPr>
            <w:r>
              <w:rPr>
                <w:rFonts w:ascii="Arial" w:cs="Arial" w:eastAsia="Arial" w:hAnsi="Arial"/>
                <w:sz w:val="14"/>
                <w:szCs w:val="14"/>
                <w:color w:val="0000FF"/>
                <w:w w:val="94"/>
              </w:rPr>
              <w:t>Certification of Chief Financial Officer 18 U.S.C. Section 1350, as adopted pursuant to section 906 of the Sarbanes-Oxley Act of 2002 (filed herewith)</w:t>
            </w:r>
          </w:p>
        </w:tc>
        <w:tc>
          <w:tcPr>
            <w:tcW w:w="16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jc w:val="center"/>
              <w:spacing w:after="0"/>
              <w:rPr>
                <w:sz w:val="20"/>
                <w:szCs w:val="20"/>
                <w:color w:val="auto"/>
              </w:rPr>
            </w:pPr>
            <w:r>
              <w:rPr>
                <w:rFonts w:ascii="Arial" w:cs="Arial" w:eastAsia="Arial" w:hAnsi="Arial"/>
                <w:sz w:val="14"/>
                <w:szCs w:val="14"/>
                <w:color w:val="auto"/>
                <w:w w:val="94"/>
              </w:rPr>
              <w:t>101.INS</w:t>
            </w:r>
          </w:p>
        </w:tc>
        <w:tc>
          <w:tcPr>
            <w:tcW w:w="160" w:type="dxa"/>
            <w:vAlign w:val="bottom"/>
          </w:tcPr>
          <w:p>
            <w:pPr>
              <w:spacing w:after="0"/>
              <w:rPr>
                <w:sz w:val="20"/>
                <w:szCs w:val="20"/>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Instance Document (filed herewith)</w:t>
            </w:r>
          </w:p>
        </w:tc>
        <w:tc>
          <w:tcPr>
            <w:tcW w:w="0" w:type="dxa"/>
            <w:vAlign w:val="bottom"/>
          </w:tcPr>
          <w:p>
            <w:pPr>
              <w:spacing w:after="0"/>
              <w:rPr>
                <w:sz w:val="1"/>
                <w:szCs w:val="1"/>
                <w:color w:val="auto"/>
              </w:rPr>
            </w:pPr>
          </w:p>
        </w:tc>
      </w:tr>
      <w:tr>
        <w:trPr>
          <w:trHeight w:val="230"/>
        </w:trPr>
        <w:tc>
          <w:tcPr>
            <w:tcW w:w="640" w:type="dxa"/>
            <w:vAlign w:val="bottom"/>
          </w:tcPr>
          <w:p>
            <w:pPr>
              <w:jc w:val="center"/>
              <w:spacing w:after="0"/>
              <w:rPr>
                <w:sz w:val="20"/>
                <w:szCs w:val="20"/>
                <w:color w:val="auto"/>
              </w:rPr>
            </w:pPr>
            <w:r>
              <w:rPr>
                <w:rFonts w:ascii="Arial" w:cs="Arial" w:eastAsia="Arial" w:hAnsi="Arial"/>
                <w:sz w:val="14"/>
                <w:szCs w:val="14"/>
                <w:color w:val="auto"/>
                <w:w w:val="94"/>
              </w:rPr>
              <w:t>101.SHC</w:t>
            </w:r>
          </w:p>
        </w:tc>
        <w:tc>
          <w:tcPr>
            <w:tcW w:w="160" w:type="dxa"/>
            <w:vAlign w:val="bottom"/>
          </w:tcPr>
          <w:p>
            <w:pPr>
              <w:spacing w:after="0"/>
              <w:rPr>
                <w:sz w:val="19"/>
                <w:szCs w:val="19"/>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Taxonomy Extension Schema Document (filed herewith)</w:t>
            </w:r>
          </w:p>
        </w:tc>
        <w:tc>
          <w:tcPr>
            <w:tcW w:w="0" w:type="dxa"/>
            <w:vAlign w:val="bottom"/>
          </w:tcPr>
          <w:p>
            <w:pPr>
              <w:spacing w:after="0"/>
              <w:rPr>
                <w:sz w:val="1"/>
                <w:szCs w:val="1"/>
                <w:color w:val="auto"/>
              </w:rPr>
            </w:pPr>
          </w:p>
        </w:tc>
      </w:tr>
      <w:tr>
        <w:trPr>
          <w:trHeight w:val="229"/>
        </w:trPr>
        <w:tc>
          <w:tcPr>
            <w:tcW w:w="640" w:type="dxa"/>
            <w:vAlign w:val="bottom"/>
          </w:tcPr>
          <w:p>
            <w:pPr>
              <w:jc w:val="center"/>
              <w:spacing w:after="0"/>
              <w:rPr>
                <w:sz w:val="20"/>
                <w:szCs w:val="20"/>
                <w:color w:val="auto"/>
              </w:rPr>
            </w:pPr>
            <w:r>
              <w:rPr>
                <w:rFonts w:ascii="Arial" w:cs="Arial" w:eastAsia="Arial" w:hAnsi="Arial"/>
                <w:sz w:val="14"/>
                <w:szCs w:val="14"/>
                <w:color w:val="auto"/>
                <w:w w:val="99"/>
              </w:rPr>
              <w:t>101.CAL</w:t>
            </w:r>
          </w:p>
        </w:tc>
        <w:tc>
          <w:tcPr>
            <w:tcW w:w="160" w:type="dxa"/>
            <w:vAlign w:val="bottom"/>
          </w:tcPr>
          <w:p>
            <w:pPr>
              <w:spacing w:after="0"/>
              <w:rPr>
                <w:sz w:val="19"/>
                <w:szCs w:val="19"/>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Taxonomy Extension Calculation Linkbase Document (filed herewith)</w:t>
            </w:r>
          </w:p>
        </w:tc>
        <w:tc>
          <w:tcPr>
            <w:tcW w:w="0" w:type="dxa"/>
            <w:vAlign w:val="bottom"/>
          </w:tcPr>
          <w:p>
            <w:pPr>
              <w:spacing w:after="0"/>
              <w:rPr>
                <w:sz w:val="1"/>
                <w:szCs w:val="1"/>
                <w:color w:val="auto"/>
              </w:rPr>
            </w:pPr>
          </w:p>
        </w:tc>
      </w:tr>
      <w:tr>
        <w:trPr>
          <w:trHeight w:val="230"/>
        </w:trPr>
        <w:tc>
          <w:tcPr>
            <w:tcW w:w="640" w:type="dxa"/>
            <w:vAlign w:val="bottom"/>
          </w:tcPr>
          <w:p>
            <w:pPr>
              <w:jc w:val="center"/>
              <w:spacing w:after="0"/>
              <w:rPr>
                <w:sz w:val="20"/>
                <w:szCs w:val="20"/>
                <w:color w:val="auto"/>
              </w:rPr>
            </w:pPr>
            <w:r>
              <w:rPr>
                <w:rFonts w:ascii="Arial" w:cs="Arial" w:eastAsia="Arial" w:hAnsi="Arial"/>
                <w:sz w:val="14"/>
                <w:szCs w:val="14"/>
                <w:color w:val="auto"/>
                <w:w w:val="94"/>
              </w:rPr>
              <w:t>101.DEF</w:t>
            </w:r>
          </w:p>
        </w:tc>
        <w:tc>
          <w:tcPr>
            <w:tcW w:w="160" w:type="dxa"/>
            <w:vAlign w:val="bottom"/>
          </w:tcPr>
          <w:p>
            <w:pPr>
              <w:spacing w:after="0"/>
              <w:rPr>
                <w:sz w:val="19"/>
                <w:szCs w:val="19"/>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Taxonomy Extension Definition Linkbase Document (filed herewith)</w:t>
            </w:r>
          </w:p>
        </w:tc>
        <w:tc>
          <w:tcPr>
            <w:tcW w:w="0" w:type="dxa"/>
            <w:vAlign w:val="bottom"/>
          </w:tcPr>
          <w:p>
            <w:pPr>
              <w:spacing w:after="0"/>
              <w:rPr>
                <w:sz w:val="1"/>
                <w:szCs w:val="1"/>
                <w:color w:val="auto"/>
              </w:rPr>
            </w:pPr>
          </w:p>
        </w:tc>
      </w:tr>
      <w:tr>
        <w:trPr>
          <w:trHeight w:val="230"/>
        </w:trPr>
        <w:tc>
          <w:tcPr>
            <w:tcW w:w="640" w:type="dxa"/>
            <w:vAlign w:val="bottom"/>
          </w:tcPr>
          <w:p>
            <w:pPr>
              <w:jc w:val="center"/>
              <w:spacing w:after="0"/>
              <w:rPr>
                <w:sz w:val="20"/>
                <w:szCs w:val="20"/>
                <w:color w:val="auto"/>
              </w:rPr>
            </w:pPr>
            <w:r>
              <w:rPr>
                <w:rFonts w:ascii="Arial" w:cs="Arial" w:eastAsia="Arial" w:hAnsi="Arial"/>
                <w:sz w:val="14"/>
                <w:szCs w:val="14"/>
                <w:color w:val="auto"/>
              </w:rPr>
              <w:t>101.LAB</w:t>
            </w:r>
          </w:p>
        </w:tc>
        <w:tc>
          <w:tcPr>
            <w:tcW w:w="160" w:type="dxa"/>
            <w:vAlign w:val="bottom"/>
          </w:tcPr>
          <w:p>
            <w:pPr>
              <w:spacing w:after="0"/>
              <w:rPr>
                <w:sz w:val="19"/>
                <w:szCs w:val="19"/>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Taxonomy Extension Label Linkbase Document (filed herewith)</w:t>
            </w:r>
          </w:p>
        </w:tc>
        <w:tc>
          <w:tcPr>
            <w:tcW w:w="0" w:type="dxa"/>
            <w:vAlign w:val="bottom"/>
          </w:tcPr>
          <w:p>
            <w:pPr>
              <w:spacing w:after="0"/>
              <w:rPr>
                <w:sz w:val="1"/>
                <w:szCs w:val="1"/>
                <w:color w:val="auto"/>
              </w:rPr>
            </w:pPr>
          </w:p>
        </w:tc>
      </w:tr>
      <w:tr>
        <w:trPr>
          <w:trHeight w:val="230"/>
        </w:trPr>
        <w:tc>
          <w:tcPr>
            <w:tcW w:w="640" w:type="dxa"/>
            <w:vAlign w:val="bottom"/>
          </w:tcPr>
          <w:p>
            <w:pPr>
              <w:jc w:val="center"/>
              <w:spacing w:after="0"/>
              <w:rPr>
                <w:sz w:val="20"/>
                <w:szCs w:val="20"/>
                <w:color w:val="auto"/>
              </w:rPr>
            </w:pPr>
            <w:r>
              <w:rPr>
                <w:rFonts w:ascii="Arial" w:cs="Arial" w:eastAsia="Arial" w:hAnsi="Arial"/>
                <w:sz w:val="14"/>
                <w:szCs w:val="14"/>
                <w:color w:val="auto"/>
                <w:w w:val="92"/>
              </w:rPr>
              <w:t>101.PRE</w:t>
            </w:r>
          </w:p>
        </w:tc>
        <w:tc>
          <w:tcPr>
            <w:tcW w:w="160" w:type="dxa"/>
            <w:vAlign w:val="bottom"/>
          </w:tcPr>
          <w:p>
            <w:pPr>
              <w:spacing w:after="0"/>
              <w:rPr>
                <w:sz w:val="19"/>
                <w:szCs w:val="19"/>
                <w:color w:val="auto"/>
              </w:rPr>
            </w:pPr>
          </w:p>
        </w:tc>
        <w:tc>
          <w:tcPr>
            <w:tcW w:w="10400" w:type="dxa"/>
            <w:vAlign w:val="bottom"/>
            <w:gridSpan w:val="56"/>
          </w:tcPr>
          <w:p>
            <w:pPr>
              <w:spacing w:after="0"/>
              <w:rPr>
                <w:sz w:val="20"/>
                <w:szCs w:val="20"/>
                <w:color w:val="auto"/>
              </w:rPr>
            </w:pPr>
            <w:r>
              <w:rPr>
                <w:rFonts w:ascii="Arial" w:cs="Arial" w:eastAsia="Arial" w:hAnsi="Arial"/>
                <w:sz w:val="14"/>
                <w:szCs w:val="14"/>
                <w:color w:val="auto"/>
              </w:rPr>
              <w:t>Inline XBRL Taxonomy Extension Presentation Linkbase Document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-3377565</wp:posOffset>
            </wp:positionV>
            <wp:extent cx="65608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656082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-2066290</wp:posOffset>
            </wp:positionV>
            <wp:extent cx="627253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627253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-1972310</wp:posOffset>
            </wp:positionV>
            <wp:extent cx="228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22860" cy="88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-1869440</wp:posOffset>
            </wp:positionV>
            <wp:extent cx="2286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27" w:lineRule="exact"/>
        <w:rPr>
          <w:sz w:val="20"/>
          <w:szCs w:val="20"/>
          <w:color w:val="auto"/>
        </w:rPr>
      </w:pPr>
    </w:p>
    <w:p>
      <w:pPr>
        <w:ind w:left="820" w:hanging="582"/>
        <w:spacing w:after="0"/>
        <w:tabs>
          <w:tab w:leader="none" w:pos="8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(filed herewith)</w:t>
      </w:r>
    </w:p>
    <w:p>
      <w:pPr>
        <w:spacing w:after="0" w:line="136" w:lineRule="exact"/>
        <w:rPr>
          <w:rFonts w:ascii="Arial" w:cs="Arial" w:eastAsia="Arial" w:hAnsi="Arial"/>
          <w:sz w:val="14"/>
          <w:szCs w:val="14"/>
          <w:color w:val="auto"/>
        </w:rPr>
      </w:pPr>
    </w:p>
    <w:p>
      <w:pPr>
        <w:ind w:left="520" w:right="20" w:hanging="512"/>
        <w:spacing w:after="0" w:line="230"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Previously filed in connection with the Pre-Effective Amendment No. 1 to Logan Ridge Finance Corporation’s registration statement on Form N-2 (File No. 333-188956) filed on September 9, 2013.</w:t>
      </w:r>
    </w:p>
    <w:p>
      <w:pPr>
        <w:ind w:left="520" w:hanging="512"/>
        <w:spacing w:after="0" w:line="221"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2 to Logan Ridge Finance Corporation’s registration statement on Form N-2 (File No. 333-188956) filed on September 16, 2013.</w:t>
      </w:r>
    </w:p>
    <w:p>
      <w:pPr>
        <w:ind w:left="520" w:hanging="512"/>
        <w:spacing w:after="0" w:line="237" w:lineRule="auto"/>
        <w:tabs>
          <w:tab w:leader="none" w:pos="5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5 to Logan Ridge Finance Corporation’s registration statement on Form N-2 (File No. 333-188956) filed on September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95123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4" w:name="page105"/>
    <w:bookmarkEnd w:id="104"/>
    <w:p>
      <w:pPr>
        <w:ind w:left="512" w:hanging="512"/>
        <w:spacing w:after="0" w:line="230"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2 to Logan Ridge Finance Corporation’s registration statement on Form N-2 (File No. 333-193374) filed on May 21, 2014.</w:t>
      </w:r>
    </w:p>
    <w:p>
      <w:pPr>
        <w:ind w:left="512" w:hanging="512"/>
        <w:spacing w:after="0" w:line="221"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July 1, 2021.</w:t>
      </w:r>
    </w:p>
    <w:p>
      <w:pPr>
        <w:ind w:left="512" w:hanging="512"/>
        <w:spacing w:after="0" w:line="221"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August 4, 2020.</w:t>
      </w:r>
    </w:p>
    <w:p>
      <w:pPr>
        <w:ind w:left="512" w:hanging="512"/>
        <w:spacing w:after="0" w:line="221"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October 21, 2022.</w:t>
      </w:r>
    </w:p>
    <w:p>
      <w:pPr>
        <w:ind w:left="512" w:hanging="512"/>
        <w:spacing w:after="0" w:line="221" w:lineRule="auto"/>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on April 6, 2022.</w:t>
      </w:r>
    </w:p>
    <w:p>
      <w:pPr>
        <w:ind w:left="512" w:hanging="512"/>
        <w:spacing w:after="0"/>
        <w:tabs>
          <w:tab w:leader="none" w:pos="512" w:val="left"/>
        </w:tabs>
        <w:numPr>
          <w:ilvl w:val="0"/>
          <w:numId w:val="85"/>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10-K filed on March 2, 2020.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ITEM 16.  FORM 10-K SUMMARY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Logan Ridge Finance Corporation</w:t>
      </w:r>
    </w:p>
    <w:p>
      <w:pPr>
        <w:spacing w:after="0" w:line="69" w:lineRule="exact"/>
        <w:rPr>
          <w:sz w:val="20"/>
          <w:szCs w:val="20"/>
          <w:color w:val="auto"/>
        </w:rPr>
      </w:pPr>
    </w:p>
    <w:p>
      <w:pPr>
        <w:ind w:left="20"/>
        <w:spacing w:after="0"/>
        <w:tabs>
          <w:tab w:leader="none" w:pos="5600" w:val="left"/>
          <w:tab w:leader="none" w:pos="5880" w:val="left"/>
        </w:tabs>
        <w:rPr>
          <w:sz w:val="20"/>
          <w:szCs w:val="20"/>
          <w:color w:val="auto"/>
        </w:rPr>
      </w:pPr>
      <w:r>
        <w:rPr>
          <w:rFonts w:ascii="Arial" w:cs="Arial" w:eastAsia="Arial" w:hAnsi="Arial"/>
          <w:sz w:val="14"/>
          <w:szCs w:val="14"/>
          <w:color w:val="auto"/>
        </w:rPr>
        <w:t>Date: March 9,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1457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4"/>
          <w:szCs w:val="14"/>
          <w:color w:val="auto"/>
        </w:rPr>
        <w:t>Ted Goldthorpe</w:t>
      </w:r>
    </w:p>
    <w:p>
      <w:pPr>
        <w:ind w:left="6040"/>
        <w:spacing w:after="0" w:line="221" w:lineRule="auto"/>
        <w:rPr>
          <w:sz w:val="20"/>
          <w:szCs w:val="20"/>
          <w:color w:val="auto"/>
        </w:rPr>
      </w:pPr>
      <w:r>
        <w:rPr>
          <w:rFonts w:ascii="Arial" w:cs="Arial" w:eastAsia="Arial" w:hAnsi="Arial"/>
          <w:sz w:val="14"/>
          <w:szCs w:val="14"/>
          <w:color w:val="auto"/>
        </w:rPr>
        <w:t>Chief Executive Officer and President</w:t>
      </w:r>
    </w:p>
    <w:p>
      <w:pPr>
        <w:ind w:left="6040"/>
        <w:spacing w:after="0" w:line="221" w:lineRule="auto"/>
        <w:rPr>
          <w:sz w:val="20"/>
          <w:szCs w:val="20"/>
          <w:color w:val="auto"/>
        </w:rPr>
      </w:pPr>
      <w:r>
        <w:rPr>
          <w:rFonts w:ascii="Arial" w:cs="Arial" w:eastAsia="Arial" w:hAnsi="Arial"/>
          <w:sz w:val="14"/>
          <w:szCs w:val="14"/>
          <w:i w:val="1"/>
          <w:iCs w:val="1"/>
          <w:color w:val="auto"/>
        </w:rPr>
        <w:t>(Principal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231F20"/>
        </w:rPr>
        <w:t>Logan Ridge Finance Corporation</w:t>
      </w:r>
    </w:p>
    <w:p>
      <w:pPr>
        <w:spacing w:after="0" w:line="246" w:lineRule="exact"/>
        <w:rPr>
          <w:sz w:val="20"/>
          <w:szCs w:val="20"/>
          <w:color w:val="auto"/>
        </w:rPr>
      </w:pPr>
    </w:p>
    <w:p>
      <w:pPr>
        <w:ind w:left="20"/>
        <w:spacing w:after="0"/>
        <w:tabs>
          <w:tab w:leader="none" w:pos="5600" w:val="left"/>
          <w:tab w:leader="none" w:pos="5880" w:val="left"/>
        </w:tabs>
        <w:rPr>
          <w:sz w:val="20"/>
          <w:szCs w:val="20"/>
          <w:color w:val="auto"/>
        </w:rPr>
      </w:pPr>
      <w:r>
        <w:rPr>
          <w:rFonts w:ascii="Arial" w:cs="Arial" w:eastAsia="Arial" w:hAnsi="Arial"/>
          <w:sz w:val="14"/>
          <w:szCs w:val="14"/>
          <w:color w:val="auto"/>
        </w:rPr>
        <w:t>Date: March 9,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1457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4"/>
          <w:szCs w:val="14"/>
          <w:color w:val="auto"/>
        </w:rPr>
        <w:t>Jason Roos</w:t>
      </w:r>
    </w:p>
    <w:p>
      <w:pPr>
        <w:ind w:left="6040"/>
        <w:spacing w:after="0" w:line="221" w:lineRule="auto"/>
        <w:rPr>
          <w:sz w:val="20"/>
          <w:szCs w:val="20"/>
          <w:color w:val="auto"/>
        </w:rPr>
      </w:pPr>
      <w:r>
        <w:rPr>
          <w:rFonts w:ascii="Arial" w:cs="Arial" w:eastAsia="Arial" w:hAnsi="Arial"/>
          <w:sz w:val="14"/>
          <w:szCs w:val="14"/>
          <w:color w:val="auto"/>
        </w:rPr>
        <w:t>Chief Financial Officer</w:t>
      </w:r>
    </w:p>
    <w:p>
      <w:pPr>
        <w:ind w:left="6040"/>
        <w:spacing w:after="0" w:line="221" w:lineRule="auto"/>
        <w:rPr>
          <w:sz w:val="20"/>
          <w:szCs w:val="20"/>
          <w:color w:val="auto"/>
        </w:rPr>
      </w:pPr>
      <w:r>
        <w:rPr>
          <w:rFonts w:ascii="Arial" w:cs="Arial" w:eastAsia="Arial" w:hAnsi="Arial"/>
          <w:sz w:val="14"/>
          <w:szCs w:val="14"/>
          <w:i w:val="1"/>
          <w:iCs w:val="1"/>
          <w:color w:val="auto"/>
        </w:rPr>
        <w:t>(Principal Financial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Logan Ridge Finance Corporation</w:t>
      </w:r>
    </w:p>
    <w:p>
      <w:pPr>
        <w:spacing w:after="0" w:line="111" w:lineRule="exact"/>
        <w:rPr>
          <w:sz w:val="20"/>
          <w:szCs w:val="20"/>
          <w:color w:val="auto"/>
        </w:rPr>
      </w:pPr>
    </w:p>
    <w:p>
      <w:pPr>
        <w:ind w:firstLine="509"/>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4"/>
                <w:szCs w:val="14"/>
                <w:color w:val="auto"/>
              </w:rPr>
            </w:pP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/s/ Ted Goldthorpe</w:t>
            </w:r>
          </w:p>
        </w:tc>
        <w:tc>
          <w:tcPr>
            <w:tcW w:w="140" w:type="dxa"/>
            <w:vAlign w:val="bottom"/>
          </w:tcPr>
          <w:p>
            <w:pPr>
              <w:spacing w:after="0"/>
              <w:rPr>
                <w:sz w:val="24"/>
                <w:szCs w:val="24"/>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4"/>
              </w:rPr>
              <w:t>Chief Executive Officer and President and Chairman of the</w:t>
            </w:r>
          </w:p>
        </w:tc>
        <w:tc>
          <w:tcPr>
            <w:tcW w:w="1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900" w:type="dxa"/>
            <w:vAlign w:val="bottom"/>
            <w:vMerge w:val="restart"/>
          </w:tcPr>
          <w:p>
            <w:pPr>
              <w:jc w:val="center"/>
              <w:spacing w:after="0" w:line="130" w:lineRule="exact"/>
              <w:rPr>
                <w:sz w:val="20"/>
                <w:szCs w:val="20"/>
                <w:color w:val="auto"/>
              </w:rPr>
            </w:pPr>
            <w:r>
              <w:rPr>
                <w:rFonts w:ascii="Arial" w:cs="Arial" w:eastAsia="Arial" w:hAnsi="Arial"/>
                <w:sz w:val="14"/>
                <w:szCs w:val="14"/>
                <w:color w:val="auto"/>
                <w:w w:val="95"/>
              </w:rPr>
              <w:t>Board of Directors</w:t>
            </w: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color w:val="auto"/>
              </w:rPr>
              <w:t>Ted Goldthorpe</w:t>
            </w:r>
          </w:p>
        </w:tc>
        <w:tc>
          <w:tcPr>
            <w:tcW w:w="1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90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7"/>
              </w:rPr>
              <w:t>(Principal Executive Officer)</w:t>
            </w: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Jason Roos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7"/>
              </w:rPr>
              <w:t>Chief Financial Officer</w:t>
            </w:r>
          </w:p>
        </w:tc>
        <w:tc>
          <w:tcPr>
            <w:tcW w:w="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Jason Roos</w:t>
            </w:r>
          </w:p>
        </w:tc>
        <w:tc>
          <w:tcPr>
            <w:tcW w:w="140" w:type="dxa"/>
            <w:vAlign w:val="bottom"/>
          </w:tcPr>
          <w:p>
            <w:pPr>
              <w:spacing w:after="0"/>
              <w:rPr>
                <w:sz w:val="16"/>
                <w:szCs w:val="16"/>
                <w:color w:val="auto"/>
              </w:rPr>
            </w:pPr>
          </w:p>
        </w:tc>
        <w:tc>
          <w:tcPr>
            <w:tcW w:w="590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Alexander Duka</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Alexander Duka</w:t>
            </w:r>
          </w:p>
        </w:tc>
        <w:tc>
          <w:tcPr>
            <w:tcW w:w="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George Grunebaum</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George Grunebaum</w:t>
            </w:r>
          </w:p>
        </w:tc>
        <w:tc>
          <w:tcPr>
            <w:tcW w:w="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Warshauer</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Robert Warshauer</w:t>
            </w:r>
          </w:p>
        </w:tc>
        <w:tc>
          <w:tcPr>
            <w:tcW w:w="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Jennifer Chou</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tcPr>
          <w:p>
            <w:pPr>
              <w:jc w:val="center"/>
              <w:spacing w:after="0"/>
              <w:rPr>
                <w:sz w:val="20"/>
                <w:szCs w:val="20"/>
                <w:color w:val="auto"/>
              </w:rPr>
            </w:pPr>
            <w:r>
              <w:rPr>
                <w:rFonts w:ascii="Arial" w:cs="Arial" w:eastAsia="Arial" w:hAnsi="Arial"/>
                <w:sz w:val="14"/>
                <w:szCs w:val="14"/>
                <w:color w:val="auto"/>
                <w:w w:val="97"/>
              </w:rPr>
              <w:t>Director</w:t>
            </w:r>
          </w:p>
        </w:tc>
        <w:tc>
          <w:tcPr>
            <w:tcW w:w="14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March 9,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Jennifer Chou</w:t>
            </w:r>
          </w:p>
        </w:tc>
        <w:tc>
          <w:tcPr>
            <w:tcW w:w="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10795</wp:posOffset>
            </wp:positionV>
            <wp:extent cx="1619885" cy="10369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161988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80"/>
        <w:spacing w:after="0"/>
        <w:rPr>
          <w:sz w:val="20"/>
          <w:szCs w:val="20"/>
          <w:color w:val="auto"/>
        </w:rPr>
      </w:pPr>
      <w:r>
        <w:rPr>
          <w:rFonts w:ascii="Arial" w:cs="Arial" w:eastAsia="Arial" w:hAnsi="Arial"/>
          <w:sz w:val="50"/>
          <w:szCs w:val="50"/>
          <w:b w:val="1"/>
          <w:bCs w:val="1"/>
          <w:i w:val="1"/>
          <w:iCs w:val="1"/>
          <w:color w:val="auto"/>
        </w:rPr>
        <w:t>Corporate Governance:</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50"/>
          <w:szCs w:val="50"/>
          <w:b w:val="1"/>
          <w:bCs w:val="1"/>
          <w:i w:val="1"/>
          <w:iCs w:val="1"/>
          <w:color w:val="auto"/>
        </w:rPr>
        <w:t>PTMN/LRFC Code of Ethics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400" w:top="328" w:right="279" w:bottom="1440" w:gutter="0" w:footer="0" w:header="0"/>
        </w:sectPr>
      </w:pPr>
    </w:p>
    <w:bookmarkStart w:id="108" w:name="page109"/>
    <w:bookmarkEnd w:id="108"/>
    <w:p>
      <w:pPr>
        <w:ind w:left="6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TATEMENT OF</w:t>
      </w:r>
      <w:r>
        <w:rPr>
          <w:rFonts w:ascii="Arial" w:cs="Arial" w:eastAsia="Arial" w:hAnsi="Arial"/>
          <w:sz w:val="22"/>
          <w:szCs w:val="22"/>
          <w:color w:val="auto"/>
        </w:rPr>
        <w:t xml:space="preserve"> P</w:t>
      </w:r>
      <w:r>
        <w:rPr>
          <w:rFonts w:ascii="Arial" w:cs="Arial" w:eastAsia="Arial" w:hAnsi="Arial"/>
          <w:sz w:val="17"/>
          <w:szCs w:val="17"/>
          <w:color w:val="auto"/>
        </w:rPr>
        <w:t>URPOSE AND</w:t>
      </w:r>
      <w:r>
        <w:rPr>
          <w:rFonts w:ascii="Arial" w:cs="Arial" w:eastAsia="Arial" w:hAnsi="Arial"/>
          <w:sz w:val="22"/>
          <w:szCs w:val="22"/>
          <w:color w:val="auto"/>
        </w:rPr>
        <w:t xml:space="preserve"> A</w:t>
      </w:r>
      <w:r>
        <w:rPr>
          <w:rFonts w:ascii="Arial" w:cs="Arial" w:eastAsia="Arial" w:hAnsi="Arial"/>
          <w:sz w:val="17"/>
          <w:szCs w:val="17"/>
          <w:color w:val="auto"/>
        </w:rPr>
        <w:t>PPLICABILITY</w:t>
      </w:r>
    </w:p>
    <w:p>
      <w:pPr>
        <w:spacing w:after="0" w:line="200" w:lineRule="exact"/>
        <w:rPr>
          <w:sz w:val="20"/>
          <w:szCs w:val="20"/>
          <w:color w:val="auto"/>
        </w:rPr>
      </w:pPr>
    </w:p>
    <w:p>
      <w:pPr>
        <w:spacing w:after="0" w:line="249" w:lineRule="exact"/>
        <w:rPr>
          <w:sz w:val="20"/>
          <w:szCs w:val="20"/>
          <w:color w:val="auto"/>
        </w:rPr>
      </w:pPr>
    </w:p>
    <w:p>
      <w:pPr>
        <w:ind w:left="60" w:right="120" w:firstLine="749"/>
        <w:spacing w:after="0" w:line="287" w:lineRule="auto"/>
        <w:rPr>
          <w:sz w:val="20"/>
          <w:szCs w:val="20"/>
          <w:color w:val="auto"/>
        </w:rPr>
      </w:pPr>
      <w:r>
        <w:rPr>
          <w:rFonts w:ascii="Arial" w:cs="Arial" w:eastAsia="Arial" w:hAnsi="Arial"/>
          <w:sz w:val="19"/>
          <w:szCs w:val="19"/>
          <w:color w:val="auto"/>
        </w:rPr>
        <w:t xml:space="preserve">Portman Ridge Finance Corporation and Logan Ridge Finance Corporation (each, the "Company") are regulated as a business development company under the </w:t>
      </w:r>
      <w:r>
        <w:rPr>
          <w:rFonts w:ascii="Arial" w:cs="Arial" w:eastAsia="Arial" w:hAnsi="Arial"/>
          <w:sz w:val="19"/>
          <w:szCs w:val="19"/>
          <w:u w:val="single" w:color="auto"/>
          <w:color w:val="0000FF"/>
        </w:rPr>
        <w:t>Investment Company</w:t>
      </w:r>
      <w:r>
        <w:rPr>
          <w:rFonts w:ascii="Arial" w:cs="Arial" w:eastAsia="Arial" w:hAnsi="Arial"/>
          <w:sz w:val="19"/>
          <w:szCs w:val="19"/>
          <w:color w:val="auto"/>
        </w:rPr>
        <w:t xml:space="preserve"> Act of 1940 (the "Act") and subject to </w:t>
      </w:r>
      <w:r>
        <w:rPr>
          <w:rFonts w:ascii="Arial" w:cs="Arial" w:eastAsia="Arial" w:hAnsi="Arial"/>
          <w:sz w:val="19"/>
          <w:szCs w:val="19"/>
          <w:u w:val="single" w:color="auto"/>
          <w:color w:val="0000FF"/>
        </w:rPr>
        <w:t>Rule 17j-1 under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Act ("Rule 17j-1")</w:t>
      </w:r>
      <w:r>
        <w:rPr>
          <w:rFonts w:ascii="Arial" w:cs="Arial" w:eastAsia="Arial" w:hAnsi="Arial"/>
          <w:sz w:val="19"/>
          <w:szCs w:val="19"/>
          <w:color w:val="000000"/>
        </w:rPr>
        <w:t>. It is the Company’s policy that no Affiliated Person shall, in connection the purchase or sale, directly or</w:t>
      </w:r>
      <w:r>
        <w:rPr>
          <w:rFonts w:ascii="Arial" w:cs="Arial" w:eastAsia="Arial" w:hAnsi="Arial"/>
          <w:sz w:val="19"/>
          <w:szCs w:val="19"/>
          <w:color w:val="0000FF"/>
        </w:rPr>
        <w:t xml:space="preserve"> </w:t>
      </w:r>
      <w:r>
        <w:rPr>
          <w:rFonts w:ascii="Arial" w:cs="Arial" w:eastAsia="Arial" w:hAnsi="Arial"/>
          <w:sz w:val="19"/>
          <w:szCs w:val="19"/>
          <w:color w:val="000000"/>
        </w:rPr>
        <w:t>indirectly, by such Affiliated Person of any Security Held or to be Acquired by the Company:</w:t>
      </w:r>
    </w:p>
    <w:p>
      <w:pPr>
        <w:spacing w:after="0" w:line="183" w:lineRule="exact"/>
        <w:rPr>
          <w:sz w:val="20"/>
          <w:szCs w:val="20"/>
          <w:color w:val="auto"/>
        </w:rPr>
      </w:pPr>
    </w:p>
    <w:p>
      <w:pPr>
        <w:ind w:left="1560" w:hanging="384"/>
        <w:spacing w:after="0"/>
        <w:tabs>
          <w:tab w:leader="none" w:pos="1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employ any device, scheme or artifice to defraud the Company;</w:t>
      </w:r>
    </w:p>
    <w:p>
      <w:pPr>
        <w:spacing w:after="0" w:line="44" w:lineRule="exact"/>
        <w:rPr>
          <w:rFonts w:ascii="Arial" w:cs="Arial" w:eastAsia="Arial" w:hAnsi="Arial"/>
          <w:sz w:val="22"/>
          <w:szCs w:val="22"/>
          <w:color w:val="auto"/>
        </w:rPr>
      </w:pPr>
    </w:p>
    <w:p>
      <w:pPr>
        <w:ind w:left="1540" w:right="40" w:hanging="364"/>
        <w:spacing w:after="0"/>
        <w:tabs>
          <w:tab w:leader="none" w:pos="15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make any untrue statement of a material fact to the Company or omit to state a material fact necessary in order to make the statements made to the Company, in light of the circumstances under which they are made, not misleading;</w:t>
      </w:r>
    </w:p>
    <w:p>
      <w:pPr>
        <w:spacing w:after="0" w:line="24" w:lineRule="exact"/>
        <w:rPr>
          <w:rFonts w:ascii="Arial" w:cs="Arial" w:eastAsia="Arial" w:hAnsi="Arial"/>
          <w:sz w:val="22"/>
          <w:szCs w:val="22"/>
          <w:color w:val="auto"/>
        </w:rPr>
      </w:pPr>
    </w:p>
    <w:p>
      <w:pPr>
        <w:ind w:left="1540" w:right="120" w:hanging="364"/>
        <w:spacing w:after="0" w:line="250" w:lineRule="auto"/>
        <w:tabs>
          <w:tab w:leader="none" w:pos="15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engage in an act, practice, or course of business that operates or would operate as a fraud or deceit on the Company; or</w:t>
      </w:r>
    </w:p>
    <w:p>
      <w:pPr>
        <w:spacing w:after="0" w:line="12" w:lineRule="exact"/>
        <w:rPr>
          <w:rFonts w:ascii="Arial" w:cs="Arial" w:eastAsia="Arial" w:hAnsi="Arial"/>
          <w:sz w:val="22"/>
          <w:szCs w:val="22"/>
          <w:color w:val="auto"/>
        </w:rPr>
      </w:pPr>
    </w:p>
    <w:p>
      <w:pPr>
        <w:ind w:left="1560" w:hanging="384"/>
        <w:spacing w:after="0"/>
        <w:tabs>
          <w:tab w:leader="none" w:pos="1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engage in any manipulative practice with respect to the Company.</w:t>
      </w:r>
    </w:p>
    <w:p>
      <w:pPr>
        <w:spacing w:after="0" w:line="287" w:lineRule="exact"/>
        <w:rPr>
          <w:sz w:val="20"/>
          <w:szCs w:val="20"/>
          <w:color w:val="auto"/>
        </w:rPr>
      </w:pPr>
    </w:p>
    <w:p>
      <w:pPr>
        <w:ind w:left="60" w:right="880" w:firstLine="749"/>
        <w:spacing w:after="0"/>
        <w:rPr>
          <w:sz w:val="20"/>
          <w:szCs w:val="20"/>
          <w:color w:val="auto"/>
        </w:rPr>
      </w:pPr>
      <w:r>
        <w:rPr>
          <w:rFonts w:ascii="Arial" w:cs="Arial" w:eastAsia="Arial" w:hAnsi="Arial"/>
          <w:sz w:val="22"/>
          <w:szCs w:val="22"/>
          <w:color w:val="auto"/>
        </w:rPr>
        <w:t>In accordance with the Rule, the Company has adopted this Code of Ethics containing provisions it deems reasonably necessary to prevent those of its Affiliated Persons who are Access Persons from engaging in any of such prohibited acts.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w:t>
      </w:r>
    </w:p>
    <w:p>
      <w:pPr>
        <w:spacing w:after="0" w:line="247" w:lineRule="exact"/>
        <w:rPr>
          <w:sz w:val="20"/>
          <w:szCs w:val="20"/>
          <w:color w:val="auto"/>
        </w:rPr>
      </w:pPr>
    </w:p>
    <w:p>
      <w:pPr>
        <w:jc w:val="both"/>
        <w:ind w:left="780" w:right="260" w:hanging="353"/>
        <w:spacing w:after="0" w:line="286" w:lineRule="auto"/>
        <w:tabs>
          <w:tab w:leader="none" w:pos="7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"Access Person" means any officer, partner, member or Advisory Person of the Company. A board director shall be presumed to be an Access Person of the Company unless the Designated Officer determines, after consideration of the relevant facts and circumstances, that the director should not be considered an Access Person hereunder.</w:t>
      </w:r>
    </w:p>
    <w:p>
      <w:pPr>
        <w:spacing w:after="0" w:line="1" w:lineRule="exact"/>
        <w:rPr>
          <w:rFonts w:ascii="Arial" w:cs="Arial" w:eastAsia="Arial" w:hAnsi="Arial"/>
          <w:sz w:val="19"/>
          <w:szCs w:val="19"/>
          <w:color w:val="auto"/>
        </w:rPr>
      </w:pPr>
    </w:p>
    <w:p>
      <w:pPr>
        <w:ind w:left="800" w:hanging="374"/>
        <w:spacing w:after="0"/>
        <w:tabs>
          <w:tab w:leader="none" w:pos="8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"Advisory Person of the Company" means:</w:t>
      </w:r>
    </w:p>
    <w:p>
      <w:pPr>
        <w:spacing w:after="0" w:line="44" w:lineRule="exact"/>
        <w:rPr>
          <w:rFonts w:ascii="Arial" w:cs="Arial" w:eastAsia="Arial" w:hAnsi="Arial"/>
          <w:sz w:val="22"/>
          <w:szCs w:val="22"/>
          <w:color w:val="auto"/>
        </w:rPr>
      </w:pPr>
    </w:p>
    <w:p>
      <w:pPr>
        <w:ind w:left="1540" w:hanging="364"/>
        <w:spacing w:after="0" w:line="281" w:lineRule="auto"/>
        <w:tabs>
          <w:tab w:leader="none" w:pos="154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director, officer, member or employee of the Company (or of any company in a Control relationship to the Company), who in connection with his or her regular functions or duties makes, participates in, or obtains information regarding the purchase or sale of Covered Securities by the Company, or whose functions relate to the making of any recommendation with respect to such purchases or sales; and</w:t>
      </w:r>
    </w:p>
    <w:p>
      <w:pPr>
        <w:spacing w:after="0" w:line="2" w:lineRule="exact"/>
        <w:rPr>
          <w:rFonts w:ascii="Arial" w:cs="Arial" w:eastAsia="Arial" w:hAnsi="Arial"/>
          <w:sz w:val="19"/>
          <w:szCs w:val="19"/>
          <w:color w:val="auto"/>
        </w:rPr>
      </w:pPr>
    </w:p>
    <w:p>
      <w:pPr>
        <w:ind w:left="1540" w:right="540" w:hanging="364"/>
        <w:spacing w:after="0"/>
        <w:tabs>
          <w:tab w:leader="none" w:pos="15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natural person in a Control relationship to the Company who obtains information concerning recommendations made to the Company with regard to the purchase or sale of any Covered Security by the Company.</w:t>
      </w:r>
    </w:p>
    <w:p>
      <w:pPr>
        <w:spacing w:after="0" w:line="24" w:lineRule="exact"/>
        <w:rPr>
          <w:rFonts w:ascii="Arial" w:cs="Arial" w:eastAsia="Arial" w:hAnsi="Arial"/>
          <w:sz w:val="22"/>
          <w:szCs w:val="22"/>
          <w:color w:val="auto"/>
        </w:rPr>
      </w:pPr>
    </w:p>
    <w:p>
      <w:pPr>
        <w:ind w:left="800" w:hanging="374"/>
        <w:spacing w:after="0"/>
        <w:tabs>
          <w:tab w:leader="none" w:pos="8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"Affiliated Person" of another person means:</w:t>
      </w:r>
    </w:p>
    <w:p>
      <w:pPr>
        <w:spacing w:after="0" w:line="44" w:lineRule="exact"/>
        <w:rPr>
          <w:rFonts w:ascii="Arial" w:cs="Arial" w:eastAsia="Arial" w:hAnsi="Arial"/>
          <w:sz w:val="22"/>
          <w:szCs w:val="22"/>
          <w:color w:val="auto"/>
        </w:rPr>
      </w:pPr>
    </w:p>
    <w:p>
      <w:pPr>
        <w:ind w:left="1540" w:right="600" w:hanging="364"/>
        <w:spacing w:after="0" w:line="250" w:lineRule="auto"/>
        <w:tabs>
          <w:tab w:leader="none" w:pos="15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person directly or indirectly owning, controlling, or holding with power to vote, 5% or more of the outstanding voting securities of such other person;</w:t>
      </w:r>
    </w:p>
    <w:p>
      <w:pPr>
        <w:spacing w:after="0" w:line="12" w:lineRule="exact"/>
        <w:rPr>
          <w:rFonts w:ascii="Arial" w:cs="Arial" w:eastAsia="Arial" w:hAnsi="Arial"/>
          <w:sz w:val="22"/>
          <w:szCs w:val="22"/>
          <w:color w:val="auto"/>
        </w:rPr>
      </w:pPr>
    </w:p>
    <w:p>
      <w:pPr>
        <w:ind w:left="1540" w:right="1260" w:hanging="364"/>
        <w:spacing w:after="0" w:line="250" w:lineRule="auto"/>
        <w:tabs>
          <w:tab w:leader="none" w:pos="15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person 5% or more of whose outstanding voting securities are directly or indirectly owned, controlled, or held with power to vote, by such other person;</w:t>
      </w:r>
    </w:p>
    <w:p>
      <w:pPr>
        <w:spacing w:after="0" w:line="12" w:lineRule="exact"/>
        <w:rPr>
          <w:rFonts w:ascii="Arial" w:cs="Arial" w:eastAsia="Arial" w:hAnsi="Arial"/>
          <w:sz w:val="22"/>
          <w:szCs w:val="22"/>
          <w:color w:val="auto"/>
        </w:rPr>
      </w:pPr>
    </w:p>
    <w:p>
      <w:pPr>
        <w:ind w:left="1520" w:right="740" w:hanging="344"/>
        <w:spacing w:after="0" w:line="250" w:lineRule="auto"/>
        <w:tabs>
          <w:tab w:leader="none" w:pos="15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person directly or indirectly controlling, controlled by, or under common control with, such other person;</w:t>
      </w:r>
    </w:p>
    <w:p>
      <w:pPr>
        <w:spacing w:after="0" w:line="12" w:lineRule="exact"/>
        <w:rPr>
          <w:rFonts w:ascii="Arial" w:cs="Arial" w:eastAsia="Arial" w:hAnsi="Arial"/>
          <w:sz w:val="22"/>
          <w:szCs w:val="22"/>
          <w:color w:val="auto"/>
        </w:rPr>
      </w:pPr>
    </w:p>
    <w:p>
      <w:pPr>
        <w:ind w:left="1560" w:hanging="385"/>
        <w:spacing w:after="0"/>
        <w:tabs>
          <w:tab w:leader="none" w:pos="15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officer, director, partner, copartner, or employee of such other person;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388" w:right="479" w:bottom="1440" w:gutter="0" w:footer="0" w:header="0"/>
        </w:sectPr>
      </w:pPr>
    </w:p>
    <w:bookmarkStart w:id="109" w:name="page110"/>
    <w:bookmarkEnd w:id="109"/>
    <w:p>
      <w:pPr>
        <w:ind w:left="1540" w:right="880" w:hanging="364"/>
        <w:spacing w:after="0" w:line="250" w:lineRule="auto"/>
        <w:tabs>
          <w:tab w:leader="none" w:pos="154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such other person is an investment company, any investment adviser thereof or any member of an advisory board thereof; and</w:t>
      </w:r>
    </w:p>
    <w:p>
      <w:pPr>
        <w:spacing w:after="0" w:line="12" w:lineRule="exact"/>
        <w:rPr>
          <w:rFonts w:ascii="Arial" w:cs="Arial" w:eastAsia="Arial" w:hAnsi="Arial"/>
          <w:sz w:val="22"/>
          <w:szCs w:val="22"/>
          <w:color w:val="auto"/>
        </w:rPr>
      </w:pPr>
    </w:p>
    <w:p>
      <w:pPr>
        <w:ind w:left="1540" w:right="180" w:hanging="364"/>
        <w:spacing w:after="0" w:line="250" w:lineRule="auto"/>
        <w:tabs>
          <w:tab w:leader="none" w:pos="154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such other person is an unincorporated investment company not having a board of directors, the depositor thereof.</w:t>
      </w:r>
    </w:p>
    <w:p>
      <w:pPr>
        <w:spacing w:after="0" w:line="12" w:lineRule="exact"/>
        <w:rPr>
          <w:rFonts w:ascii="Arial" w:cs="Arial" w:eastAsia="Arial" w:hAnsi="Arial"/>
          <w:sz w:val="22"/>
          <w:szCs w:val="22"/>
          <w:color w:val="auto"/>
        </w:rPr>
      </w:pPr>
    </w:p>
    <w:p>
      <w:pPr>
        <w:ind w:left="780" w:right="240" w:hanging="353"/>
        <w:spacing w:after="0" w:line="276" w:lineRule="auto"/>
        <w:tabs>
          <w:tab w:leader="none" w:pos="7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"Beneficial Ownership" means beneficial ownership determined pursuant to Rule </w:t>
      </w:r>
      <w:r>
        <w:rPr>
          <w:rFonts w:ascii="Arial" w:cs="Arial" w:eastAsia="Arial" w:hAnsi="Arial"/>
          <w:sz w:val="19"/>
          <w:szCs w:val="19"/>
          <w:u w:val="single" w:color="auto"/>
          <w:color w:val="0000FF"/>
        </w:rPr>
        <w:t>16a−1(a)(2)</w:t>
      </w:r>
      <w:r>
        <w:rPr>
          <w:rFonts w:ascii="Arial" w:cs="Arial" w:eastAsia="Arial" w:hAnsi="Arial"/>
          <w:sz w:val="19"/>
          <w:szCs w:val="19"/>
          <w:color w:val="auto"/>
        </w:rPr>
        <w:t xml:space="preserve"> under the Securities Exchange Act of 1934 (the "1934 Act"). Beneficial ownership includes securities held by members of a person's immediate family (spouse, children, stepchildren, grandchildren, parents, stepparents, grandparents, siblings, mother-in-law, father-in-law, son-in-law, daughter-in-law, brother-in-law, or sister-in- law) that share the same household with such person. The definition of "Beneficial Ownership" is complex, and if you have any questions as to whether you may have Beneficial Ownership with respect to any securities please contact the CCO.</w:t>
      </w:r>
    </w:p>
    <w:p>
      <w:pPr>
        <w:spacing w:after="0" w:line="4" w:lineRule="exact"/>
        <w:rPr>
          <w:rFonts w:ascii="Arial" w:cs="Arial" w:eastAsia="Arial" w:hAnsi="Arial"/>
          <w:sz w:val="19"/>
          <w:szCs w:val="19"/>
          <w:color w:val="auto"/>
        </w:rPr>
      </w:pPr>
    </w:p>
    <w:p>
      <w:pPr>
        <w:ind w:left="800" w:right="160" w:hanging="373"/>
        <w:spacing w:after="0" w:line="276" w:lineRule="auto"/>
        <w:tabs>
          <w:tab w:leader="none" w:pos="8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"Control" means the power to exercise a controlling influence over the management or policies of a company, unless such power is solely the result of an official position with such company. Any person who owns beneficially, either directly or through one or more controlled companies, more than 25% of the voting securities of a company shall be presumed to control such company. Any person who does not so own more than 25% of the voting securities of any company shall be presumed not to control such company. A natural person shall be presumed not to be a controlled person. Any such presumption may be rebutted by evidence in accordance with </w:t>
      </w:r>
      <w:r>
        <w:rPr>
          <w:rFonts w:ascii="Arial" w:cs="Arial" w:eastAsia="Arial" w:hAnsi="Arial"/>
          <w:sz w:val="19"/>
          <w:szCs w:val="19"/>
          <w:u w:val="single" w:color="auto"/>
          <w:color w:val="0000FF"/>
        </w:rPr>
        <w:t>Section 2(a)(9)</w:t>
      </w:r>
      <w:r>
        <w:rPr>
          <w:rFonts w:ascii="Arial" w:cs="Arial" w:eastAsia="Arial" w:hAnsi="Arial"/>
          <w:sz w:val="19"/>
          <w:szCs w:val="19"/>
          <w:color w:val="auto"/>
        </w:rPr>
        <w:t xml:space="preserve"> of the Act.</w:t>
      </w:r>
    </w:p>
    <w:p>
      <w:pPr>
        <w:spacing w:after="0" w:line="4" w:lineRule="exact"/>
        <w:rPr>
          <w:rFonts w:ascii="Arial" w:cs="Arial" w:eastAsia="Arial" w:hAnsi="Arial"/>
          <w:sz w:val="19"/>
          <w:szCs w:val="19"/>
          <w:color w:val="auto"/>
        </w:rPr>
      </w:pPr>
    </w:p>
    <w:p>
      <w:pPr>
        <w:ind w:left="800" w:hanging="373"/>
        <w:spacing w:after="0"/>
        <w:tabs>
          <w:tab w:leader="none" w:pos="8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"Covered Security" means a Security, except that such term does not include:</w:t>
      </w:r>
    </w:p>
    <w:p>
      <w:pPr>
        <w:spacing w:after="0" w:line="44" w:lineRule="exact"/>
        <w:rPr>
          <w:rFonts w:ascii="Arial" w:cs="Arial" w:eastAsia="Arial" w:hAnsi="Arial"/>
          <w:sz w:val="22"/>
          <w:szCs w:val="22"/>
          <w:color w:val="auto"/>
        </w:rPr>
      </w:pPr>
    </w:p>
    <w:p>
      <w:pPr>
        <w:ind w:left="1560" w:hanging="384"/>
        <w:spacing w:after="0"/>
        <w:tabs>
          <w:tab w:leader="none" w:pos="15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direct obligations of the Government of the United States;</w:t>
      </w:r>
    </w:p>
    <w:p>
      <w:pPr>
        <w:spacing w:after="0" w:line="44" w:lineRule="exact"/>
        <w:rPr>
          <w:rFonts w:ascii="Arial" w:cs="Arial" w:eastAsia="Arial" w:hAnsi="Arial"/>
          <w:sz w:val="22"/>
          <w:szCs w:val="22"/>
          <w:color w:val="auto"/>
        </w:rPr>
      </w:pPr>
    </w:p>
    <w:p>
      <w:pPr>
        <w:ind w:left="1520" w:right="780" w:hanging="344"/>
        <w:spacing w:after="0" w:line="250" w:lineRule="auto"/>
        <w:tabs>
          <w:tab w:leader="none" w:pos="1520" w:val="left"/>
        </w:tabs>
        <w:numPr>
          <w:ilvl w:val="1"/>
          <w:numId w:val="89"/>
        </w:numPr>
        <w:rPr>
          <w:rFonts w:ascii="Arial" w:cs="Arial" w:eastAsia="Arial" w:hAnsi="Arial"/>
          <w:sz w:val="22"/>
          <w:szCs w:val="22"/>
          <w:color w:val="auto"/>
        </w:rPr>
      </w:pPr>
      <w:r>
        <w:rPr>
          <w:rFonts w:ascii="Arial" w:cs="Arial" w:eastAsia="Arial" w:hAnsi="Arial"/>
          <w:sz w:val="22"/>
          <w:szCs w:val="22"/>
          <w:color w:val="auto"/>
        </w:rPr>
        <w:t>bankers' acceptances, bank certificates of deposit, commercial paper and high quality short-term debt instruments, including repurchase agreements; or</w:t>
      </w:r>
    </w:p>
    <w:p>
      <w:pPr>
        <w:spacing w:after="0" w:line="12" w:lineRule="exact"/>
        <w:rPr>
          <w:rFonts w:ascii="Arial" w:cs="Arial" w:eastAsia="Arial" w:hAnsi="Arial"/>
          <w:sz w:val="22"/>
          <w:szCs w:val="22"/>
          <w:color w:val="auto"/>
        </w:rPr>
      </w:pPr>
    </w:p>
    <w:p>
      <w:pPr>
        <w:ind w:left="1560" w:hanging="385"/>
        <w:spacing w:after="0"/>
        <w:tabs>
          <w:tab w:leader="none" w:pos="15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shares issued by open-end investment companies registered under the Act</w:t>
      </w:r>
    </w:p>
    <w:p>
      <w:pPr>
        <w:spacing w:after="0" w:line="44" w:lineRule="exact"/>
        <w:rPr>
          <w:rFonts w:ascii="Arial" w:cs="Arial" w:eastAsia="Arial" w:hAnsi="Arial"/>
          <w:sz w:val="22"/>
          <w:szCs w:val="22"/>
          <w:color w:val="auto"/>
        </w:rPr>
      </w:pPr>
    </w:p>
    <w:p>
      <w:pPr>
        <w:ind w:left="800" w:right="440" w:hanging="374"/>
        <w:spacing w:after="0" w:line="238" w:lineRule="auto"/>
        <w:tabs>
          <w:tab w:leader="none" w:pos="8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"Designated Officer" means the person designated from time to time by the Company to be its Chief Compliance Officer; provided, that the Company may from time to time designate another person to act on behalf of the Designated Officer during periods when the Designated Officer is absent or disabled, and during such periods the term "Designated Officer" shall mean such other officer.</w:t>
      </w:r>
    </w:p>
    <w:p>
      <w:pPr>
        <w:spacing w:after="0" w:line="22" w:lineRule="exact"/>
        <w:rPr>
          <w:rFonts w:ascii="Arial" w:cs="Arial" w:eastAsia="Arial" w:hAnsi="Arial"/>
          <w:sz w:val="22"/>
          <w:szCs w:val="22"/>
          <w:color w:val="auto"/>
        </w:rPr>
      </w:pPr>
    </w:p>
    <w:p>
      <w:pPr>
        <w:ind w:left="780" w:right="900" w:hanging="354"/>
        <w:spacing w:after="0" w:line="250" w:lineRule="auto"/>
        <w:tabs>
          <w:tab w:leader="none" w:pos="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"Disinterested Director" means a director of the Company who is not an "interested person" of the Company within the meaning of </w:t>
      </w:r>
      <w:r>
        <w:rPr>
          <w:rFonts w:ascii="Arial" w:cs="Arial" w:eastAsia="Arial" w:hAnsi="Arial"/>
          <w:sz w:val="22"/>
          <w:szCs w:val="22"/>
          <w:u w:val="single" w:color="auto"/>
          <w:color w:val="0000FF"/>
        </w:rPr>
        <w:t>Section 2(a)(19)</w:t>
      </w:r>
      <w:r>
        <w:rPr>
          <w:rFonts w:ascii="Arial" w:cs="Arial" w:eastAsia="Arial" w:hAnsi="Arial"/>
          <w:sz w:val="22"/>
          <w:szCs w:val="22"/>
          <w:color w:val="auto"/>
        </w:rPr>
        <w:t xml:space="preserve"> of the Act.</w:t>
      </w:r>
    </w:p>
    <w:p>
      <w:pPr>
        <w:spacing w:after="0" w:line="12" w:lineRule="exact"/>
        <w:rPr>
          <w:rFonts w:ascii="Arial" w:cs="Arial" w:eastAsia="Arial" w:hAnsi="Arial"/>
          <w:sz w:val="22"/>
          <w:szCs w:val="22"/>
          <w:color w:val="auto"/>
        </w:rPr>
      </w:pPr>
    </w:p>
    <w:p>
      <w:pPr>
        <w:ind w:left="800" w:right="120" w:hanging="374"/>
        <w:spacing w:after="0" w:line="236" w:lineRule="auto"/>
        <w:tabs>
          <w:tab w:leader="none" w:pos="8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"Federal Securities Laws" means, in addition to the Act, the </w:t>
      </w:r>
      <w:r>
        <w:rPr>
          <w:rFonts w:ascii="Arial" w:cs="Arial" w:eastAsia="Arial" w:hAnsi="Arial"/>
          <w:sz w:val="22"/>
          <w:szCs w:val="22"/>
          <w:u w:val="single" w:color="auto"/>
          <w:color w:val="0000FF"/>
        </w:rPr>
        <w:t>Investment Advisers Act of 1940</w:t>
      </w:r>
      <w:r>
        <w:rPr>
          <w:rFonts w:ascii="Arial" w:cs="Arial" w:eastAsia="Arial" w:hAnsi="Arial"/>
          <w:sz w:val="22"/>
          <w:szCs w:val="22"/>
          <w:color w:val="auto"/>
        </w:rPr>
        <w:t xml:space="preserve">, the </w:t>
      </w:r>
      <w:r>
        <w:rPr>
          <w:rFonts w:ascii="Arial" w:cs="Arial" w:eastAsia="Arial" w:hAnsi="Arial"/>
          <w:sz w:val="22"/>
          <w:szCs w:val="22"/>
          <w:u w:val="single" w:color="auto"/>
          <w:color w:val="0000FF"/>
        </w:rPr>
        <w:t>Securities Act of</w:t>
      </w:r>
      <w:r>
        <w:rPr>
          <w:rFonts w:ascii="Arial" w:cs="Arial" w:eastAsia="Arial" w:hAnsi="Arial"/>
          <w:sz w:val="22"/>
          <w:szCs w:val="22"/>
          <w:color w:val="auto"/>
        </w:rPr>
        <w:t xml:space="preserve"> </w:t>
      </w:r>
      <w:r>
        <w:rPr>
          <w:rFonts w:ascii="Arial" w:cs="Arial" w:eastAsia="Arial" w:hAnsi="Arial"/>
          <w:sz w:val="22"/>
          <w:szCs w:val="22"/>
          <w:u w:val="single" w:color="auto"/>
          <w:color w:val="0000FF"/>
        </w:rPr>
        <w:t>1933</w:t>
      </w:r>
      <w:r>
        <w:rPr>
          <w:rFonts w:ascii="Arial" w:cs="Arial" w:eastAsia="Arial" w:hAnsi="Arial"/>
          <w:sz w:val="22"/>
          <w:szCs w:val="22"/>
          <w:color w:val="000000"/>
        </w:rPr>
        <w:t>, the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Securities Exchange Act of 1934</w:t>
      </w:r>
      <w:r>
        <w:rPr>
          <w:rFonts w:ascii="Arial" w:cs="Arial" w:eastAsia="Arial" w:hAnsi="Arial"/>
          <w:sz w:val="22"/>
          <w:szCs w:val="22"/>
          <w:color w:val="000000"/>
        </w:rPr>
        <w:t>, Title V of the Gramm-Leach-Bliley Act, all rules adopted by the</w:t>
      </w:r>
      <w:r>
        <w:rPr>
          <w:rFonts w:ascii="Arial" w:cs="Arial" w:eastAsia="Arial" w:hAnsi="Arial"/>
          <w:sz w:val="22"/>
          <w:szCs w:val="22"/>
          <w:color w:val="0000FF"/>
        </w:rPr>
        <w:t xml:space="preserve"> </w:t>
      </w:r>
      <w:r>
        <w:rPr>
          <w:rFonts w:ascii="Arial" w:cs="Arial" w:eastAsia="Arial" w:hAnsi="Arial"/>
          <w:sz w:val="22"/>
          <w:szCs w:val="22"/>
          <w:color w:val="000000"/>
        </w:rPr>
        <w:t>Securities and Exchange Commission (the "SEC") under the foregoing statutes, those provisions of the Bank Secrecy Act that apply to investment companies and investment advisers, and any rules adopted under such provisions by the SEC or the Department of the Treasury.</w:t>
      </w:r>
    </w:p>
    <w:p>
      <w:pPr>
        <w:spacing w:after="0" w:line="25" w:lineRule="exact"/>
        <w:rPr>
          <w:rFonts w:ascii="Arial" w:cs="Arial" w:eastAsia="Arial" w:hAnsi="Arial"/>
          <w:sz w:val="22"/>
          <w:szCs w:val="22"/>
          <w:color w:val="auto"/>
        </w:rPr>
      </w:pPr>
    </w:p>
    <w:p>
      <w:pPr>
        <w:jc w:val="both"/>
        <w:ind w:left="780" w:right="320" w:hanging="353"/>
        <w:spacing w:after="0"/>
        <w:tabs>
          <w:tab w:leader="none" w:pos="7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"Initial Public Offering" means an offering of securities registered under the </w:t>
      </w:r>
      <w:r>
        <w:rPr>
          <w:rFonts w:ascii="Arial" w:cs="Arial" w:eastAsia="Arial" w:hAnsi="Arial"/>
          <w:sz w:val="22"/>
          <w:szCs w:val="22"/>
          <w:u w:val="single" w:color="auto"/>
          <w:color w:val="0000FF"/>
        </w:rPr>
        <w:t>Securities Act of 1933</w:t>
      </w:r>
      <w:r>
        <w:rPr>
          <w:rFonts w:ascii="Arial" w:cs="Arial" w:eastAsia="Arial" w:hAnsi="Arial"/>
          <w:sz w:val="22"/>
          <w:szCs w:val="22"/>
          <w:color w:val="auto"/>
        </w:rPr>
        <w:t xml:space="preserve"> (the "1933 Act"), the issuer of which, immediately before the registration, was not subject to the reporting requirements of </w:t>
      </w:r>
      <w:r>
        <w:rPr>
          <w:rFonts w:ascii="Arial" w:cs="Arial" w:eastAsia="Arial" w:hAnsi="Arial"/>
          <w:sz w:val="22"/>
          <w:szCs w:val="22"/>
          <w:u w:val="single" w:color="auto"/>
          <w:color w:val="0000FF"/>
        </w:rPr>
        <w:t>Sections 13</w:t>
      </w:r>
      <w:r>
        <w:rPr>
          <w:rFonts w:ascii="Arial" w:cs="Arial" w:eastAsia="Arial" w:hAnsi="Arial"/>
          <w:sz w:val="22"/>
          <w:szCs w:val="22"/>
          <w:color w:val="0000FF"/>
        </w:rPr>
        <w:t xml:space="preserve"> </w:t>
      </w:r>
      <w:r>
        <w:rPr>
          <w:rFonts w:ascii="Arial" w:cs="Arial" w:eastAsia="Arial" w:hAnsi="Arial"/>
          <w:sz w:val="22"/>
          <w:szCs w:val="22"/>
          <w:color w:val="000000"/>
        </w:rPr>
        <w:t>or</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15(d)</w:t>
      </w:r>
      <w:r>
        <w:rPr>
          <w:rFonts w:ascii="Arial" w:cs="Arial" w:eastAsia="Arial" w:hAnsi="Arial"/>
          <w:sz w:val="22"/>
          <w:szCs w:val="22"/>
          <w:color w:val="0000FF"/>
        </w:rPr>
        <w:t xml:space="preserve"> </w:t>
      </w:r>
      <w:r>
        <w:rPr>
          <w:rFonts w:ascii="Arial" w:cs="Arial" w:eastAsia="Arial" w:hAnsi="Arial"/>
          <w:sz w:val="22"/>
          <w:szCs w:val="22"/>
          <w:color w:val="000000"/>
        </w:rPr>
        <w:t>of the 1934 Act.</w:t>
      </w:r>
    </w:p>
    <w:p>
      <w:pPr>
        <w:spacing w:after="0" w:line="24" w:lineRule="exact"/>
        <w:rPr>
          <w:rFonts w:ascii="Arial" w:cs="Arial" w:eastAsia="Arial" w:hAnsi="Arial"/>
          <w:sz w:val="22"/>
          <w:szCs w:val="22"/>
          <w:color w:val="auto"/>
        </w:rPr>
      </w:pPr>
    </w:p>
    <w:p>
      <w:pPr>
        <w:ind w:left="800" w:hanging="373"/>
        <w:spacing w:after="0"/>
        <w:tabs>
          <w:tab w:leader="none" w:pos="8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"Investment Personnel" means:</w:t>
      </w:r>
    </w:p>
    <w:p>
      <w:pPr>
        <w:spacing w:after="0" w:line="44" w:lineRule="exact"/>
        <w:rPr>
          <w:rFonts w:ascii="Arial" w:cs="Arial" w:eastAsia="Arial" w:hAnsi="Arial"/>
          <w:sz w:val="22"/>
          <w:szCs w:val="22"/>
          <w:color w:val="auto"/>
        </w:rPr>
      </w:pPr>
    </w:p>
    <w:p>
      <w:pPr>
        <w:ind w:left="1540" w:hanging="364"/>
        <w:spacing w:after="0" w:line="250" w:lineRule="auto"/>
        <w:tabs>
          <w:tab w:leader="none" w:pos="15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employee of the Company (or of any company in a Control relationship to the Company), who in connection with his or her regular functions or duties makes or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388" w:right="459" w:bottom="1440" w:gutter="0" w:footer="0" w:header="0"/>
        </w:sectPr>
      </w:pPr>
    </w:p>
    <w:bookmarkStart w:id="110" w:name="page111"/>
    <w:bookmarkEnd w:id="110"/>
    <w:p>
      <w:pPr>
        <w:ind w:left="1540" w:right="1560"/>
        <w:spacing w:after="0" w:line="250" w:lineRule="auto"/>
        <w:rPr>
          <w:sz w:val="20"/>
          <w:szCs w:val="20"/>
          <w:color w:val="auto"/>
        </w:rPr>
      </w:pPr>
      <w:r>
        <w:rPr>
          <w:rFonts w:ascii="Arial" w:cs="Arial" w:eastAsia="Arial" w:hAnsi="Arial"/>
          <w:sz w:val="22"/>
          <w:szCs w:val="22"/>
          <w:color w:val="auto"/>
        </w:rPr>
        <w:t>participates in making recommendations regarding the purchase or sale of securities by the Company; and</w:t>
      </w:r>
    </w:p>
    <w:p>
      <w:pPr>
        <w:spacing w:after="0" w:line="13" w:lineRule="exact"/>
        <w:rPr>
          <w:sz w:val="20"/>
          <w:szCs w:val="20"/>
          <w:color w:val="auto"/>
        </w:rPr>
      </w:pPr>
    </w:p>
    <w:p>
      <w:pPr>
        <w:ind w:left="1540" w:right="660" w:hanging="364"/>
        <w:spacing w:after="0" w:line="296" w:lineRule="auto"/>
        <w:tabs>
          <w:tab w:leader="none" w:pos="1540"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natural person who Controls the Company and obtains information concerning recommendations made to the Company with regard to the purchase or sale of securities by the Company.</w:t>
      </w:r>
    </w:p>
    <w:p>
      <w:pPr>
        <w:spacing w:after="0" w:line="1" w:lineRule="exact"/>
        <w:rPr>
          <w:rFonts w:ascii="Arial" w:cs="Arial" w:eastAsia="Arial" w:hAnsi="Arial"/>
          <w:sz w:val="19"/>
          <w:szCs w:val="19"/>
          <w:color w:val="auto"/>
        </w:rPr>
      </w:pPr>
    </w:p>
    <w:p>
      <w:pPr>
        <w:ind w:left="800" w:right="40" w:hanging="373"/>
        <w:spacing w:after="0" w:line="250" w:lineRule="auto"/>
        <w:tabs>
          <w:tab w:leader="none" w:pos="8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"Limited Offering" means an offering that is exempt from registration under the 1933 Act pursuant to </w:t>
      </w:r>
      <w:r>
        <w:rPr>
          <w:rFonts w:ascii="Arial" w:cs="Arial" w:eastAsia="Arial" w:hAnsi="Arial"/>
          <w:sz w:val="22"/>
          <w:szCs w:val="22"/>
          <w:u w:val="single" w:color="auto"/>
          <w:color w:val="0000FF"/>
        </w:rPr>
        <w:t>Section 4(2) 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Section 4(6)</w:t>
      </w:r>
      <w:r>
        <w:rPr>
          <w:rFonts w:ascii="Arial" w:cs="Arial" w:eastAsia="Arial" w:hAnsi="Arial"/>
          <w:sz w:val="22"/>
          <w:szCs w:val="22"/>
          <w:color w:val="0000FF"/>
        </w:rPr>
        <w:t xml:space="preserve"> </w:t>
      </w:r>
      <w:r>
        <w:rPr>
          <w:rFonts w:ascii="Arial" w:cs="Arial" w:eastAsia="Arial" w:hAnsi="Arial"/>
          <w:sz w:val="22"/>
          <w:szCs w:val="22"/>
          <w:color w:val="000000"/>
        </w:rPr>
        <w:t>thereof or pursuant to</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504</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505</w:t>
      </w:r>
      <w:r>
        <w:rPr>
          <w:rFonts w:ascii="Arial" w:cs="Arial" w:eastAsia="Arial" w:hAnsi="Arial"/>
          <w:sz w:val="22"/>
          <w:szCs w:val="22"/>
          <w:color w:val="000000"/>
        </w:rPr>
        <w:t>, or</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506</w:t>
      </w:r>
      <w:r>
        <w:rPr>
          <w:rFonts w:ascii="Arial" w:cs="Arial" w:eastAsia="Arial" w:hAnsi="Arial"/>
          <w:sz w:val="22"/>
          <w:szCs w:val="22"/>
          <w:color w:val="0000FF"/>
        </w:rPr>
        <w:t xml:space="preserve"> </w:t>
      </w:r>
      <w:r>
        <w:rPr>
          <w:rFonts w:ascii="Arial" w:cs="Arial" w:eastAsia="Arial" w:hAnsi="Arial"/>
          <w:sz w:val="22"/>
          <w:szCs w:val="22"/>
          <w:color w:val="000000"/>
        </w:rPr>
        <w:t>thereunder.</w:t>
      </w:r>
    </w:p>
    <w:p>
      <w:pPr>
        <w:spacing w:after="0" w:line="12" w:lineRule="exact"/>
        <w:rPr>
          <w:rFonts w:ascii="Arial" w:cs="Arial" w:eastAsia="Arial" w:hAnsi="Arial"/>
          <w:sz w:val="22"/>
          <w:szCs w:val="22"/>
          <w:color w:val="auto"/>
        </w:rPr>
      </w:pPr>
    </w:p>
    <w:p>
      <w:pPr>
        <w:ind w:left="800" w:right="180" w:hanging="373"/>
        <w:spacing w:after="0" w:line="250" w:lineRule="auto"/>
        <w:tabs>
          <w:tab w:leader="none" w:pos="8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"purchase or sale of a Covered Security" includes, among other things, the writing of an option to purchase or sell a Covered Security.</w:t>
      </w:r>
    </w:p>
    <w:p>
      <w:pPr>
        <w:spacing w:after="0" w:line="12" w:lineRule="exact"/>
        <w:rPr>
          <w:rFonts w:ascii="Arial" w:cs="Arial" w:eastAsia="Arial" w:hAnsi="Arial"/>
          <w:sz w:val="22"/>
          <w:szCs w:val="22"/>
          <w:color w:val="auto"/>
        </w:rPr>
      </w:pPr>
    </w:p>
    <w:p>
      <w:pPr>
        <w:ind w:left="800" w:hanging="373"/>
        <w:spacing w:after="0" w:line="273" w:lineRule="auto"/>
        <w:tabs>
          <w:tab w:leader="none" w:pos="8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"Security" means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 w:lineRule="exact"/>
        <w:rPr>
          <w:rFonts w:ascii="Arial" w:cs="Arial" w:eastAsia="Arial" w:hAnsi="Arial"/>
          <w:sz w:val="19"/>
          <w:szCs w:val="19"/>
          <w:color w:val="auto"/>
        </w:rPr>
      </w:pPr>
    </w:p>
    <w:p>
      <w:pPr>
        <w:ind w:left="800" w:hanging="373"/>
        <w:spacing w:after="0"/>
        <w:tabs>
          <w:tab w:leader="none" w:pos="8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"Security Held or to be Acquired by the Company" means:</w:t>
      </w:r>
    </w:p>
    <w:p>
      <w:pPr>
        <w:spacing w:after="0" w:line="44" w:lineRule="exact"/>
        <w:rPr>
          <w:rFonts w:ascii="Arial" w:cs="Arial" w:eastAsia="Arial" w:hAnsi="Arial"/>
          <w:sz w:val="22"/>
          <w:szCs w:val="22"/>
          <w:color w:val="auto"/>
        </w:rPr>
      </w:pPr>
    </w:p>
    <w:p>
      <w:pPr>
        <w:ind w:left="1540" w:right="20" w:hanging="364"/>
        <w:spacing w:after="0" w:line="296" w:lineRule="auto"/>
        <w:tabs>
          <w:tab w:leader="none" w:pos="1540"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Covered Security which, within the most recent 15 days: (A) is or has been held by the Company; or (B) is being or has been considered by the Company for purchase by the Company; and</w:t>
      </w:r>
    </w:p>
    <w:p>
      <w:pPr>
        <w:spacing w:after="0" w:line="1" w:lineRule="exact"/>
        <w:rPr>
          <w:rFonts w:ascii="Arial" w:cs="Arial" w:eastAsia="Arial" w:hAnsi="Arial"/>
          <w:sz w:val="19"/>
          <w:szCs w:val="19"/>
          <w:color w:val="auto"/>
        </w:rPr>
      </w:pPr>
    </w:p>
    <w:p>
      <w:pPr>
        <w:ind w:left="1540" w:right="400" w:hanging="364"/>
        <w:spacing w:after="0" w:line="250" w:lineRule="auto"/>
        <w:tabs>
          <w:tab w:leader="none" w:pos="15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option to purchase or sell, and any security convertible into or exchangeable for, a Covered Security described in clause (i) above.</w:t>
      </w:r>
    </w:p>
    <w:p>
      <w:pPr>
        <w:spacing w:after="0" w:line="12" w:lineRule="exact"/>
        <w:rPr>
          <w:rFonts w:ascii="Arial" w:cs="Arial" w:eastAsia="Arial" w:hAnsi="Arial"/>
          <w:sz w:val="22"/>
          <w:szCs w:val="22"/>
          <w:color w:val="auto"/>
        </w:rPr>
      </w:pPr>
    </w:p>
    <w:p>
      <w:pPr>
        <w:ind w:left="780" w:right="460" w:hanging="353"/>
        <w:spacing w:after="0"/>
        <w:tabs>
          <w:tab w:leader="none" w:pos="7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"Third Party Account" means an account in which a Covered Security is held for the benefit of any individual or entity other than the Company with respect to which an Access Person exercises investment discretion or provides investment advice.</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TANDARDS OF</w:t>
      </w:r>
      <w:r>
        <w:rPr>
          <w:rFonts w:ascii="Arial" w:cs="Arial" w:eastAsia="Arial" w:hAnsi="Arial"/>
          <w:sz w:val="22"/>
          <w:szCs w:val="22"/>
          <w:color w:val="auto"/>
        </w:rPr>
        <w:t xml:space="preserve"> C</w:t>
      </w:r>
      <w:r>
        <w:rPr>
          <w:rFonts w:ascii="Arial" w:cs="Arial" w:eastAsia="Arial" w:hAnsi="Arial"/>
          <w:sz w:val="17"/>
          <w:szCs w:val="17"/>
          <w:color w:val="auto"/>
        </w:rPr>
        <w:t>ONDUCT</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General Standards.</w:t>
      </w:r>
    </w:p>
    <w:p>
      <w:pPr>
        <w:spacing w:after="0" w:line="361" w:lineRule="exact"/>
        <w:rPr>
          <w:sz w:val="20"/>
          <w:szCs w:val="20"/>
          <w:color w:val="auto"/>
        </w:rPr>
      </w:pPr>
    </w:p>
    <w:p>
      <w:pPr>
        <w:ind w:left="780" w:hanging="353"/>
        <w:spacing w:after="0"/>
        <w:tabs>
          <w:tab w:leader="none" w:pos="7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No Access Person shall, in breach of any fiduciary duty he or she owes to the Company and its stockholders:</w:t>
      </w:r>
    </w:p>
    <w:p>
      <w:pPr>
        <w:spacing w:after="0" w:line="55" w:lineRule="exact"/>
        <w:rPr>
          <w:rFonts w:ascii="Arial" w:cs="Arial" w:eastAsia="Arial" w:hAnsi="Arial"/>
          <w:sz w:val="21"/>
          <w:szCs w:val="21"/>
          <w:color w:val="auto"/>
        </w:rPr>
      </w:pPr>
    </w:p>
    <w:p>
      <w:pPr>
        <w:ind w:left="1540" w:hanging="364"/>
        <w:spacing w:after="0"/>
        <w:tabs>
          <w:tab w:leader="none" w:pos="1540" w:val="left"/>
        </w:tabs>
        <w:numPr>
          <w:ilvl w:val="1"/>
          <w:numId w:val="92"/>
        </w:numPr>
        <w:rPr>
          <w:rFonts w:ascii="Arial" w:cs="Arial" w:eastAsia="Arial" w:hAnsi="Arial"/>
          <w:sz w:val="21"/>
          <w:szCs w:val="21"/>
          <w:color w:val="auto"/>
        </w:rPr>
      </w:pPr>
      <w:r>
        <w:rPr>
          <w:rFonts w:ascii="Arial" w:cs="Arial" w:eastAsia="Arial" w:hAnsi="Arial"/>
          <w:sz w:val="21"/>
          <w:szCs w:val="21"/>
          <w:color w:val="auto"/>
        </w:rPr>
        <w:t>engage, directly or indirectly, in any business investment in a manner detrimental to the Company; or</w:t>
      </w:r>
    </w:p>
    <w:p>
      <w:pPr>
        <w:spacing w:after="0" w:line="55" w:lineRule="exact"/>
        <w:rPr>
          <w:rFonts w:ascii="Arial" w:cs="Arial" w:eastAsia="Arial" w:hAnsi="Arial"/>
          <w:sz w:val="21"/>
          <w:szCs w:val="21"/>
          <w:color w:val="auto"/>
        </w:rPr>
      </w:pPr>
    </w:p>
    <w:p>
      <w:pPr>
        <w:ind w:left="1520" w:right="1060" w:hanging="344"/>
        <w:spacing w:after="0" w:line="250" w:lineRule="auto"/>
        <w:tabs>
          <w:tab w:leader="none" w:pos="15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use confidential information gained by reason of his or her employment by or affiliation with the Company in a manner detrimental to the Company.</w:t>
      </w:r>
    </w:p>
    <w:p>
      <w:pPr>
        <w:spacing w:after="0" w:line="12" w:lineRule="exact"/>
        <w:rPr>
          <w:rFonts w:ascii="Arial" w:cs="Arial" w:eastAsia="Arial" w:hAnsi="Arial"/>
          <w:sz w:val="22"/>
          <w:szCs w:val="22"/>
          <w:color w:val="auto"/>
        </w:rPr>
      </w:pPr>
    </w:p>
    <w:p>
      <w:pPr>
        <w:ind w:left="780" w:right="640" w:hanging="353"/>
        <w:spacing w:after="0" w:line="250" w:lineRule="auto"/>
        <w:tabs>
          <w:tab w:leader="none" w:pos="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At the time that an Access Person recommends or authorizes the purchase or sale of a Covered Security by the Company, he or she shall disclose to the Designated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388" w:right="539" w:bottom="1440" w:gutter="0" w:footer="0" w:header="0"/>
        </w:sectPr>
      </w:pPr>
    </w:p>
    <w:bookmarkStart w:id="111" w:name="page112"/>
    <w:bookmarkEnd w:id="111"/>
    <w:p>
      <w:pPr>
        <w:ind w:left="1540" w:hanging="364"/>
        <w:spacing w:after="0"/>
        <w:tabs>
          <w:tab w:leader="none" w:pos="1540" w:val="left"/>
        </w:tabs>
        <w:numPr>
          <w:ilvl w:val="2"/>
          <w:numId w:val="93"/>
        </w:numPr>
        <w:rPr>
          <w:rFonts w:ascii="Arial" w:cs="Arial" w:eastAsia="Arial" w:hAnsi="Arial"/>
          <w:sz w:val="22"/>
          <w:szCs w:val="22"/>
          <w:color w:val="auto"/>
        </w:rPr>
      </w:pPr>
      <w:r>
        <w:rPr>
          <w:rFonts w:ascii="Arial" w:cs="Arial" w:eastAsia="Arial" w:hAnsi="Arial"/>
          <w:sz w:val="22"/>
          <w:szCs w:val="22"/>
          <w:color w:val="auto"/>
        </w:rPr>
        <w:t>any Beneficial Ownership in such Covered Security that he or she has or proposes to acquire;</w:t>
      </w:r>
    </w:p>
    <w:p>
      <w:pPr>
        <w:spacing w:after="0" w:line="44" w:lineRule="exact"/>
        <w:rPr>
          <w:rFonts w:ascii="Arial" w:cs="Arial" w:eastAsia="Arial" w:hAnsi="Arial"/>
          <w:sz w:val="22"/>
          <w:szCs w:val="22"/>
          <w:color w:val="auto"/>
        </w:rPr>
      </w:pPr>
    </w:p>
    <w:p>
      <w:pPr>
        <w:ind w:left="1540" w:right="840" w:hanging="364"/>
        <w:spacing w:after="0" w:line="250" w:lineRule="auto"/>
        <w:tabs>
          <w:tab w:leader="none" w:pos="1540" w:val="left"/>
        </w:tabs>
        <w:numPr>
          <w:ilvl w:val="2"/>
          <w:numId w:val="93"/>
        </w:numPr>
        <w:rPr>
          <w:rFonts w:ascii="Arial" w:cs="Arial" w:eastAsia="Arial" w:hAnsi="Arial"/>
          <w:sz w:val="22"/>
          <w:szCs w:val="22"/>
          <w:color w:val="auto"/>
        </w:rPr>
      </w:pPr>
      <w:r>
        <w:rPr>
          <w:rFonts w:ascii="Arial" w:cs="Arial" w:eastAsia="Arial" w:hAnsi="Arial"/>
          <w:sz w:val="22"/>
          <w:szCs w:val="22"/>
          <w:color w:val="auto"/>
        </w:rPr>
        <w:t>any interest he or she has or proposes to acquire in any Third Party Account in which such Covered Security is held; and</w:t>
      </w:r>
    </w:p>
    <w:p>
      <w:pPr>
        <w:spacing w:after="0" w:line="12" w:lineRule="exact"/>
        <w:rPr>
          <w:rFonts w:ascii="Arial" w:cs="Arial" w:eastAsia="Arial" w:hAnsi="Arial"/>
          <w:sz w:val="22"/>
          <w:szCs w:val="22"/>
          <w:color w:val="auto"/>
        </w:rPr>
      </w:pPr>
    </w:p>
    <w:p>
      <w:pPr>
        <w:ind w:left="1540" w:right="520" w:hanging="364"/>
        <w:spacing w:after="0" w:line="250" w:lineRule="auto"/>
        <w:tabs>
          <w:tab w:leader="none" w:pos="1540" w:val="left"/>
        </w:tabs>
        <w:numPr>
          <w:ilvl w:val="2"/>
          <w:numId w:val="93"/>
        </w:numPr>
        <w:rPr>
          <w:rFonts w:ascii="Arial" w:cs="Arial" w:eastAsia="Arial" w:hAnsi="Arial"/>
          <w:sz w:val="22"/>
          <w:szCs w:val="22"/>
          <w:color w:val="auto"/>
        </w:rPr>
      </w:pPr>
      <w:r>
        <w:rPr>
          <w:rFonts w:ascii="Arial" w:cs="Arial" w:eastAsia="Arial" w:hAnsi="Arial"/>
          <w:sz w:val="22"/>
          <w:szCs w:val="22"/>
          <w:color w:val="auto"/>
        </w:rPr>
        <w:t>any interest in or relationship with the issuer of such Covered Security that he or she has or proposes to acquire.</w:t>
      </w:r>
    </w:p>
    <w:p>
      <w:pPr>
        <w:spacing w:after="0" w:line="12" w:lineRule="exact"/>
        <w:rPr>
          <w:rFonts w:ascii="Arial" w:cs="Arial" w:eastAsia="Arial" w:hAnsi="Arial"/>
          <w:sz w:val="22"/>
          <w:szCs w:val="22"/>
          <w:color w:val="auto"/>
        </w:rPr>
      </w:pPr>
    </w:p>
    <w:p>
      <w:pPr>
        <w:ind w:left="800" w:right="260" w:hanging="373"/>
        <w:spacing w:after="0" w:line="296" w:lineRule="auto"/>
        <w:tabs>
          <w:tab w:leader="none" w:pos="8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Each Access Person must conduct his or her personal securities transactions in a manner that is consistent with this Code of Ethics and that will avoid an abuse of his or her position of trust and responsibility within the Company.</w:t>
      </w:r>
    </w:p>
    <w:p>
      <w:pPr>
        <w:spacing w:after="0" w:line="1" w:lineRule="exact"/>
        <w:rPr>
          <w:rFonts w:ascii="Arial" w:cs="Arial" w:eastAsia="Arial" w:hAnsi="Arial"/>
          <w:sz w:val="19"/>
          <w:szCs w:val="19"/>
          <w:color w:val="auto"/>
        </w:rPr>
      </w:pPr>
    </w:p>
    <w:p>
      <w:pPr>
        <w:ind w:left="800" w:right="380" w:hanging="373"/>
        <w:spacing w:after="0" w:line="250" w:lineRule="auto"/>
        <w:tabs>
          <w:tab w:leader="none" w:pos="800" w:val="left"/>
        </w:tabs>
        <w:numPr>
          <w:ilvl w:val="1"/>
          <w:numId w:val="94"/>
        </w:numPr>
        <w:rPr>
          <w:rFonts w:ascii="Arial" w:cs="Arial" w:eastAsia="Arial" w:hAnsi="Arial"/>
          <w:sz w:val="22"/>
          <w:szCs w:val="22"/>
          <w:color w:val="auto"/>
        </w:rPr>
      </w:pPr>
      <w:r>
        <w:rPr>
          <w:rFonts w:ascii="Arial" w:cs="Arial" w:eastAsia="Arial" w:hAnsi="Arial"/>
          <w:sz w:val="22"/>
          <w:szCs w:val="22"/>
          <w:color w:val="auto"/>
        </w:rPr>
        <w:t>No Access Person shall engage in any act, practice, or course of business that is in breach of the fiduciary duty of care, loyalty, honesty and good faith that he or she owes to the Company.</w:t>
      </w:r>
    </w:p>
    <w:p>
      <w:pPr>
        <w:spacing w:after="0" w:line="12" w:lineRule="exact"/>
        <w:rPr>
          <w:rFonts w:ascii="Arial" w:cs="Arial" w:eastAsia="Arial" w:hAnsi="Arial"/>
          <w:sz w:val="22"/>
          <w:szCs w:val="22"/>
          <w:color w:val="auto"/>
        </w:rPr>
      </w:pPr>
    </w:p>
    <w:p>
      <w:pPr>
        <w:ind w:left="800" w:hanging="374"/>
        <w:spacing w:after="0" w:line="274" w:lineRule="auto"/>
        <w:tabs>
          <w:tab w:leader="none" w:pos="8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No Access Person shall, in connection with the purchase or sale, directly or indirectly, of any Security Held or to be Acquired by the Company, engage in any act, practice or course of business in violation of the Federal Securities Laws. Without limiting the generality of the foregoing, note that “Insider Trading”, which is the misuse of material non-public information concerning an issuer, relates not only to the Company but to </w:t>
      </w:r>
      <w:r>
        <w:rPr>
          <w:rFonts w:ascii="Arial" w:cs="Arial" w:eastAsia="Arial" w:hAnsi="Arial"/>
          <w:sz w:val="19"/>
          <w:szCs w:val="19"/>
          <w:i w:val="1"/>
          <w:iCs w:val="1"/>
          <w:color w:val="auto"/>
        </w:rPr>
        <w:t>any</w:t>
      </w:r>
      <w:r>
        <w:rPr>
          <w:rFonts w:ascii="Arial" w:cs="Arial" w:eastAsia="Arial" w:hAnsi="Arial"/>
          <w:sz w:val="19"/>
          <w:szCs w:val="19"/>
          <w:color w:val="auto"/>
        </w:rPr>
        <w:t xml:space="preserve"> company. Reference is made to the Company </w:t>
      </w:r>
      <w:r>
        <w:rPr>
          <w:rFonts w:ascii="Arial" w:cs="Arial" w:eastAsia="Arial" w:hAnsi="Arial"/>
          <w:sz w:val="19"/>
          <w:szCs w:val="19"/>
          <w:i w:val="1"/>
          <w:iCs w:val="1"/>
          <w:color w:val="auto"/>
        </w:rPr>
        <w:t>Insider Trading Policy – Trading of Company Shares</w:t>
      </w:r>
      <w:r>
        <w:rPr>
          <w:rFonts w:ascii="Arial" w:cs="Arial" w:eastAsia="Arial" w:hAnsi="Arial"/>
          <w:sz w:val="19"/>
          <w:szCs w:val="19"/>
          <w:color w:val="auto"/>
        </w:rPr>
        <w:t xml:space="preserve"> for a general discussion of the issue. To that end, No Access Person shall (a) disclose material non-public information received or developed by the Company concerning </w:t>
      </w:r>
      <w:r>
        <w:rPr>
          <w:rFonts w:ascii="Arial" w:cs="Arial" w:eastAsia="Arial" w:hAnsi="Arial"/>
          <w:sz w:val="19"/>
          <w:szCs w:val="19"/>
          <w:i w:val="1"/>
          <w:iCs w:val="1"/>
          <w:color w:val="auto"/>
        </w:rPr>
        <w:t>any</w:t>
      </w:r>
      <w:r>
        <w:rPr>
          <w:rFonts w:ascii="Arial" w:cs="Arial" w:eastAsia="Arial" w:hAnsi="Arial"/>
          <w:sz w:val="19"/>
          <w:szCs w:val="19"/>
          <w:color w:val="auto"/>
        </w:rPr>
        <w:t xml:space="preserve"> issuer to any other person; disclose material non-public information otherwise received to any person; and effect any transaction in any security or commodity on the basis of material non-public information, regardless of whether such information was received or developed by the Company in connection with its business or otherwise.</w:t>
      </w:r>
    </w:p>
    <w:p>
      <w:pPr>
        <w:spacing w:after="0" w:line="287"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b w:val="1"/>
          <w:bCs w:val="1"/>
          <w:color w:val="auto"/>
        </w:rPr>
        <w:t>Prohibited Transactions.</w:t>
      </w:r>
    </w:p>
    <w:p>
      <w:pPr>
        <w:spacing w:after="0" w:line="360" w:lineRule="exact"/>
        <w:rPr>
          <w:rFonts w:ascii="Arial" w:cs="Arial" w:eastAsia="Arial" w:hAnsi="Arial"/>
          <w:sz w:val="19"/>
          <w:szCs w:val="19"/>
          <w:color w:val="auto"/>
        </w:rPr>
      </w:pPr>
    </w:p>
    <w:p>
      <w:pPr>
        <w:ind w:left="800" w:right="260" w:hanging="374"/>
        <w:spacing w:after="0" w:line="252" w:lineRule="auto"/>
        <w:tabs>
          <w:tab w:leader="none" w:pos="800" w:val="left"/>
        </w:tabs>
        <w:numPr>
          <w:ilvl w:val="1"/>
          <w:numId w:val="95"/>
        </w:numPr>
        <w:rPr>
          <w:rFonts w:ascii="Arial" w:cs="Arial" w:eastAsia="Arial" w:hAnsi="Arial"/>
          <w:sz w:val="21"/>
          <w:szCs w:val="21"/>
          <w:color w:val="auto"/>
        </w:rPr>
      </w:pPr>
      <w:r>
        <w:rPr>
          <w:rFonts w:ascii="Arial" w:cs="Arial" w:eastAsia="Arial" w:hAnsi="Arial"/>
          <w:sz w:val="21"/>
          <w:szCs w:val="21"/>
          <w:i w:val="1"/>
          <w:iCs w:val="1"/>
          <w:color w:val="auto"/>
        </w:rPr>
        <w:t>General Prohibition</w:t>
      </w:r>
      <w:r>
        <w:rPr>
          <w:rFonts w:ascii="Arial" w:cs="Arial" w:eastAsia="Arial" w:hAnsi="Arial"/>
          <w:sz w:val="21"/>
          <w:szCs w:val="21"/>
          <w:color w:val="auto"/>
        </w:rPr>
        <w:t>. Unless an Access Person shall have obtained prior approval from the Designated Officer, no</w:t>
      </w:r>
      <w:r>
        <w:rPr>
          <w:rFonts w:ascii="Arial" w:cs="Arial" w:eastAsia="Arial" w:hAnsi="Arial"/>
          <w:sz w:val="21"/>
          <w:szCs w:val="21"/>
          <w:i w:val="1"/>
          <w:iCs w:val="1"/>
          <w:color w:val="auto"/>
        </w:rPr>
        <w:t xml:space="preserve"> </w:t>
      </w:r>
      <w:r>
        <w:rPr>
          <w:rFonts w:ascii="Arial" w:cs="Arial" w:eastAsia="Arial" w:hAnsi="Arial"/>
          <w:sz w:val="21"/>
          <w:szCs w:val="21"/>
          <w:color w:val="auto"/>
        </w:rPr>
        <w:t>Access Person shall purchase or sell (or otherwise acquire or dispose of) direct or indirect Beneficial Ownership of any Covered Security if, at the time of such transaction, such Access Person knows or should have known such Covered Security is a Security Held or to be Acquired by the Company.</w:t>
      </w:r>
    </w:p>
    <w:p>
      <w:pPr>
        <w:spacing w:after="0" w:line="308" w:lineRule="exact"/>
        <w:rPr>
          <w:rFonts w:ascii="Arial" w:cs="Arial" w:eastAsia="Arial" w:hAnsi="Arial"/>
          <w:sz w:val="21"/>
          <w:szCs w:val="21"/>
          <w:color w:val="auto"/>
        </w:rPr>
      </w:pPr>
    </w:p>
    <w:p>
      <w:pPr>
        <w:ind w:left="800" w:right="180"/>
        <w:spacing w:after="0" w:line="250" w:lineRule="auto"/>
        <w:rPr>
          <w:rFonts w:ascii="Arial" w:cs="Arial" w:eastAsia="Arial" w:hAnsi="Arial"/>
          <w:sz w:val="21"/>
          <w:szCs w:val="21"/>
          <w:color w:val="auto"/>
        </w:rPr>
      </w:pPr>
      <w:r>
        <w:rPr>
          <w:rFonts w:ascii="Arial" w:cs="Arial" w:eastAsia="Arial" w:hAnsi="Arial"/>
          <w:sz w:val="22"/>
          <w:szCs w:val="22"/>
          <w:color w:val="auto"/>
        </w:rPr>
        <w:t>If an Access Person becomes aware that the Company is considering the purchase or sale of a Covered Security, the Access Person must promptly notify the Designated Officer of:</w:t>
      </w:r>
    </w:p>
    <w:p>
      <w:pPr>
        <w:spacing w:after="0" w:line="201" w:lineRule="exact"/>
        <w:rPr>
          <w:rFonts w:ascii="Arial" w:cs="Arial" w:eastAsia="Arial" w:hAnsi="Arial"/>
          <w:sz w:val="21"/>
          <w:szCs w:val="21"/>
          <w:color w:val="auto"/>
        </w:rPr>
      </w:pPr>
    </w:p>
    <w:p>
      <w:pPr>
        <w:ind w:left="1540" w:hanging="365"/>
        <w:spacing w:after="0"/>
        <w:tabs>
          <w:tab w:leader="none" w:pos="1540" w:val="left"/>
        </w:tabs>
        <w:numPr>
          <w:ilvl w:val="2"/>
          <w:numId w:val="95"/>
        </w:numPr>
        <w:rPr>
          <w:rFonts w:ascii="Arial" w:cs="Arial" w:eastAsia="Arial" w:hAnsi="Arial"/>
          <w:sz w:val="22"/>
          <w:szCs w:val="22"/>
          <w:color w:val="auto"/>
        </w:rPr>
      </w:pPr>
      <w:r>
        <w:rPr>
          <w:rFonts w:ascii="Arial" w:cs="Arial" w:eastAsia="Arial" w:hAnsi="Arial"/>
          <w:sz w:val="22"/>
          <w:szCs w:val="22"/>
          <w:color w:val="auto"/>
        </w:rPr>
        <w:t>any interest that he or she has in any outstanding Covered Security of the same issuer; and</w:t>
      </w:r>
    </w:p>
    <w:p>
      <w:pPr>
        <w:spacing w:after="0" w:line="44" w:lineRule="exact"/>
        <w:rPr>
          <w:rFonts w:ascii="Arial" w:cs="Arial" w:eastAsia="Arial" w:hAnsi="Arial"/>
          <w:sz w:val="22"/>
          <w:szCs w:val="22"/>
          <w:color w:val="auto"/>
        </w:rPr>
      </w:pPr>
    </w:p>
    <w:p>
      <w:pPr>
        <w:ind w:left="1540" w:hanging="365"/>
        <w:spacing w:after="0"/>
        <w:tabs>
          <w:tab w:leader="none" w:pos="1540" w:val="left"/>
        </w:tabs>
        <w:numPr>
          <w:ilvl w:val="2"/>
          <w:numId w:val="95"/>
        </w:numPr>
        <w:rPr>
          <w:rFonts w:ascii="Arial" w:cs="Arial" w:eastAsia="Arial" w:hAnsi="Arial"/>
          <w:sz w:val="22"/>
          <w:szCs w:val="22"/>
          <w:color w:val="auto"/>
        </w:rPr>
      </w:pPr>
      <w:r>
        <w:rPr>
          <w:rFonts w:ascii="Arial" w:cs="Arial" w:eastAsia="Arial" w:hAnsi="Arial"/>
          <w:sz w:val="22"/>
          <w:szCs w:val="22"/>
          <w:color w:val="auto"/>
        </w:rPr>
        <w:t>any other interest in or relationship with the issuer that he or she has or proposes to acquire.</w:t>
      </w:r>
    </w:p>
    <w:p>
      <w:pPr>
        <w:spacing w:after="0" w:line="44" w:lineRule="exact"/>
        <w:rPr>
          <w:rFonts w:ascii="Arial" w:cs="Arial" w:eastAsia="Arial" w:hAnsi="Arial"/>
          <w:sz w:val="22"/>
          <w:szCs w:val="22"/>
          <w:color w:val="auto"/>
        </w:rPr>
      </w:pPr>
    </w:p>
    <w:p>
      <w:pPr>
        <w:jc w:val="both"/>
        <w:ind w:left="800" w:right="80" w:hanging="374"/>
        <w:spacing w:after="0"/>
        <w:tabs>
          <w:tab w:leader="none" w:pos="800" w:val="left"/>
        </w:tabs>
        <w:numPr>
          <w:ilvl w:val="1"/>
          <w:numId w:val="95"/>
        </w:numPr>
        <w:rPr>
          <w:rFonts w:ascii="Arial" w:cs="Arial" w:eastAsia="Arial" w:hAnsi="Arial"/>
          <w:sz w:val="22"/>
          <w:szCs w:val="22"/>
          <w:color w:val="auto"/>
        </w:rPr>
      </w:pPr>
      <w:r>
        <w:rPr>
          <w:rFonts w:ascii="Arial" w:cs="Arial" w:eastAsia="Arial" w:hAnsi="Arial"/>
          <w:sz w:val="22"/>
          <w:szCs w:val="22"/>
          <w:i w:val="1"/>
          <w:iCs w:val="1"/>
          <w:color w:val="auto"/>
        </w:rPr>
        <w:t>Insider Trading</w:t>
      </w:r>
      <w:r>
        <w:rPr>
          <w:rFonts w:ascii="Arial" w:cs="Arial" w:eastAsia="Arial" w:hAnsi="Arial"/>
          <w:sz w:val="22"/>
          <w:szCs w:val="22"/>
          <w:color w:val="auto"/>
        </w:rPr>
        <w:t>. No Access Person may buy or sell securities (including but not limited to the Company’s stock)</w:t>
      </w:r>
      <w:r>
        <w:rPr>
          <w:rFonts w:ascii="Arial" w:cs="Arial" w:eastAsia="Arial" w:hAnsi="Arial"/>
          <w:sz w:val="22"/>
          <w:szCs w:val="22"/>
          <w:i w:val="1"/>
          <w:iCs w:val="1"/>
          <w:color w:val="auto"/>
        </w:rPr>
        <w:t xml:space="preserve"> </w:t>
      </w:r>
      <w:r>
        <w:rPr>
          <w:rFonts w:ascii="Arial" w:cs="Arial" w:eastAsia="Arial" w:hAnsi="Arial"/>
          <w:sz w:val="22"/>
          <w:szCs w:val="22"/>
          <w:color w:val="auto"/>
        </w:rPr>
        <w:t>while in possession of material non-public information (“inside information”). In addition, no Access Person may disclose material non-public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388" w:right="519" w:bottom="1440" w:gutter="0" w:footer="0" w:header="0"/>
        </w:sectPr>
      </w:pPr>
    </w:p>
    <w:bookmarkStart w:id="112" w:name="page113"/>
    <w:bookmarkEnd w:id="112"/>
    <w:p>
      <w:pPr>
        <w:ind w:left="800" w:right="620"/>
        <w:spacing w:after="0" w:line="250" w:lineRule="auto"/>
        <w:rPr>
          <w:sz w:val="20"/>
          <w:szCs w:val="20"/>
          <w:color w:val="auto"/>
        </w:rPr>
      </w:pPr>
      <w:r>
        <w:rPr>
          <w:rFonts w:ascii="Arial" w:cs="Arial" w:eastAsia="Arial" w:hAnsi="Arial"/>
          <w:sz w:val="22"/>
          <w:szCs w:val="22"/>
          <w:color w:val="auto"/>
        </w:rPr>
        <w:t>information to outsiders, including family members and others (tipping), who then trade in the securities or the securities the Company or of another company on the basis of that information.</w:t>
      </w:r>
    </w:p>
    <w:p>
      <w:pPr>
        <w:spacing w:after="0" w:line="13" w:lineRule="exact"/>
        <w:rPr>
          <w:sz w:val="20"/>
          <w:szCs w:val="20"/>
          <w:color w:val="auto"/>
        </w:rPr>
      </w:pPr>
    </w:p>
    <w:p>
      <w:pPr>
        <w:ind w:left="800" w:right="140"/>
        <w:spacing w:after="0" w:line="279" w:lineRule="auto"/>
        <w:rPr>
          <w:sz w:val="20"/>
          <w:szCs w:val="20"/>
          <w:color w:val="auto"/>
        </w:rPr>
      </w:pPr>
      <w:r>
        <w:rPr>
          <w:rFonts w:ascii="Arial" w:cs="Arial" w:eastAsia="Arial" w:hAnsi="Arial"/>
          <w:sz w:val="19"/>
          <w:szCs w:val="19"/>
          <w:color w:val="auto"/>
        </w:rPr>
        <w:t>Rule 10b5-1 under the 1934 Act may permit pre-planned trading in securities about which an individual or entity possesses inside information. By documenting a 10b5-1 plan prior to the receipt of inside information, the Company or its Access Persons may be able to show that trades were not made based on the inside information. A 10b5-1 plan must be established in good faith prior to the receipt of inside information, must define specific trading parameters that will be followed consistently, and must be implemented by a third party. Neither the Company nor any Access Person may establish or trade on a 10b5-1 plan without written pre-approval from the CCO.</w:t>
      </w:r>
    </w:p>
    <w:p>
      <w:pPr>
        <w:spacing w:after="0" w:line="285" w:lineRule="exact"/>
        <w:rPr>
          <w:sz w:val="20"/>
          <w:szCs w:val="20"/>
          <w:color w:val="auto"/>
        </w:rPr>
      </w:pPr>
    </w:p>
    <w:p>
      <w:pPr>
        <w:ind w:left="780" w:right="180" w:hanging="354"/>
        <w:spacing w:after="0" w:line="281" w:lineRule="auto"/>
        <w:tabs>
          <w:tab w:leader="none" w:pos="78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Gifts</w:t>
      </w:r>
      <w:r>
        <w:rPr>
          <w:rFonts w:ascii="Arial" w:cs="Arial" w:eastAsia="Arial" w:hAnsi="Arial"/>
          <w:sz w:val="19"/>
          <w:szCs w:val="19"/>
          <w:color w:val="auto"/>
        </w:rPr>
        <w:t>. No Access Person may accept any gift, favor, or service from any person with whom he or she transacts</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on behalf of the Company, if to do so would conflict with the Company's best interests or would impair the ability of such person to be completely disinterested when required, in the course of business, to make judgments and/or recommendations on behalf of the Company. See the BC Partners Gift and Entertainment Policy.</w:t>
      </w:r>
    </w:p>
    <w:p>
      <w:pPr>
        <w:spacing w:after="0" w:line="2" w:lineRule="exact"/>
        <w:rPr>
          <w:rFonts w:ascii="Arial" w:cs="Arial" w:eastAsia="Arial" w:hAnsi="Arial"/>
          <w:sz w:val="19"/>
          <w:szCs w:val="19"/>
          <w:color w:val="auto"/>
        </w:rPr>
      </w:pPr>
    </w:p>
    <w:p>
      <w:pPr>
        <w:ind w:left="800" w:right="160" w:hanging="374"/>
        <w:spacing w:after="0" w:line="238" w:lineRule="auto"/>
        <w:tabs>
          <w:tab w:leader="none" w:pos="80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Initial Public Offerings and Limited Offerings</w:t>
      </w:r>
      <w:r>
        <w:rPr>
          <w:rFonts w:ascii="Arial" w:cs="Arial" w:eastAsia="Arial" w:hAnsi="Arial"/>
          <w:sz w:val="22"/>
          <w:szCs w:val="22"/>
          <w:color w:val="auto"/>
        </w:rPr>
        <w:t>. Investment Personnel must obtain approval from the Designated</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before directly or indirectly acquiring Beneficial Ownership in any Securities in an Initial Public Offering or Limited Offering. If the Designated Officer is the person whose acquisition requires such approval, he or she may obtain such approval from the President of the Company.</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ROCEDURES TO</w:t>
      </w:r>
      <w:r>
        <w:rPr>
          <w:rFonts w:ascii="Arial" w:cs="Arial" w:eastAsia="Arial" w:hAnsi="Arial"/>
          <w:sz w:val="22"/>
          <w:szCs w:val="22"/>
          <w:color w:val="auto"/>
        </w:rPr>
        <w:t xml:space="preserve"> I</w:t>
      </w:r>
      <w:r>
        <w:rPr>
          <w:rFonts w:ascii="Arial" w:cs="Arial" w:eastAsia="Arial" w:hAnsi="Arial"/>
          <w:sz w:val="17"/>
          <w:szCs w:val="17"/>
          <w:color w:val="auto"/>
        </w:rPr>
        <w:t>MPLEMENT</w:t>
      </w:r>
      <w:r>
        <w:rPr>
          <w:rFonts w:ascii="Arial" w:cs="Arial" w:eastAsia="Arial" w:hAnsi="Arial"/>
          <w:sz w:val="22"/>
          <w:szCs w:val="22"/>
          <w:color w:val="auto"/>
        </w:rPr>
        <w:t xml:space="preserve"> C</w:t>
      </w:r>
      <w:r>
        <w:rPr>
          <w:rFonts w:ascii="Arial" w:cs="Arial" w:eastAsia="Arial" w:hAnsi="Arial"/>
          <w:sz w:val="17"/>
          <w:szCs w:val="17"/>
          <w:color w:val="auto"/>
        </w:rPr>
        <w:t>ODE OF</w:t>
      </w:r>
      <w:r>
        <w:rPr>
          <w:rFonts w:ascii="Arial" w:cs="Arial" w:eastAsia="Arial" w:hAnsi="Arial"/>
          <w:sz w:val="22"/>
          <w:szCs w:val="22"/>
          <w:color w:val="auto"/>
        </w:rPr>
        <w:t xml:space="preserve"> E</w:t>
      </w:r>
      <w:r>
        <w:rPr>
          <w:rFonts w:ascii="Arial" w:cs="Arial" w:eastAsia="Arial" w:hAnsi="Arial"/>
          <w:sz w:val="17"/>
          <w:szCs w:val="17"/>
          <w:color w:val="auto"/>
        </w:rPr>
        <w:t>THICS</w:t>
      </w:r>
    </w:p>
    <w:p>
      <w:pPr>
        <w:spacing w:after="0" w:line="233" w:lineRule="exact"/>
        <w:rPr>
          <w:sz w:val="20"/>
          <w:szCs w:val="20"/>
          <w:color w:val="auto"/>
        </w:rPr>
      </w:pPr>
    </w:p>
    <w:p>
      <w:pPr>
        <w:jc w:val="both"/>
        <w:ind w:left="60" w:right="180" w:firstLine="749"/>
        <w:spacing w:after="0" w:line="297" w:lineRule="auto"/>
        <w:rPr>
          <w:sz w:val="20"/>
          <w:szCs w:val="20"/>
          <w:color w:val="auto"/>
        </w:rPr>
      </w:pPr>
      <w:r>
        <w:rPr>
          <w:rFonts w:ascii="Arial" w:cs="Arial" w:eastAsia="Arial" w:hAnsi="Arial"/>
          <w:sz w:val="19"/>
          <w:szCs w:val="19"/>
          <w:color w:val="auto"/>
        </w:rPr>
        <w:t>The following reporting, review and record keeping procedures have been established to assist in the avoidance of a violation of this Code of Ethics and to assist the Company in preventing, detecting, and imposing sanctions for violations of this Code of Ethics. Questions regarding these procedures should be directed to the Designated Officer.</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Reports to be Filed by Access Persons.</w:t>
      </w:r>
    </w:p>
    <w:p>
      <w:pPr>
        <w:spacing w:after="0" w:line="253" w:lineRule="exact"/>
        <w:rPr>
          <w:sz w:val="20"/>
          <w:szCs w:val="20"/>
          <w:color w:val="auto"/>
        </w:rPr>
      </w:pPr>
    </w:p>
    <w:p>
      <w:pPr>
        <w:ind w:left="800" w:right="180" w:hanging="374"/>
        <w:spacing w:after="0" w:line="250" w:lineRule="auto"/>
        <w:tabs>
          <w:tab w:leader="none" w:pos="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Except as noted below in the </w:t>
      </w:r>
      <w:r>
        <w:rPr>
          <w:rFonts w:ascii="Arial" w:cs="Arial" w:eastAsia="Arial" w:hAnsi="Arial"/>
          <w:sz w:val="22"/>
          <w:szCs w:val="22"/>
          <w:i w:val="1"/>
          <w:iCs w:val="1"/>
          <w:color w:val="auto"/>
        </w:rPr>
        <w:t>Exceptions from Reporting Requirements</w:t>
      </w:r>
      <w:r>
        <w:rPr>
          <w:rFonts w:ascii="Arial" w:cs="Arial" w:eastAsia="Arial" w:hAnsi="Arial"/>
          <w:sz w:val="22"/>
          <w:szCs w:val="22"/>
          <w:color w:val="auto"/>
        </w:rPr>
        <w:t xml:space="preserve"> section, each Access Person of the Company must complete, sign and file with the Designated Officer:</w:t>
      </w:r>
    </w:p>
    <w:p>
      <w:pPr>
        <w:spacing w:after="0" w:line="12" w:lineRule="exact"/>
        <w:rPr>
          <w:rFonts w:ascii="Arial" w:cs="Arial" w:eastAsia="Arial" w:hAnsi="Arial"/>
          <w:sz w:val="22"/>
          <w:szCs w:val="22"/>
          <w:color w:val="auto"/>
        </w:rPr>
      </w:pPr>
    </w:p>
    <w:p>
      <w:pPr>
        <w:ind w:left="1540" w:hanging="365"/>
        <w:spacing w:after="0" w:line="286" w:lineRule="auto"/>
        <w:tabs>
          <w:tab w:leader="none" w:pos="1540" w:val="left"/>
        </w:tabs>
        <w:numPr>
          <w:ilvl w:val="1"/>
          <w:numId w:val="97"/>
        </w:numPr>
        <w:rPr>
          <w:rFonts w:ascii="Arial" w:cs="Arial" w:eastAsia="Arial" w:hAnsi="Arial"/>
          <w:sz w:val="19"/>
          <w:szCs w:val="19"/>
          <w:color w:val="auto"/>
        </w:rPr>
      </w:pPr>
      <w:r>
        <w:rPr>
          <w:rFonts w:ascii="Arial" w:cs="Arial" w:eastAsia="Arial" w:hAnsi="Arial"/>
          <w:sz w:val="19"/>
          <w:szCs w:val="19"/>
          <w:i w:val="1"/>
          <w:iCs w:val="1"/>
          <w:color w:val="auto"/>
        </w:rPr>
        <w:t>Initial Holdings Report</w:t>
      </w:r>
      <w:r>
        <w:rPr>
          <w:rFonts w:ascii="Arial" w:cs="Arial" w:eastAsia="Arial" w:hAnsi="Arial"/>
          <w:sz w:val="19"/>
          <w:szCs w:val="19"/>
          <w:color w:val="auto"/>
        </w:rPr>
        <w:t>. Not later than 10 days after he or she becomes an Access Person of the Company: an</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Report of Covered Security Holdingsshall be provided to the CCO, the information provided must be current as of a date no more than 45 days prior to the date on which he or she becomes an Access Person.</w:t>
      </w:r>
    </w:p>
    <w:p>
      <w:pPr>
        <w:spacing w:after="0" w:line="1" w:lineRule="exact"/>
        <w:rPr>
          <w:rFonts w:ascii="Arial" w:cs="Arial" w:eastAsia="Arial" w:hAnsi="Arial"/>
          <w:sz w:val="19"/>
          <w:szCs w:val="19"/>
          <w:color w:val="auto"/>
        </w:rPr>
      </w:pPr>
    </w:p>
    <w:p>
      <w:pPr>
        <w:ind w:left="1540" w:right="420" w:hanging="365"/>
        <w:spacing w:after="0"/>
        <w:tabs>
          <w:tab w:leader="none" w:pos="1540"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Quarterly Transaction Reports</w:t>
      </w:r>
      <w:r>
        <w:rPr>
          <w:rFonts w:ascii="Arial" w:cs="Arial" w:eastAsia="Arial" w:hAnsi="Arial"/>
          <w:sz w:val="22"/>
          <w:szCs w:val="22"/>
          <w:color w:val="auto"/>
        </w:rPr>
        <w:t>. Not later than 30 days after the end of each calendar quarter: a Quarterly</w:t>
      </w:r>
      <w:r>
        <w:rPr>
          <w:rFonts w:ascii="Arial" w:cs="Arial" w:eastAsia="Arial" w:hAnsi="Arial"/>
          <w:sz w:val="22"/>
          <w:szCs w:val="22"/>
          <w:i w:val="1"/>
          <w:iCs w:val="1"/>
          <w:color w:val="auto"/>
        </w:rPr>
        <w:t xml:space="preserve"> </w:t>
      </w:r>
      <w:r>
        <w:rPr>
          <w:rFonts w:ascii="Arial" w:cs="Arial" w:eastAsia="Arial" w:hAnsi="Arial"/>
          <w:sz w:val="22"/>
          <w:szCs w:val="22"/>
          <w:color w:val="auto"/>
        </w:rPr>
        <w:t>Report of Covered Security Transactions must be submitted to the CCO through the online compliance platform.</w:t>
      </w:r>
    </w:p>
    <w:p>
      <w:pPr>
        <w:spacing w:after="0" w:line="24" w:lineRule="exact"/>
        <w:rPr>
          <w:rFonts w:ascii="Arial" w:cs="Arial" w:eastAsia="Arial" w:hAnsi="Arial"/>
          <w:sz w:val="22"/>
          <w:szCs w:val="22"/>
          <w:color w:val="auto"/>
        </w:rPr>
      </w:pPr>
    </w:p>
    <w:p>
      <w:pPr>
        <w:ind w:left="1540" w:right="720" w:hanging="365"/>
        <w:spacing w:after="0" w:line="250" w:lineRule="auto"/>
        <w:tabs>
          <w:tab w:leader="none" w:pos="1540"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Annual Holdings Reports</w:t>
      </w:r>
      <w:r>
        <w:rPr>
          <w:rFonts w:ascii="Arial" w:cs="Arial" w:eastAsia="Arial" w:hAnsi="Arial"/>
          <w:sz w:val="22"/>
          <w:szCs w:val="22"/>
          <w:color w:val="auto"/>
        </w:rPr>
        <w:t>. Not later than 30 days after the end of each fiscal year of the Company: an</w:t>
      </w:r>
      <w:r>
        <w:rPr>
          <w:rFonts w:ascii="Arial" w:cs="Arial" w:eastAsia="Arial" w:hAnsi="Arial"/>
          <w:sz w:val="22"/>
          <w:szCs w:val="22"/>
          <w:i w:val="1"/>
          <w:iCs w:val="1"/>
          <w:color w:val="auto"/>
        </w:rPr>
        <w:t xml:space="preserve"> </w:t>
      </w:r>
      <w:r>
        <w:rPr>
          <w:rFonts w:ascii="Arial" w:cs="Arial" w:eastAsia="Arial" w:hAnsi="Arial"/>
          <w:sz w:val="22"/>
          <w:szCs w:val="22"/>
          <w:color w:val="auto"/>
        </w:rPr>
        <w:t>Annual Report of Covered Security Holdings, hedge funds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388" w:right="499" w:bottom="1440" w:gutter="0" w:footer="0" w:header="0"/>
        </w:sectPr>
      </w:pPr>
    </w:p>
    <w:bookmarkStart w:id="113" w:name="page114"/>
    <w:bookmarkEnd w:id="113"/>
    <w:p>
      <w:pPr>
        <w:jc w:val="both"/>
        <w:ind w:left="1540" w:right="80"/>
        <w:spacing w:after="0"/>
        <w:rPr>
          <w:sz w:val="20"/>
          <w:szCs w:val="20"/>
          <w:color w:val="auto"/>
        </w:rPr>
      </w:pPr>
      <w:r>
        <w:rPr>
          <w:rFonts w:ascii="Arial" w:cs="Arial" w:eastAsia="Arial" w:hAnsi="Arial"/>
          <w:sz w:val="22"/>
          <w:szCs w:val="22"/>
          <w:color w:val="auto"/>
        </w:rPr>
        <w:t>and private placement positions must be submitted to the CCO through the online compliance platform, the information provided must be current as of a date no more than 45 days prior to the date on which the report is submitted.</w:t>
      </w:r>
    </w:p>
    <w:p>
      <w:pPr>
        <w:spacing w:after="0" w:line="321" w:lineRule="exact"/>
        <w:rPr>
          <w:sz w:val="20"/>
          <w:szCs w:val="20"/>
          <w:color w:val="auto"/>
        </w:rPr>
      </w:pPr>
    </w:p>
    <w:p>
      <w:pPr>
        <w:ind w:left="800" w:right="140" w:hanging="373"/>
        <w:spacing w:after="0" w:line="279" w:lineRule="auto"/>
        <w:tabs>
          <w:tab w:leader="none" w:pos="800"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Account Statements</w:t>
      </w:r>
      <w:r>
        <w:rPr>
          <w:rFonts w:ascii="Arial" w:cs="Arial" w:eastAsia="Arial" w:hAnsi="Arial"/>
          <w:sz w:val="19"/>
          <w:szCs w:val="19"/>
          <w:color w:val="auto"/>
        </w:rPr>
        <w:t>. Unless otherwise permitted by the Designated Officer, each Access Person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Disinterested Directors) must direct each broker, dealer, or bank at which he or she maintains an account in which securities are or were held for the direct or indirect benefit of such Access Person, to provide to the Designated Officer duplicate account statements for each such account. Alternatively, copies of such reports can be presented to the Designated Officer so long as there is a signed certification by the Access Person that such reports are true, current, complete and inclusive of their Covered Security Holdings and Transactions.</w:t>
      </w:r>
    </w:p>
    <w:p>
      <w:pPr>
        <w:spacing w:after="0" w:line="298" w:lineRule="exact"/>
        <w:rPr>
          <w:rFonts w:ascii="Arial" w:cs="Arial" w:eastAsia="Arial" w:hAnsi="Arial"/>
          <w:sz w:val="19"/>
          <w:szCs w:val="19"/>
          <w:color w:val="auto"/>
        </w:rPr>
      </w:pPr>
    </w:p>
    <w:p>
      <w:pPr>
        <w:ind w:left="800" w:hanging="373"/>
        <w:spacing w:after="0" w:line="236" w:lineRule="auto"/>
        <w:tabs>
          <w:tab w:leader="none" w:pos="80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Disclaimer of Beneficial Ownership</w:t>
      </w:r>
      <w:r>
        <w:rPr>
          <w:rFonts w:ascii="Arial" w:cs="Arial" w:eastAsia="Arial" w:hAnsi="Arial"/>
          <w:sz w:val="22"/>
          <w:szCs w:val="22"/>
          <w:color w:val="auto"/>
        </w:rPr>
        <w:t>. Any Access Person may at any time or from time to time deliver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Designated Officer a statement that his or her filing of any report hereunder or the delivery on his or her behalf of any duplicate account statement required hereunder shall not be construed as an admission by such Access Person that he or she has any direct or indirect Beneficial Ownership in the Covered Security to which such report or such duplicate account statement relates.</w:t>
      </w:r>
    </w:p>
    <w:p>
      <w:pPr>
        <w:spacing w:after="0" w:line="322" w:lineRule="exact"/>
        <w:rPr>
          <w:rFonts w:ascii="Arial" w:cs="Arial" w:eastAsia="Arial" w:hAnsi="Arial"/>
          <w:sz w:val="22"/>
          <w:szCs w:val="22"/>
          <w:color w:val="auto"/>
        </w:rPr>
      </w:pPr>
    </w:p>
    <w:p>
      <w:pPr>
        <w:ind w:left="800" w:hanging="373"/>
        <w:spacing w:after="0" w:line="287" w:lineRule="auto"/>
        <w:tabs>
          <w:tab w:leader="none" w:pos="800"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 xml:space="preserve">Review of Reports. </w:t>
      </w:r>
      <w:r>
        <w:rPr>
          <w:rFonts w:ascii="Arial" w:cs="Arial" w:eastAsia="Arial" w:hAnsi="Arial"/>
          <w:sz w:val="19"/>
          <w:szCs w:val="19"/>
          <w:color w:val="auto"/>
        </w:rPr>
        <w:t>The Designated Officer shall review the reports filed, and account statements delivered, under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Code of Ethics to determine, if possible, whether any transactions disclosed therein constitute a violation of this Code of Ethics. Before making any determination that a violation has been committed by any Access Person, the Designated Officer shall afford the Access Person an opportunity to supply additional explanatory material.</w:t>
      </w:r>
    </w:p>
    <w:p>
      <w:pPr>
        <w:spacing w:after="0" w:line="271"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b w:val="1"/>
          <w:bCs w:val="1"/>
          <w:color w:val="auto"/>
        </w:rPr>
        <w:t>Exceptions From Reporting Requirements.</w:t>
      </w:r>
    </w:p>
    <w:p>
      <w:pPr>
        <w:spacing w:after="0" w:line="361" w:lineRule="exact"/>
        <w:rPr>
          <w:sz w:val="20"/>
          <w:szCs w:val="20"/>
          <w:color w:val="auto"/>
        </w:rPr>
      </w:pPr>
    </w:p>
    <w:p>
      <w:pPr>
        <w:ind w:left="800" w:right="180" w:hanging="373"/>
        <w:spacing w:after="0"/>
        <w:tabs>
          <w:tab w:leader="none" w:pos="8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A person need not make a report under the </w:t>
      </w:r>
      <w:r>
        <w:rPr>
          <w:rFonts w:ascii="Arial" w:cs="Arial" w:eastAsia="Arial" w:hAnsi="Arial"/>
          <w:sz w:val="22"/>
          <w:szCs w:val="22"/>
          <w:i w:val="1"/>
          <w:iCs w:val="1"/>
          <w:color w:val="auto"/>
        </w:rPr>
        <w:t>Reports to be Filed by Access Persons</w:t>
      </w:r>
      <w:r>
        <w:rPr>
          <w:rFonts w:ascii="Arial" w:cs="Arial" w:eastAsia="Arial" w:hAnsi="Arial"/>
          <w:sz w:val="22"/>
          <w:szCs w:val="22"/>
          <w:color w:val="auto"/>
        </w:rPr>
        <w:t xml:space="preserve"> Section with respect to a Covered Security held in, or transactions effected for, any account over which the Access Person has no direct or indirect influence or control.</w:t>
      </w:r>
    </w:p>
    <w:p>
      <w:pPr>
        <w:spacing w:after="0" w:line="321" w:lineRule="exact"/>
        <w:rPr>
          <w:rFonts w:ascii="Arial" w:cs="Arial" w:eastAsia="Arial" w:hAnsi="Arial"/>
          <w:sz w:val="22"/>
          <w:szCs w:val="22"/>
          <w:color w:val="auto"/>
        </w:rPr>
      </w:pPr>
    </w:p>
    <w:p>
      <w:pPr>
        <w:ind w:left="780" w:right="900" w:hanging="353"/>
        <w:spacing w:after="0" w:line="250" w:lineRule="auto"/>
        <w:tabs>
          <w:tab w:leader="none" w:pos="7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Disinterested Director who would be required to make a report solely by reason of being a director of the Company need not make:</w:t>
      </w:r>
    </w:p>
    <w:p>
      <w:pPr>
        <w:spacing w:after="0" w:line="12" w:lineRule="exact"/>
        <w:rPr>
          <w:rFonts w:ascii="Arial" w:cs="Arial" w:eastAsia="Arial" w:hAnsi="Arial"/>
          <w:sz w:val="22"/>
          <w:szCs w:val="22"/>
          <w:color w:val="auto"/>
        </w:rPr>
      </w:pPr>
    </w:p>
    <w:p>
      <w:pPr>
        <w:ind w:left="1540" w:right="900" w:hanging="364"/>
        <w:spacing w:after="0" w:line="250" w:lineRule="auto"/>
        <w:tabs>
          <w:tab w:leader="none" w:pos="154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an initial holding report (Initial Holdings Report) or any annual holdings reports (Annual Holdings Report); and</w:t>
      </w:r>
    </w:p>
    <w:p>
      <w:pPr>
        <w:spacing w:after="0" w:line="12" w:lineRule="exact"/>
        <w:rPr>
          <w:rFonts w:ascii="Arial" w:cs="Arial" w:eastAsia="Arial" w:hAnsi="Arial"/>
          <w:sz w:val="22"/>
          <w:szCs w:val="22"/>
          <w:color w:val="auto"/>
        </w:rPr>
      </w:pPr>
    </w:p>
    <w:p>
      <w:pPr>
        <w:ind w:left="1540" w:right="80" w:hanging="364"/>
        <w:spacing w:after="0" w:line="252" w:lineRule="auto"/>
        <w:tabs>
          <w:tab w:leader="none" w:pos="1540" w:val="left"/>
        </w:tabs>
        <w:numPr>
          <w:ilvl w:val="1"/>
          <w:numId w:val="99"/>
        </w:numPr>
        <w:rPr>
          <w:rFonts w:ascii="Arial" w:cs="Arial" w:eastAsia="Arial" w:hAnsi="Arial"/>
          <w:sz w:val="21"/>
          <w:szCs w:val="21"/>
          <w:color w:val="auto"/>
        </w:rPr>
      </w:pPr>
      <w:r>
        <w:rPr>
          <w:rFonts w:ascii="Arial" w:cs="Arial" w:eastAsia="Arial" w:hAnsi="Arial"/>
          <w:sz w:val="21"/>
          <w:szCs w:val="21"/>
          <w:color w:val="auto"/>
        </w:rPr>
        <w:t>a quarterly transaction report (Quarterly Transaction Reports) unless he or she knew or, in the ordinary course of fulfilling his or her duties as a director, should have known that during the 15-day period immediately before or after the director's transaction in a Covered Security, the Company purchased or sold, or the Company considered purchasing or selling, the Covered Security.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388" w:right="519" w:bottom="1440" w:gutter="0" w:footer="0" w:header="0"/>
        </w:sectPr>
      </w:pPr>
    </w:p>
    <w:bookmarkStart w:id="114" w:name="page115"/>
    <w:bookmarkEnd w:id="114"/>
    <w:p>
      <w:pPr>
        <w:ind w:left="780" w:right="280" w:hanging="353"/>
        <w:spacing w:after="0" w:line="238" w:lineRule="auto"/>
        <w:tabs>
          <w:tab w:leader="none" w:pos="7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 Access Person need not make a quarterly transaction report if the report would duplicate information contained in account statements (or broker trade confirmations) received by the Designated Officer in the time period required, if all of the information required is contained in the broker trade confirmations or account statements, or in the records of the Company.</w:t>
      </w:r>
    </w:p>
    <w:p>
      <w:pPr>
        <w:spacing w:after="0" w:line="319" w:lineRule="exact"/>
        <w:rPr>
          <w:rFonts w:ascii="Arial" w:cs="Arial" w:eastAsia="Arial" w:hAnsi="Arial"/>
          <w:sz w:val="22"/>
          <w:szCs w:val="22"/>
          <w:color w:val="auto"/>
        </w:rPr>
      </w:pPr>
    </w:p>
    <w:p>
      <w:pPr>
        <w:jc w:val="both"/>
        <w:ind w:left="780" w:right="440" w:hanging="353"/>
        <w:spacing w:after="0" w:line="297" w:lineRule="auto"/>
        <w:tabs>
          <w:tab w:leader="none" w:pos="7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 Access Person need not make a quarterly transaction report with respect to transactions effected pursuant to a program (such as a dividend reinvestment plan) in which periodic purchases (or sales) are made automatically in (or from) investment accounts in accordance with a predetermined schedule and allocation.</w:t>
      </w:r>
    </w:p>
    <w:p>
      <w:pPr>
        <w:spacing w:after="0" w:line="27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Obligation to Report Violations.</w:t>
      </w:r>
    </w:p>
    <w:p>
      <w:pPr>
        <w:spacing w:after="0" w:line="347" w:lineRule="exact"/>
        <w:rPr>
          <w:sz w:val="20"/>
          <w:szCs w:val="20"/>
          <w:color w:val="auto"/>
        </w:rPr>
      </w:pPr>
    </w:p>
    <w:p>
      <w:pPr>
        <w:ind w:left="60" w:firstLine="749"/>
        <w:spacing w:after="0" w:line="277" w:lineRule="auto"/>
        <w:rPr>
          <w:sz w:val="20"/>
          <w:szCs w:val="20"/>
          <w:color w:val="auto"/>
        </w:rPr>
      </w:pPr>
      <w:r>
        <w:rPr>
          <w:rFonts w:ascii="Arial" w:cs="Arial" w:eastAsia="Arial" w:hAnsi="Arial"/>
          <w:sz w:val="19"/>
          <w:szCs w:val="19"/>
          <w:color w:val="auto"/>
        </w:rPr>
        <w:t>Every Access Person who becomes aware of a violation of this Code of Ethics must report it to the Designated Officer, who shall report it to appropriate management personnel of the Company. The Designated Officer and the management personnel to whom a violation is reported shall treat the report confidentially to the extent permitted by law, promptly investigate the matter, and take such disciplinary action as they consider appropriate under the circumstances. Any form of retaliation against a person who reports a violation is prohibited and constitutes a violation of this Code of Ethics. The Board of Directors of the Company must be notified, in a timely manner, of remedial action taken with respect to violations of the Code of Ethics. The Company has established an Ethics Hotline, as detailed in the Company’s Whistleblower Policy.</w:t>
      </w:r>
    </w:p>
    <w:p>
      <w:pPr>
        <w:spacing w:after="0" w:line="28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Company Reports.</w:t>
      </w:r>
    </w:p>
    <w:p>
      <w:pPr>
        <w:spacing w:after="0" w:line="36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No less often than annually, the Company must furnish to the Company's Board of Directors, and the Board of</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Directors must consider, a written report that:</w:t>
      </w:r>
    </w:p>
    <w:p>
      <w:pPr>
        <w:spacing w:after="0" w:line="26" w:lineRule="exact"/>
        <w:rPr>
          <w:sz w:val="20"/>
          <w:szCs w:val="20"/>
          <w:color w:val="auto"/>
        </w:rPr>
      </w:pPr>
    </w:p>
    <w:p>
      <w:pPr>
        <w:ind w:left="800" w:right="260" w:hanging="373"/>
        <w:spacing w:after="0" w:line="257" w:lineRule="auto"/>
        <w:tabs>
          <w:tab w:leader="none" w:pos="8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describes any issues arising under this Code of Ethics or the related procedures since the last report to the Board of Directors, including but not limited to, information about material violations of this Code of Ethics or related procedures and sanctions imposed in response to the material violations; and</w:t>
      </w:r>
    </w:p>
    <w:p>
      <w:pPr>
        <w:spacing w:after="0" w:line="7" w:lineRule="exact"/>
        <w:rPr>
          <w:rFonts w:ascii="Arial" w:cs="Arial" w:eastAsia="Arial" w:hAnsi="Arial"/>
          <w:sz w:val="21"/>
          <w:szCs w:val="21"/>
          <w:color w:val="auto"/>
        </w:rPr>
      </w:pPr>
    </w:p>
    <w:p>
      <w:pPr>
        <w:ind w:left="780" w:right="1160" w:hanging="353"/>
        <w:spacing w:after="0" w:line="250" w:lineRule="auto"/>
        <w:tabs>
          <w:tab w:leader="none" w:pos="7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certifies that the Company has adopted procedures reasonably necessary to prevent Access Persons from violating this Code of Ethics.</w:t>
      </w:r>
    </w:p>
    <w:p>
      <w:pPr>
        <w:spacing w:after="0" w:line="30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Records.</w:t>
      </w:r>
    </w:p>
    <w:p>
      <w:pPr>
        <w:spacing w:after="0" w:line="347" w:lineRule="exact"/>
        <w:rPr>
          <w:sz w:val="20"/>
          <w:szCs w:val="20"/>
          <w:color w:val="auto"/>
        </w:rPr>
      </w:pPr>
    </w:p>
    <w:p>
      <w:pPr>
        <w:ind w:left="60" w:right="60" w:firstLine="749"/>
        <w:spacing w:after="0" w:line="238" w:lineRule="auto"/>
        <w:rPr>
          <w:sz w:val="20"/>
          <w:szCs w:val="20"/>
          <w:color w:val="auto"/>
        </w:rPr>
      </w:pPr>
      <w:r>
        <w:rPr>
          <w:rFonts w:ascii="Arial" w:cs="Arial" w:eastAsia="Arial" w:hAnsi="Arial"/>
          <w:sz w:val="22"/>
          <w:szCs w:val="22"/>
          <w:color w:val="auto"/>
        </w:rPr>
        <w:t>The Company shall maintain records with respect to this Code of Ethics in the manner and to the extent set forth below, which records may be maintained digitally under the conditions described in Rule 31a−2(f)(1) under the Act, and shall be available for examination by the SEC or any representative of the SEC at any time and from time to time for reasonable periodic, special, or other examination:</w:t>
      </w:r>
    </w:p>
    <w:p>
      <w:pPr>
        <w:spacing w:after="0" w:line="23"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A copy of this Code of Ethics and any other code of ethics of the Company that is, or at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388" w:right="519" w:bottom="1440" w:gutter="0" w:footer="0" w:header="0"/>
        </w:sectPr>
      </w:pPr>
    </w:p>
    <w:bookmarkStart w:id="115" w:name="page116"/>
    <w:bookmarkEnd w:id="115"/>
    <w:p>
      <w:pPr>
        <w:ind w:left="800"/>
        <w:spacing w:after="0"/>
        <w:rPr>
          <w:sz w:val="20"/>
          <w:szCs w:val="20"/>
          <w:color w:val="auto"/>
        </w:rPr>
      </w:pPr>
      <w:r>
        <w:rPr>
          <w:rFonts w:ascii="Arial" w:cs="Arial" w:eastAsia="Arial" w:hAnsi="Arial"/>
          <w:sz w:val="22"/>
          <w:szCs w:val="22"/>
          <w:color w:val="auto"/>
        </w:rPr>
        <w:t>any time within the past five years has been, in effect shall be maintained in an easily accessible place;</w:t>
      </w:r>
    </w:p>
    <w:p>
      <w:pPr>
        <w:spacing w:after="0" w:line="44" w:lineRule="exact"/>
        <w:rPr>
          <w:sz w:val="20"/>
          <w:szCs w:val="20"/>
          <w:color w:val="auto"/>
        </w:rPr>
      </w:pPr>
    </w:p>
    <w:p>
      <w:pPr>
        <w:ind w:left="800" w:right="420" w:hanging="373"/>
        <w:spacing w:after="0"/>
        <w:tabs>
          <w:tab w:leader="none" w:pos="8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record of any violation of this Code of Ethics, and of any action taken as a result of such violation shall be preserved in an easily accessible place for at least five years after the end of the fiscal year in which the violation occurs;</w:t>
      </w:r>
    </w:p>
    <w:p>
      <w:pPr>
        <w:spacing w:after="0" w:line="24" w:lineRule="exact"/>
        <w:rPr>
          <w:rFonts w:ascii="Arial" w:cs="Arial" w:eastAsia="Arial" w:hAnsi="Arial"/>
          <w:sz w:val="22"/>
          <w:szCs w:val="22"/>
          <w:color w:val="auto"/>
        </w:rPr>
      </w:pPr>
    </w:p>
    <w:p>
      <w:pPr>
        <w:ind w:left="800" w:hanging="373"/>
        <w:spacing w:after="0" w:line="238" w:lineRule="auto"/>
        <w:tabs>
          <w:tab w:leader="none" w:pos="8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copy of each report made by an Access Person as required by the Rule or pursuant to this Code of Ethics, including any information provided in lieu of the reports under paragraph (d)(2)(v) of the Rule, shall be maintained for at least five years after the end of the fiscal year in which it is made or the information is provided, the first two years in an easily accessible place;</w:t>
      </w:r>
    </w:p>
    <w:p>
      <w:pPr>
        <w:spacing w:after="0" w:line="22" w:lineRule="exact"/>
        <w:rPr>
          <w:rFonts w:ascii="Arial" w:cs="Arial" w:eastAsia="Arial" w:hAnsi="Arial"/>
          <w:sz w:val="22"/>
          <w:szCs w:val="22"/>
          <w:color w:val="auto"/>
        </w:rPr>
      </w:pPr>
    </w:p>
    <w:p>
      <w:pPr>
        <w:jc w:val="both"/>
        <w:ind w:left="800" w:right="120" w:hanging="373"/>
        <w:spacing w:after="0"/>
        <w:tabs>
          <w:tab w:leader="none" w:pos="8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record of all persons within the past five years who are or were required to make reports pursuant to paragraph (d) of the Rule or this Code of Ethics, or who are or were responsible for reviewing those reports, shall be maintained in an easily accessible place; and</w:t>
      </w:r>
    </w:p>
    <w:p>
      <w:pPr>
        <w:spacing w:after="0" w:line="24" w:lineRule="exact"/>
        <w:rPr>
          <w:rFonts w:ascii="Arial" w:cs="Arial" w:eastAsia="Arial" w:hAnsi="Arial"/>
          <w:sz w:val="22"/>
          <w:szCs w:val="22"/>
          <w:color w:val="auto"/>
        </w:rPr>
      </w:pPr>
    </w:p>
    <w:p>
      <w:pPr>
        <w:ind w:left="800" w:right="20" w:hanging="373"/>
        <w:spacing w:after="0"/>
        <w:tabs>
          <w:tab w:leader="none" w:pos="8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record of any decision, and the reasons supporting the decision, to approve the acquisition by investment personnel of securities in an Initial Public Offering or in a Limited Offering shall be maintained for at least five years after the end of the fiscal year in which such acquisition is approved.</w:t>
      </w:r>
    </w:p>
    <w:p>
      <w:pPr>
        <w:spacing w:after="0" w:line="315"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361" w:lineRule="exact"/>
        <w:rPr>
          <w:sz w:val="20"/>
          <w:szCs w:val="20"/>
          <w:color w:val="auto"/>
        </w:rPr>
      </w:pPr>
    </w:p>
    <w:p>
      <w:pPr>
        <w:ind w:left="60" w:right="520" w:firstLine="749"/>
        <w:spacing w:after="0"/>
        <w:rPr>
          <w:sz w:val="20"/>
          <w:szCs w:val="20"/>
          <w:color w:val="auto"/>
        </w:rPr>
      </w:pPr>
      <w:r>
        <w:rPr>
          <w:rFonts w:ascii="Arial" w:cs="Arial" w:eastAsia="Arial" w:hAnsi="Arial"/>
          <w:sz w:val="22"/>
          <w:szCs w:val="22"/>
          <w:color w:val="auto"/>
        </w:rPr>
        <w:t>All reports, duplicate account statements and other information filed or delivered to the Designated Officer or furnished to any other person pursuant to this Code of Ethics shall be treated as confidential, but are subject to review as provided herein, by the Company’s advisers, and by representatives of the SEC.</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ANCTIONS</w:t>
      </w:r>
    </w:p>
    <w:p>
      <w:pPr>
        <w:spacing w:after="0" w:line="233" w:lineRule="exact"/>
        <w:rPr>
          <w:sz w:val="20"/>
          <w:szCs w:val="20"/>
          <w:color w:val="auto"/>
        </w:rPr>
      </w:pPr>
    </w:p>
    <w:p>
      <w:pPr>
        <w:ind w:left="60" w:right="320" w:firstLine="749"/>
        <w:spacing w:after="0" w:line="281" w:lineRule="auto"/>
        <w:rPr>
          <w:sz w:val="20"/>
          <w:szCs w:val="20"/>
          <w:color w:val="auto"/>
        </w:rPr>
      </w:pPr>
      <w:r>
        <w:rPr>
          <w:rFonts w:ascii="Arial" w:cs="Arial" w:eastAsia="Arial" w:hAnsi="Arial"/>
          <w:sz w:val="19"/>
          <w:szCs w:val="19"/>
          <w:color w:val="auto"/>
        </w:rPr>
        <w:t>Upon determination that a violation of this Code of Ethics has occurred, the appropriate management personnel of the Company may impose such sanctions as they deem appropriate, including, among other things, a letter of censure or suspension or termination of the employment of the violator. Violations of this Code of Ethics and any sanctions imposed with respect thereto shall be reported in a timely manner to the Board of Directors of the Company.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CKNOWLEDGEMENT OF</w:t>
      </w:r>
      <w:r>
        <w:rPr>
          <w:rFonts w:ascii="Arial" w:cs="Arial" w:eastAsia="Arial" w:hAnsi="Arial"/>
          <w:sz w:val="22"/>
          <w:szCs w:val="22"/>
          <w:color w:val="auto"/>
        </w:rPr>
        <w:t xml:space="preserve"> R</w:t>
      </w:r>
      <w:r>
        <w:rPr>
          <w:rFonts w:ascii="Arial" w:cs="Arial" w:eastAsia="Arial" w:hAnsi="Arial"/>
          <w:sz w:val="17"/>
          <w:szCs w:val="17"/>
          <w:color w:val="auto"/>
        </w:rPr>
        <w:t>ECEIPT AND</w:t>
      </w:r>
      <w:r>
        <w:rPr>
          <w:rFonts w:ascii="Arial" w:cs="Arial" w:eastAsia="Arial" w:hAnsi="Arial"/>
          <w:sz w:val="22"/>
          <w:szCs w:val="22"/>
          <w:color w:val="auto"/>
        </w:rPr>
        <w:t xml:space="preserve"> A</w:t>
      </w:r>
      <w:r>
        <w:rPr>
          <w:rFonts w:ascii="Arial" w:cs="Arial" w:eastAsia="Arial" w:hAnsi="Arial"/>
          <w:sz w:val="17"/>
          <w:szCs w:val="17"/>
          <w:color w:val="auto"/>
        </w:rPr>
        <w:t>NNUAL</w:t>
      </w:r>
      <w:r>
        <w:rPr>
          <w:rFonts w:ascii="Arial" w:cs="Arial" w:eastAsia="Arial" w:hAnsi="Arial"/>
          <w:sz w:val="22"/>
          <w:szCs w:val="22"/>
          <w:color w:val="auto"/>
        </w:rPr>
        <w:t xml:space="preserve"> C</w:t>
      </w:r>
      <w:r>
        <w:rPr>
          <w:rFonts w:ascii="Arial" w:cs="Arial" w:eastAsia="Arial" w:hAnsi="Arial"/>
          <w:sz w:val="17"/>
          <w:szCs w:val="17"/>
          <w:color w:val="auto"/>
        </w:rPr>
        <w:t>ERTIFICATION OF</w:t>
      </w:r>
      <w:r>
        <w:rPr>
          <w:rFonts w:ascii="Arial" w:cs="Arial" w:eastAsia="Arial" w:hAnsi="Arial"/>
          <w:sz w:val="22"/>
          <w:szCs w:val="22"/>
          <w:color w:val="auto"/>
        </w:rPr>
        <w:t xml:space="preserve"> C</w:t>
      </w:r>
      <w:r>
        <w:rPr>
          <w:rFonts w:ascii="Arial" w:cs="Arial" w:eastAsia="Arial" w:hAnsi="Arial"/>
          <w:sz w:val="17"/>
          <w:szCs w:val="17"/>
          <w:color w:val="auto"/>
        </w:rPr>
        <w:t>OMPLIANCE</w:t>
      </w:r>
    </w:p>
    <w:p>
      <w:pPr>
        <w:spacing w:after="0" w:line="233" w:lineRule="exact"/>
        <w:rPr>
          <w:sz w:val="20"/>
          <w:szCs w:val="20"/>
          <w:color w:val="auto"/>
        </w:rPr>
      </w:pPr>
    </w:p>
    <w:p>
      <w:pPr>
        <w:jc w:val="both"/>
        <w:ind w:left="60" w:right="260" w:firstLine="749"/>
        <w:spacing w:after="0" w:line="297" w:lineRule="auto"/>
        <w:rPr>
          <w:sz w:val="20"/>
          <w:szCs w:val="20"/>
          <w:color w:val="auto"/>
        </w:rPr>
      </w:pPr>
      <w:r>
        <w:rPr>
          <w:rFonts w:ascii="Arial" w:cs="Arial" w:eastAsia="Arial" w:hAnsi="Arial"/>
          <w:sz w:val="19"/>
          <w:szCs w:val="19"/>
          <w:color w:val="auto"/>
        </w:rPr>
        <w:t>Upon becoming an Access Person, annually thereafter, and whenever this Code of Ethics is amended, each Access Person shall sign and deliver to the Designated Officer an acknowledgement of receipt and certification of compliance with this Code of Ethics and any amendments thereto in the form attached hereto as Exhibit A.</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388" w:right="519" w:bottom="1440" w:gutter="0" w:footer="0" w:header="0"/>
        </w:sectPr>
      </w:pPr>
    </w:p>
    <w:bookmarkStart w:id="116" w:name="page117"/>
    <w:bookmarkEnd w:id="116"/>
    <w:p>
      <w:pPr>
        <w:jc w:val="center"/>
        <w:ind w:right="-219"/>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A: A</w:t>
      </w:r>
      <w:r>
        <w:rPr>
          <w:rFonts w:ascii="Arial" w:cs="Arial" w:eastAsia="Arial" w:hAnsi="Arial"/>
          <w:sz w:val="17"/>
          <w:szCs w:val="17"/>
          <w:color w:val="auto"/>
        </w:rPr>
        <w:t>CKNOWLEDGEMENT AND</w:t>
      </w:r>
      <w:r>
        <w:rPr>
          <w:rFonts w:ascii="Arial" w:cs="Arial" w:eastAsia="Arial" w:hAnsi="Arial"/>
          <w:sz w:val="22"/>
          <w:szCs w:val="22"/>
          <w:color w:val="auto"/>
        </w:rPr>
        <w:t xml:space="preserve"> C</w:t>
      </w:r>
      <w:r>
        <w:rPr>
          <w:rFonts w:ascii="Arial" w:cs="Arial" w:eastAsia="Arial" w:hAnsi="Arial"/>
          <w:sz w:val="17"/>
          <w:szCs w:val="17"/>
          <w:color w:val="auto"/>
        </w:rPr>
        <w:t>ERTIFICATION</w:t>
      </w:r>
    </w:p>
    <w:p>
      <w:pPr>
        <w:spacing w:after="0" w:line="247" w:lineRule="exact"/>
        <w:rPr>
          <w:sz w:val="20"/>
          <w:szCs w:val="20"/>
          <w:color w:val="auto"/>
        </w:rPr>
      </w:pPr>
    </w:p>
    <w:p>
      <w:pPr>
        <w:ind w:left="60" w:firstLine="749"/>
        <w:spacing w:after="0" w:line="249" w:lineRule="auto"/>
        <w:rPr>
          <w:sz w:val="20"/>
          <w:szCs w:val="20"/>
          <w:color w:val="auto"/>
        </w:rPr>
      </w:pPr>
      <w:r>
        <w:rPr>
          <w:rFonts w:ascii="Arial" w:cs="Arial" w:eastAsia="Arial" w:hAnsi="Arial"/>
          <w:sz w:val="21"/>
          <w:szCs w:val="21"/>
          <w:color w:val="auto"/>
        </w:rPr>
        <w:t>I acknowledge receipt of the Code of Ethics of [Portman Ridge Finance Corporation][Logan Ridge Finance Corporation] dated July 1, 2021, as amended. I have read and understand the Code of Ethics and agree to be governed by it at all times. Further, if I have been subject to the Code of Ethics during the preceding year, I certify that I have complied with the requirements of the Code of Ethics and have disclosed or reported all personal securities transactions required to be disclosed or reported pursuant to the requirements of the Code of Ethics.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28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520"/>
        <w:spacing w:after="0"/>
        <w:rPr>
          <w:sz w:val="20"/>
          <w:szCs w:val="20"/>
          <w:color w:val="auto"/>
        </w:rPr>
      </w:pPr>
      <w:r>
        <w:rPr>
          <w:rFonts w:ascii="Arial" w:cs="Arial" w:eastAsia="Arial" w:hAnsi="Arial"/>
          <w:sz w:val="22"/>
          <w:szCs w:val="22"/>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00" w:top="388" w:right="5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21.1​</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List of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CapitalSouth Partners Fund II Limited Partnership (North Carolina)</w:t>
      </w:r>
    </w:p>
    <w:p>
      <w:pPr>
        <w:spacing w:after="0" w:line="221" w:lineRule="auto"/>
        <w:rPr>
          <w:sz w:val="20"/>
          <w:szCs w:val="20"/>
          <w:color w:val="auto"/>
        </w:rPr>
      </w:pPr>
      <w:r>
        <w:rPr>
          <w:rFonts w:ascii="Arial" w:cs="Arial" w:eastAsia="Arial" w:hAnsi="Arial"/>
          <w:sz w:val="14"/>
          <w:szCs w:val="14"/>
          <w:color w:val="auto"/>
        </w:rPr>
        <w:t>CapitalSouth Partners F-II, LLC (North Carolina)</w:t>
      </w:r>
    </w:p>
    <w:p>
      <w:pPr>
        <w:spacing w:after="0" w:line="221" w:lineRule="auto"/>
        <w:rPr>
          <w:sz w:val="20"/>
          <w:szCs w:val="20"/>
          <w:color w:val="auto"/>
        </w:rPr>
      </w:pPr>
      <w:r>
        <w:rPr>
          <w:rFonts w:ascii="Arial" w:cs="Arial" w:eastAsia="Arial" w:hAnsi="Arial"/>
          <w:sz w:val="14"/>
          <w:szCs w:val="14"/>
          <w:color w:val="auto"/>
        </w:rPr>
        <w:t>CapitalSouth Fund III, L.P. (Delaware)</w:t>
      </w:r>
    </w:p>
    <w:p>
      <w:pPr>
        <w:spacing w:after="0" w:line="222" w:lineRule="auto"/>
        <w:rPr>
          <w:sz w:val="20"/>
          <w:szCs w:val="20"/>
          <w:color w:val="auto"/>
        </w:rPr>
      </w:pPr>
      <w:r>
        <w:rPr>
          <w:rFonts w:ascii="Arial" w:cs="Arial" w:eastAsia="Arial" w:hAnsi="Arial"/>
          <w:sz w:val="14"/>
          <w:szCs w:val="14"/>
          <w:color w:val="auto"/>
        </w:rPr>
        <w:t>CapitalSouth F-III, LLC (North Carolina)</w:t>
      </w:r>
    </w:p>
    <w:p>
      <w:pPr>
        <w:spacing w:after="0" w:line="221" w:lineRule="auto"/>
        <w:rPr>
          <w:sz w:val="20"/>
          <w:szCs w:val="20"/>
          <w:color w:val="auto"/>
        </w:rPr>
      </w:pPr>
      <w:r>
        <w:rPr>
          <w:rFonts w:ascii="Arial" w:cs="Arial" w:eastAsia="Arial" w:hAnsi="Arial"/>
          <w:sz w:val="14"/>
          <w:szCs w:val="14"/>
          <w:color w:val="auto"/>
        </w:rPr>
        <w:t>CPTA Master Blocker, Inc. (Georgia)</w:t>
      </w:r>
    </w:p>
    <w:p>
      <w:pPr>
        <w:spacing w:after="0"/>
        <w:rPr>
          <w:sz w:val="20"/>
          <w:szCs w:val="20"/>
          <w:color w:val="auto"/>
        </w:rPr>
      </w:pPr>
      <w:r>
        <w:rPr>
          <w:rFonts w:ascii="Arial" w:cs="Arial" w:eastAsia="Arial" w:hAnsi="Arial"/>
          <w:sz w:val="14"/>
          <w:szCs w:val="14"/>
          <w:color w:val="auto"/>
        </w:rPr>
        <w:t>Capitala Business Lending,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231F20"/>
        </w:rPr>
        <w:t>Exhibit 31.1</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CERTIFICATION OF CHIEF EXECUTIVE OFFICER</w:t>
      </w:r>
    </w:p>
    <w:p>
      <w:pPr>
        <w:jc w:val="center"/>
        <w:ind w:right="40"/>
        <w:spacing w:after="0" w:line="226" w:lineRule="auto"/>
        <w:rPr>
          <w:sz w:val="20"/>
          <w:szCs w:val="20"/>
          <w:color w:val="auto"/>
        </w:rPr>
      </w:pPr>
      <w:r>
        <w:rPr>
          <w:rFonts w:ascii="Arial" w:cs="Arial" w:eastAsia="Arial" w:hAnsi="Arial"/>
          <w:sz w:val="14"/>
          <w:szCs w:val="14"/>
          <w:b w:val="1"/>
          <w:bCs w:val="1"/>
          <w:color w:val="231F20"/>
        </w:rPr>
        <w:t>PURSUANT TO RULE 13A-14 UNDER THE EXCHANGE ACT OF 1934, AS ADOPTED</w:t>
      </w:r>
    </w:p>
    <w:p>
      <w:pPr>
        <w:jc w:val="center"/>
        <w:spacing w:after="0"/>
        <w:rPr>
          <w:sz w:val="20"/>
          <w:szCs w:val="20"/>
          <w:color w:val="auto"/>
        </w:rPr>
      </w:pPr>
      <w:r>
        <w:rPr>
          <w:rFonts w:ascii="Arial" w:cs="Arial" w:eastAsia="Arial" w:hAnsi="Arial"/>
          <w:sz w:val="14"/>
          <w:szCs w:val="14"/>
          <w:b w:val="1"/>
          <w:bCs w:val="1"/>
          <w:color w:val="231F20"/>
        </w:rPr>
        <w:t>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231F20"/>
        </w:rPr>
        <w:t>I, Ted Goldthorpe, certify that:</w:t>
      </w:r>
    </w:p>
    <w:p>
      <w:pPr>
        <w:spacing w:after="0" w:line="163" w:lineRule="exact"/>
        <w:rPr>
          <w:sz w:val="20"/>
          <w:szCs w:val="20"/>
          <w:color w:val="auto"/>
        </w:rPr>
      </w:pPr>
    </w:p>
    <w:p>
      <w:pPr>
        <w:ind w:left="680" w:hanging="285"/>
        <w:spacing w:after="0"/>
        <w:tabs>
          <w:tab w:leader="none" w:pos="680" w:val="left"/>
        </w:tabs>
        <w:numPr>
          <w:ilvl w:val="0"/>
          <w:numId w:val="103"/>
        </w:numPr>
        <w:rPr>
          <w:rFonts w:ascii="Arial" w:cs="Arial" w:eastAsia="Arial" w:hAnsi="Arial"/>
          <w:sz w:val="14"/>
          <w:szCs w:val="14"/>
          <w:color w:val="231F20"/>
        </w:rPr>
      </w:pPr>
      <w:r>
        <w:rPr>
          <w:rFonts w:ascii="Arial" w:cs="Arial" w:eastAsia="Arial" w:hAnsi="Arial"/>
          <w:sz w:val="14"/>
          <w:szCs w:val="14"/>
          <w:color w:val="231F20"/>
        </w:rPr>
        <w:t>I have reviewed this annual report on Form 10-K of Logan Ridge Finance Corporation;</w:t>
      </w:r>
    </w:p>
    <w:p>
      <w:pPr>
        <w:spacing w:after="0" w:line="176"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3"/>
        </w:numPr>
        <w:rPr>
          <w:rFonts w:ascii="Arial" w:cs="Arial" w:eastAsia="Arial" w:hAnsi="Arial"/>
          <w:sz w:val="14"/>
          <w:szCs w:val="14"/>
          <w:color w:val="231F20"/>
        </w:rPr>
      </w:pPr>
      <w:r>
        <w:rPr>
          <w:rFonts w:ascii="Arial" w:cs="Arial" w:eastAsia="Arial" w:hAnsi="Arial"/>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3"/>
        </w:numPr>
        <w:rPr>
          <w:rFonts w:ascii="Arial" w:cs="Arial" w:eastAsia="Arial" w:hAnsi="Arial"/>
          <w:sz w:val="14"/>
          <w:szCs w:val="14"/>
          <w:color w:val="231F20"/>
        </w:rPr>
      </w:pPr>
      <w:r>
        <w:rPr>
          <w:rFonts w:ascii="Arial" w:cs="Arial" w:eastAsia="Arial" w:hAnsi="Arial"/>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231F20"/>
        </w:rPr>
      </w:pPr>
    </w:p>
    <w:p>
      <w:pPr>
        <w:ind w:left="760" w:hanging="365"/>
        <w:spacing w:after="0" w:line="238" w:lineRule="auto"/>
        <w:tabs>
          <w:tab w:leader="none" w:pos="686" w:val="left"/>
        </w:tabs>
        <w:numPr>
          <w:ilvl w:val="0"/>
          <w:numId w:val="103"/>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3"/>
        </w:numPr>
        <w:rPr>
          <w:rFonts w:ascii="Arial" w:cs="Arial" w:eastAsia="Arial" w:hAnsi="Arial"/>
          <w:sz w:val="14"/>
          <w:szCs w:val="14"/>
          <w:color w:val="231F20"/>
        </w:rPr>
      </w:pPr>
      <w:r>
        <w:rPr>
          <w:rFonts w:ascii="Arial" w:cs="Arial" w:eastAsia="Arial" w:hAnsi="Arial"/>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3"/>
        </w:numPr>
        <w:rPr>
          <w:rFonts w:ascii="Arial" w:cs="Arial" w:eastAsia="Arial" w:hAnsi="Arial"/>
          <w:sz w:val="14"/>
          <w:szCs w:val="14"/>
          <w:color w:val="231F20"/>
        </w:rPr>
      </w:pPr>
      <w:r>
        <w:rPr>
          <w:rFonts w:ascii="Arial" w:cs="Arial" w:eastAsia="Arial" w:hAnsi="Arial"/>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231F20"/>
        </w:rPr>
      </w:pPr>
    </w:p>
    <w:p>
      <w:pPr>
        <w:ind w:left="1140" w:right="20" w:hanging="383"/>
        <w:spacing w:after="0" w:line="253" w:lineRule="auto"/>
        <w:tabs>
          <w:tab w:leader="none" w:pos="1053" w:val="left"/>
        </w:tabs>
        <w:numPr>
          <w:ilvl w:val="1"/>
          <w:numId w:val="103"/>
        </w:numPr>
        <w:rPr>
          <w:rFonts w:ascii="Arial" w:cs="Arial" w:eastAsia="Arial" w:hAnsi="Arial"/>
          <w:sz w:val="14"/>
          <w:szCs w:val="14"/>
          <w:color w:val="231F20"/>
        </w:rPr>
      </w:pPr>
      <w:r>
        <w:rPr>
          <w:rFonts w:ascii="Arial" w:cs="Arial" w:eastAsia="Arial" w:hAnsi="Arial"/>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3"/>
        </w:numPr>
        <w:rPr>
          <w:rFonts w:ascii="Arial" w:cs="Arial" w:eastAsia="Arial" w:hAnsi="Arial"/>
          <w:sz w:val="14"/>
          <w:szCs w:val="14"/>
          <w:color w:val="231F20"/>
        </w:rPr>
      </w:pPr>
      <w:r>
        <w:rPr>
          <w:rFonts w:ascii="Arial" w:cs="Arial" w:eastAsia="Arial" w:hAnsi="Arial"/>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3"/>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231F20"/>
        </w:rPr>
      </w:pPr>
    </w:p>
    <w:p>
      <w:pPr>
        <w:ind w:left="1140" w:right="20" w:hanging="383"/>
        <w:spacing w:after="0" w:line="253" w:lineRule="auto"/>
        <w:tabs>
          <w:tab w:leader="none" w:pos="1053" w:val="left"/>
        </w:tabs>
        <w:numPr>
          <w:ilvl w:val="1"/>
          <w:numId w:val="103"/>
        </w:numPr>
        <w:rPr>
          <w:rFonts w:ascii="Arial" w:cs="Arial" w:eastAsia="Arial" w:hAnsi="Arial"/>
          <w:sz w:val="14"/>
          <w:szCs w:val="14"/>
          <w:color w:val="231F20"/>
        </w:rPr>
      </w:pPr>
      <w:r>
        <w:rPr>
          <w:rFonts w:ascii="Arial" w:cs="Arial" w:eastAsia="Arial" w:hAnsi="Arial"/>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231F20"/>
        </w:rPr>
      </w:pPr>
    </w:p>
    <w:p>
      <w:pPr>
        <w:ind w:left="1040" w:hanging="283"/>
        <w:spacing w:after="0"/>
        <w:tabs>
          <w:tab w:leader="none" w:pos="1040" w:val="left"/>
        </w:tabs>
        <w:numPr>
          <w:ilvl w:val="1"/>
          <w:numId w:val="103"/>
        </w:numPr>
        <w:rPr>
          <w:rFonts w:ascii="Arial" w:cs="Arial" w:eastAsia="Arial" w:hAnsi="Arial"/>
          <w:sz w:val="13"/>
          <w:szCs w:val="13"/>
          <w:color w:val="231F20"/>
        </w:rPr>
      </w:pPr>
      <w:r>
        <w:rPr>
          <w:rFonts w:ascii="Arial" w:cs="Arial" w:eastAsia="Arial" w:hAnsi="Arial"/>
          <w:sz w:val="13"/>
          <w:szCs w:val="13"/>
          <w:color w:val="231F20"/>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Date: March 9, 2023</w:t>
      </w:r>
    </w:p>
    <w:p>
      <w:pPr>
        <w:spacing w:after="0" w:line="32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661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Ted Goldthorpe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Chief Executive Officer and President</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231F20"/>
        </w:rPr>
        <w:t>(Principal Executive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231F20"/>
        </w:rPr>
        <w:t>Exhibit 31.2</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CERTIFICATION OF CHIEF FINANCIAL OFFICER</w:t>
      </w:r>
    </w:p>
    <w:p>
      <w:pPr>
        <w:jc w:val="center"/>
        <w:ind w:right="40"/>
        <w:spacing w:after="0" w:line="226" w:lineRule="auto"/>
        <w:rPr>
          <w:sz w:val="20"/>
          <w:szCs w:val="20"/>
          <w:color w:val="auto"/>
        </w:rPr>
      </w:pPr>
      <w:r>
        <w:rPr>
          <w:rFonts w:ascii="Arial" w:cs="Arial" w:eastAsia="Arial" w:hAnsi="Arial"/>
          <w:sz w:val="14"/>
          <w:szCs w:val="14"/>
          <w:b w:val="1"/>
          <w:bCs w:val="1"/>
          <w:color w:val="231F20"/>
        </w:rPr>
        <w:t>PURSUANT TO RULE 13A-14 UNDER THE EXCHANGE ACT OF 1934, AS ADOPTED</w:t>
      </w:r>
    </w:p>
    <w:p>
      <w:pPr>
        <w:jc w:val="center"/>
        <w:spacing w:after="0"/>
        <w:rPr>
          <w:sz w:val="20"/>
          <w:szCs w:val="20"/>
          <w:color w:val="auto"/>
        </w:rPr>
      </w:pPr>
      <w:r>
        <w:rPr>
          <w:rFonts w:ascii="Arial" w:cs="Arial" w:eastAsia="Arial" w:hAnsi="Arial"/>
          <w:sz w:val="14"/>
          <w:szCs w:val="14"/>
          <w:b w:val="1"/>
          <w:bCs w:val="1"/>
          <w:color w:val="231F20"/>
        </w:rPr>
        <w:t>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231F20"/>
        </w:rPr>
        <w:t>I, Jason Roos, certify that:</w:t>
      </w:r>
    </w:p>
    <w:p>
      <w:pPr>
        <w:spacing w:after="0" w:line="163" w:lineRule="exact"/>
        <w:rPr>
          <w:sz w:val="20"/>
          <w:szCs w:val="20"/>
          <w:color w:val="auto"/>
        </w:rPr>
      </w:pPr>
    </w:p>
    <w:p>
      <w:pPr>
        <w:ind w:left="680" w:hanging="285"/>
        <w:spacing w:after="0"/>
        <w:tabs>
          <w:tab w:leader="none" w:pos="680" w:val="left"/>
        </w:tabs>
        <w:numPr>
          <w:ilvl w:val="0"/>
          <w:numId w:val="104"/>
        </w:numPr>
        <w:rPr>
          <w:rFonts w:ascii="Arial" w:cs="Arial" w:eastAsia="Arial" w:hAnsi="Arial"/>
          <w:sz w:val="14"/>
          <w:szCs w:val="14"/>
          <w:color w:val="231F20"/>
        </w:rPr>
      </w:pPr>
      <w:r>
        <w:rPr>
          <w:rFonts w:ascii="Arial" w:cs="Arial" w:eastAsia="Arial" w:hAnsi="Arial"/>
          <w:sz w:val="14"/>
          <w:szCs w:val="14"/>
          <w:color w:val="231F20"/>
        </w:rPr>
        <w:t>I have reviewed this annual report on Form 10-K of Logan Ridge Finance Corporation;</w:t>
      </w:r>
    </w:p>
    <w:p>
      <w:pPr>
        <w:spacing w:after="0" w:line="176"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4"/>
        </w:numPr>
        <w:rPr>
          <w:rFonts w:ascii="Arial" w:cs="Arial" w:eastAsia="Arial" w:hAnsi="Arial"/>
          <w:sz w:val="14"/>
          <w:szCs w:val="14"/>
          <w:color w:val="231F20"/>
        </w:rPr>
      </w:pPr>
      <w:r>
        <w:rPr>
          <w:rFonts w:ascii="Arial" w:cs="Arial" w:eastAsia="Arial" w:hAnsi="Arial"/>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4"/>
        </w:numPr>
        <w:rPr>
          <w:rFonts w:ascii="Arial" w:cs="Arial" w:eastAsia="Arial" w:hAnsi="Arial"/>
          <w:sz w:val="14"/>
          <w:szCs w:val="14"/>
          <w:color w:val="231F20"/>
        </w:rPr>
      </w:pPr>
      <w:r>
        <w:rPr>
          <w:rFonts w:ascii="Arial" w:cs="Arial" w:eastAsia="Arial" w:hAnsi="Arial"/>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231F20"/>
        </w:rPr>
      </w:pPr>
    </w:p>
    <w:p>
      <w:pPr>
        <w:ind w:left="760" w:hanging="365"/>
        <w:spacing w:after="0" w:line="238" w:lineRule="auto"/>
        <w:tabs>
          <w:tab w:leader="none" w:pos="686" w:val="left"/>
        </w:tabs>
        <w:numPr>
          <w:ilvl w:val="0"/>
          <w:numId w:val="104"/>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4"/>
        </w:numPr>
        <w:rPr>
          <w:rFonts w:ascii="Arial" w:cs="Arial" w:eastAsia="Arial" w:hAnsi="Arial"/>
          <w:sz w:val="14"/>
          <w:szCs w:val="14"/>
          <w:color w:val="231F20"/>
        </w:rPr>
      </w:pPr>
      <w:r>
        <w:rPr>
          <w:rFonts w:ascii="Arial" w:cs="Arial" w:eastAsia="Arial" w:hAnsi="Arial"/>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4"/>
        </w:numPr>
        <w:rPr>
          <w:rFonts w:ascii="Arial" w:cs="Arial" w:eastAsia="Arial" w:hAnsi="Arial"/>
          <w:sz w:val="14"/>
          <w:szCs w:val="14"/>
          <w:color w:val="231F20"/>
        </w:rPr>
      </w:pPr>
      <w:r>
        <w:rPr>
          <w:rFonts w:ascii="Arial" w:cs="Arial" w:eastAsia="Arial" w:hAnsi="Arial"/>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4"/>
          <w:szCs w:val="14"/>
          <w:color w:val="231F20"/>
        </w:rPr>
      </w:pPr>
    </w:p>
    <w:p>
      <w:pPr>
        <w:ind w:left="1140" w:right="20" w:hanging="383"/>
        <w:spacing w:after="0" w:line="253" w:lineRule="auto"/>
        <w:tabs>
          <w:tab w:leader="none" w:pos="1053" w:val="left"/>
        </w:tabs>
        <w:numPr>
          <w:ilvl w:val="1"/>
          <w:numId w:val="104"/>
        </w:numPr>
        <w:rPr>
          <w:rFonts w:ascii="Arial" w:cs="Arial" w:eastAsia="Arial" w:hAnsi="Arial"/>
          <w:sz w:val="14"/>
          <w:szCs w:val="14"/>
          <w:color w:val="231F20"/>
        </w:rPr>
      </w:pPr>
      <w:r>
        <w:rPr>
          <w:rFonts w:ascii="Arial" w:cs="Arial" w:eastAsia="Arial" w:hAnsi="Arial"/>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4"/>
          <w:szCs w:val="14"/>
          <w:color w:val="231F20"/>
        </w:rPr>
      </w:pPr>
    </w:p>
    <w:p>
      <w:pPr>
        <w:ind w:left="1140" w:hanging="383"/>
        <w:spacing w:after="0" w:line="238" w:lineRule="auto"/>
        <w:tabs>
          <w:tab w:leader="none" w:pos="1053" w:val="left"/>
        </w:tabs>
        <w:numPr>
          <w:ilvl w:val="1"/>
          <w:numId w:val="104"/>
        </w:numPr>
        <w:rPr>
          <w:rFonts w:ascii="Arial" w:cs="Arial" w:eastAsia="Arial" w:hAnsi="Arial"/>
          <w:sz w:val="14"/>
          <w:szCs w:val="14"/>
          <w:color w:val="231F20"/>
        </w:rPr>
      </w:pPr>
      <w:r>
        <w:rPr>
          <w:rFonts w:ascii="Arial" w:cs="Arial" w:eastAsia="Arial" w:hAnsi="Arial"/>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231F20"/>
        </w:rPr>
      </w:pPr>
    </w:p>
    <w:p>
      <w:pPr>
        <w:ind w:left="760" w:right="20" w:hanging="365"/>
        <w:spacing w:after="0" w:line="253" w:lineRule="auto"/>
        <w:tabs>
          <w:tab w:leader="none" w:pos="686" w:val="left"/>
        </w:tabs>
        <w:numPr>
          <w:ilvl w:val="0"/>
          <w:numId w:val="104"/>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231F20"/>
        </w:rPr>
      </w:pPr>
    </w:p>
    <w:p>
      <w:pPr>
        <w:ind w:left="1140" w:right="20" w:hanging="383"/>
        <w:spacing w:after="0" w:line="253" w:lineRule="auto"/>
        <w:tabs>
          <w:tab w:leader="none" w:pos="1053" w:val="left"/>
        </w:tabs>
        <w:numPr>
          <w:ilvl w:val="1"/>
          <w:numId w:val="104"/>
        </w:numPr>
        <w:rPr>
          <w:rFonts w:ascii="Arial" w:cs="Arial" w:eastAsia="Arial" w:hAnsi="Arial"/>
          <w:sz w:val="14"/>
          <w:szCs w:val="14"/>
          <w:color w:val="231F20"/>
        </w:rPr>
      </w:pPr>
      <w:r>
        <w:rPr>
          <w:rFonts w:ascii="Arial" w:cs="Arial" w:eastAsia="Arial" w:hAnsi="Arial"/>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231F20"/>
        </w:rPr>
      </w:pPr>
    </w:p>
    <w:p>
      <w:pPr>
        <w:ind w:left="1040" w:hanging="283"/>
        <w:spacing w:after="0"/>
        <w:tabs>
          <w:tab w:leader="none" w:pos="1040" w:val="left"/>
        </w:tabs>
        <w:numPr>
          <w:ilvl w:val="1"/>
          <w:numId w:val="104"/>
        </w:numPr>
        <w:rPr>
          <w:rFonts w:ascii="Arial" w:cs="Arial" w:eastAsia="Arial" w:hAnsi="Arial"/>
          <w:sz w:val="13"/>
          <w:szCs w:val="13"/>
          <w:color w:val="231F20"/>
        </w:rPr>
      </w:pPr>
      <w:r>
        <w:rPr>
          <w:rFonts w:ascii="Arial" w:cs="Arial" w:eastAsia="Arial" w:hAnsi="Arial"/>
          <w:sz w:val="13"/>
          <w:szCs w:val="13"/>
          <w:color w:val="231F20"/>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231F20"/>
        </w:rPr>
        <w:t>Date: March 9, 2023</w:t>
      </w:r>
    </w:p>
    <w:p>
      <w:pPr>
        <w:spacing w:after="0" w:line="32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6616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Jason Roos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Chief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231F20"/>
        </w:rPr>
        <w:t>(Principal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231F20"/>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231F20"/>
        </w:rPr>
        <w:t>PURSUANT TO 18 U.S.C. SECTION 1350, AS ADOPTED</w:t>
      </w:r>
    </w:p>
    <w:p>
      <w:pPr>
        <w:jc w:val="center"/>
        <w:spacing w:after="0"/>
        <w:rPr>
          <w:sz w:val="20"/>
          <w:szCs w:val="20"/>
          <w:color w:val="auto"/>
        </w:rPr>
      </w:pPr>
      <w:r>
        <w:rPr>
          <w:rFonts w:ascii="Arial" w:cs="Arial" w:eastAsia="Arial" w:hAnsi="Arial"/>
          <w:sz w:val="14"/>
          <w:szCs w:val="14"/>
          <w:b w:val="1"/>
          <w:bCs w:val="1"/>
          <w:color w:val="231F20"/>
        </w:rPr>
        <w:t>PURSUANT TO SECTION 906 OF THE SARBANES-OXLEY ACT OF 2002</w:t>
      </w:r>
    </w:p>
    <w:p>
      <w:pPr>
        <w:spacing w:after="0" w:line="151" w:lineRule="exact"/>
        <w:rPr>
          <w:sz w:val="20"/>
          <w:szCs w:val="20"/>
          <w:color w:val="auto"/>
        </w:rPr>
      </w:pPr>
    </w:p>
    <w:p>
      <w:pPr>
        <w:jc w:val="both"/>
        <w:ind w:firstLine="374"/>
        <w:spacing w:after="0" w:line="238" w:lineRule="auto"/>
        <w:rPr>
          <w:sz w:val="20"/>
          <w:szCs w:val="20"/>
          <w:color w:val="auto"/>
        </w:rPr>
      </w:pPr>
      <w:r>
        <w:rPr>
          <w:rFonts w:ascii="Arial" w:cs="Arial" w:eastAsia="Arial" w:hAnsi="Arial"/>
          <w:sz w:val="14"/>
          <w:szCs w:val="14"/>
          <w:color w:val="231F20"/>
        </w:rPr>
        <w:t>I, Ted Goldthorpe, the Chief Executive Officer and President, in connection with the Annual Report of Logan Ridge Finance Corporation (the “Company”), on Form 10-K for the year ended December 31, 2022, as filed with the U.S. Securities and Exchange Commission on the date hereof (the “Annual Report”), certify, pursuant to Section 906 of the Sarbanes-Oxley Act of 2002, that:</w:t>
      </w:r>
    </w:p>
    <w:p>
      <w:pPr>
        <w:spacing w:after="0" w:line="156" w:lineRule="exact"/>
        <w:rPr>
          <w:sz w:val="20"/>
          <w:szCs w:val="20"/>
          <w:color w:val="auto"/>
        </w:rPr>
      </w:pPr>
    </w:p>
    <w:p>
      <w:pPr>
        <w:ind w:left="680" w:hanging="285"/>
        <w:spacing w:after="0"/>
        <w:tabs>
          <w:tab w:leader="none" w:pos="680" w:val="left"/>
        </w:tabs>
        <w:numPr>
          <w:ilvl w:val="0"/>
          <w:numId w:val="105"/>
        </w:numPr>
        <w:rPr>
          <w:rFonts w:ascii="Arial" w:cs="Arial" w:eastAsia="Arial" w:hAnsi="Arial"/>
          <w:sz w:val="14"/>
          <w:szCs w:val="14"/>
          <w:color w:val="231F20"/>
        </w:rPr>
      </w:pPr>
      <w:r>
        <w:rPr>
          <w:rFonts w:ascii="Arial" w:cs="Arial" w:eastAsia="Arial" w:hAnsi="Arial"/>
          <w:sz w:val="14"/>
          <w:szCs w:val="14"/>
          <w:color w:val="231F20"/>
        </w:rPr>
        <w:t>the Annual Report fully complies with the requirements of Section 13(a) or 15(d) of the Securities Exchange Act of 1934, as amended; and</w:t>
      </w:r>
    </w:p>
    <w:p>
      <w:pPr>
        <w:spacing w:after="0" w:line="163" w:lineRule="exact"/>
        <w:rPr>
          <w:rFonts w:ascii="Arial" w:cs="Arial" w:eastAsia="Arial" w:hAnsi="Arial"/>
          <w:sz w:val="14"/>
          <w:szCs w:val="14"/>
          <w:color w:val="231F20"/>
        </w:rPr>
      </w:pPr>
    </w:p>
    <w:p>
      <w:pPr>
        <w:ind w:right="1800" w:firstLine="395"/>
        <w:spacing w:after="0" w:line="474" w:lineRule="auto"/>
        <w:tabs>
          <w:tab w:leader="none" w:pos="675" w:val="left"/>
        </w:tabs>
        <w:numPr>
          <w:ilvl w:val="0"/>
          <w:numId w:val="105"/>
        </w:numPr>
        <w:rPr>
          <w:rFonts w:ascii="Arial" w:cs="Arial" w:eastAsia="Arial" w:hAnsi="Arial"/>
          <w:sz w:val="14"/>
          <w:szCs w:val="14"/>
          <w:color w:val="231F20"/>
        </w:rPr>
      </w:pPr>
      <w:r>
        <w:rPr>
          <w:rFonts w:ascii="Arial" w:cs="Arial" w:eastAsia="Arial" w:hAnsi="Arial"/>
          <w:sz w:val="14"/>
          <w:szCs w:val="14"/>
          <w:color w:val="231F20"/>
        </w:rPr>
        <w:t xml:space="preserve">the information contained in the Annual Report fairly presents, in all material respects, the financial condition and results of operations of the Company. </w:t>
      </w:r>
      <w:r>
        <w:rPr>
          <w:rFonts w:ascii="Arial" w:cs="Arial" w:eastAsia="Arial" w:hAnsi="Arial"/>
          <w:sz w:val="14"/>
          <w:szCs w:val="14"/>
          <w:color w:val="000000"/>
        </w:rPr>
        <w:t>Date: March 9, 2023</w:t>
      </w: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Ted Goldthorpe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Chief Executive Officer and President</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i w:val="1"/>
          <w:iCs w:val="1"/>
          <w:color w:val="auto"/>
        </w:rPr>
        <w:t>(Principal Executive Officer)</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231F20"/>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231F20"/>
        </w:rPr>
        <w:t>PURSUANT TO 18 U.S.C. SECTION 1350, AS ADOPTED</w:t>
      </w:r>
    </w:p>
    <w:p>
      <w:pPr>
        <w:jc w:val="center"/>
        <w:spacing w:after="0"/>
        <w:rPr>
          <w:sz w:val="20"/>
          <w:szCs w:val="20"/>
          <w:color w:val="auto"/>
        </w:rPr>
      </w:pPr>
      <w:r>
        <w:rPr>
          <w:rFonts w:ascii="Arial" w:cs="Arial" w:eastAsia="Arial" w:hAnsi="Arial"/>
          <w:sz w:val="14"/>
          <w:szCs w:val="14"/>
          <w:b w:val="1"/>
          <w:bCs w:val="1"/>
          <w:color w:val="231F20"/>
        </w:rPr>
        <w:t>PURSUANT TO SECTION 906 OF THE SARBANES-OXLEY ACT OF 2002</w:t>
      </w:r>
    </w:p>
    <w:p>
      <w:pPr>
        <w:spacing w:after="0" w:line="151" w:lineRule="exact"/>
        <w:rPr>
          <w:sz w:val="20"/>
          <w:szCs w:val="20"/>
          <w:color w:val="auto"/>
        </w:rPr>
      </w:pPr>
    </w:p>
    <w:p>
      <w:pPr>
        <w:ind w:firstLine="374"/>
        <w:spacing w:after="0" w:line="290" w:lineRule="auto"/>
        <w:rPr>
          <w:sz w:val="20"/>
          <w:szCs w:val="20"/>
          <w:color w:val="auto"/>
        </w:rPr>
      </w:pPr>
      <w:r>
        <w:rPr>
          <w:rFonts w:ascii="Arial" w:cs="Arial" w:eastAsia="Arial" w:hAnsi="Arial"/>
          <w:sz w:val="13"/>
          <w:szCs w:val="13"/>
          <w:color w:val="231F20"/>
        </w:rPr>
        <w:t>I, Jason Roos, the Chief Financial Officer, in connection with the Annual Report of Logan Ridge Finance Corporation (the “Company”), on Form 10-K for the year ended December 31, 2022, as filed with the U.S. Securities and Exchange Commission on the date hereof (the “Annual Report”), certify, pursuant to Section 906 of the Sarbanes-Oxley Act of 2002, that:</w:t>
      </w:r>
    </w:p>
    <w:p>
      <w:pPr>
        <w:spacing w:after="0" w:line="125" w:lineRule="exact"/>
        <w:rPr>
          <w:sz w:val="20"/>
          <w:szCs w:val="20"/>
          <w:color w:val="auto"/>
        </w:rPr>
      </w:pPr>
    </w:p>
    <w:p>
      <w:pPr>
        <w:ind w:left="680" w:hanging="285"/>
        <w:spacing w:after="0"/>
        <w:tabs>
          <w:tab w:leader="none" w:pos="680" w:val="left"/>
        </w:tabs>
        <w:numPr>
          <w:ilvl w:val="0"/>
          <w:numId w:val="106"/>
        </w:numPr>
        <w:rPr>
          <w:rFonts w:ascii="Arial" w:cs="Arial" w:eastAsia="Arial" w:hAnsi="Arial"/>
          <w:sz w:val="14"/>
          <w:szCs w:val="14"/>
          <w:color w:val="231F20"/>
        </w:rPr>
      </w:pPr>
      <w:r>
        <w:rPr>
          <w:rFonts w:ascii="Arial" w:cs="Arial" w:eastAsia="Arial" w:hAnsi="Arial"/>
          <w:sz w:val="14"/>
          <w:szCs w:val="14"/>
          <w:color w:val="231F20"/>
        </w:rPr>
        <w:t>the Annual Report fully complies with the requirements of Section 13(a) or 15(d) of the Securities Exchange Act of 1934, as amended; and</w:t>
      </w:r>
    </w:p>
    <w:p>
      <w:pPr>
        <w:spacing w:after="0" w:line="163" w:lineRule="exact"/>
        <w:rPr>
          <w:rFonts w:ascii="Arial" w:cs="Arial" w:eastAsia="Arial" w:hAnsi="Arial"/>
          <w:sz w:val="14"/>
          <w:szCs w:val="14"/>
          <w:color w:val="231F20"/>
        </w:rPr>
      </w:pPr>
    </w:p>
    <w:p>
      <w:pPr>
        <w:ind w:right="1800" w:firstLine="395"/>
        <w:spacing w:after="0" w:line="474" w:lineRule="auto"/>
        <w:tabs>
          <w:tab w:leader="none" w:pos="675" w:val="left"/>
        </w:tabs>
        <w:numPr>
          <w:ilvl w:val="0"/>
          <w:numId w:val="106"/>
        </w:numPr>
        <w:rPr>
          <w:rFonts w:ascii="Arial" w:cs="Arial" w:eastAsia="Arial" w:hAnsi="Arial"/>
          <w:sz w:val="14"/>
          <w:szCs w:val="14"/>
          <w:color w:val="231F20"/>
        </w:rPr>
      </w:pPr>
      <w:r>
        <w:rPr>
          <w:rFonts w:ascii="Arial" w:cs="Arial" w:eastAsia="Arial" w:hAnsi="Arial"/>
          <w:sz w:val="14"/>
          <w:szCs w:val="14"/>
          <w:color w:val="231F20"/>
        </w:rPr>
        <w:t xml:space="preserve">the information contained in the Annual Report fairly presents, in all material respects, the financial condition and results of operations of the Company. </w:t>
      </w:r>
      <w:r>
        <w:rPr>
          <w:rFonts w:ascii="Arial" w:cs="Arial" w:eastAsia="Arial" w:hAnsi="Arial"/>
          <w:sz w:val="14"/>
          <w:szCs w:val="14"/>
          <w:color w:val="000000"/>
        </w:rPr>
        <w:t>Date: March 9, 2023</w:t>
      </w: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Jason Roos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Chief Financial Officer</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i w:val="1"/>
          <w:iCs w:val="1"/>
          <w:color w:val="auto"/>
        </w:rPr>
        <w:t>(Principal Financial Officer)</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lowerRoman"/>
      <w:start w:val="2"/>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1)"/>
      <w:numFmt w:val="lowerLetter"/>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decimal"/>
      <w:start w:val="6"/>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endash "/>
      <w:numFmt w:val="bullet"/>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1)"/>
      <w:numFmt w:val="decimal"/>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1)"/>
      <w:numFmt w:val="decimal"/>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decimal"/>
    </w:lvl>
    <w:lvl w:ilvl="1">
      <w:lvlJc w:val="left"/>
      <w:lvlText w:val="$"/>
      <w:numFmt w:val="bullet"/>
      <w:start w:val="1"/>
    </w:lvl>
  </w:abstractNum>
  <w:abstractNum w:abstractNumId="73">
    <w:nsid w:val="68EBC550"/>
    <w:multiLevelType w:val="hybridMultilevel"/>
    <w:lvl w:ilvl="0">
      <w:lvlJc w:val="left"/>
      <w:lvlText w:val="(%1)"/>
      <w:numFmt w:val="decimal"/>
    </w:lvl>
    <w:lvl w:ilvl="1">
      <w:lvlJc w:val="left"/>
      <w:lvlText w:val="$"/>
      <w:numFmt w:val="bullet"/>
      <w:start w:val="1"/>
    </w:lvl>
  </w:abstractNum>
  <w:abstractNum w:abstractNumId="74">
    <w:nsid w:val="2DF6D648"/>
    <w:multiLevelType w:val="hybridMultilevel"/>
    <w:lvl w:ilvl="0">
      <w:lvlJc w:val="left"/>
      <w:lvlText w:val="(%1)"/>
      <w:numFmt w:val="decimal"/>
      <w:start w:val="1"/>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1)"/>
      <w:numFmt w:val="decimal"/>
      <w:start w:val="1"/>
    </w:lvl>
  </w:abstractNum>
  <w:abstractNum w:abstractNumId="79">
    <w:nsid w:val="CC1016F"/>
    <w:multiLevelType w:val="hybridMultilevel"/>
    <w:lvl w:ilvl="0">
      <w:lvlJc w:val="left"/>
      <w:lvlText w:val="(%1)"/>
      <w:numFmt w:val="decimal"/>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1)"/>
      <w:numFmt w:val="decimal"/>
      <w:start w:val="1"/>
    </w:lvl>
  </w:abstractNum>
  <w:abstractNum w:abstractNumId="82">
    <w:nsid w:val="26F324BA"/>
    <w:multiLevelType w:val="hybridMultilevel"/>
    <w:lvl w:ilvl="0">
      <w:lvlJc w:val="left"/>
      <w:lvlText w:val="%1"/>
      <w:numFmt w:val="decimal"/>
      <w:start w:val="1"/>
    </w:lvl>
    <w:lvl w:ilvl="1">
      <w:lvlJc w:val="left"/>
      <w:lvlText w:val="%2"/>
      <w:numFmt w:val="decimal"/>
      <w:start w:val="104"/>
    </w:lvl>
  </w:abstractNum>
  <w:abstractNum w:abstractNumId="83">
    <w:nsid w:val="7F01579B"/>
    <w:multiLevelType w:val="hybridMultilevel"/>
    <w:lvl w:ilvl="0">
      <w:lvlJc w:val="left"/>
      <w:lvlText w:val="(%1)"/>
      <w:numFmt w:val="decimal"/>
      <w:start w:val="1"/>
    </w:lvl>
    <w:lvl w:ilvl="1">
      <w:lvlJc w:val="left"/>
      <w:lvlText w:val="%2"/>
      <w:numFmt w:val="decimal"/>
      <w:start w:val="1"/>
    </w:lvl>
  </w:abstractNum>
  <w:abstractNum w:abstractNumId="84">
    <w:nsid w:val="49DA307D"/>
    <w:multiLevelType w:val="hybridMultilevel"/>
    <w:lvl w:ilvl="0">
      <w:lvlJc w:val="left"/>
      <w:lvlText w:val="(%1)"/>
      <w:numFmt w:val="decimal"/>
      <w:start w:val="4"/>
    </w:lvl>
  </w:abstractNum>
  <w:abstractNum w:abstractNumId="85">
    <w:nsid w:val="7055A5F5"/>
    <w:multiLevelType w:val="hybridMultilevel"/>
    <w:lvl w:ilvl="0">
      <w:lvlJc w:val="left"/>
      <w:lvlText w:val="(%1)"/>
      <w:numFmt w:val="decimal"/>
      <w:start w:val="1"/>
    </w:lvl>
  </w:abstractNum>
  <w:abstractNum w:abstractNumId="86">
    <w:nsid w:val="5FB8370B"/>
    <w:multiLevelType w:val="hybridMultilevel"/>
    <w:lvl w:ilvl="0">
      <w:lvlJc w:val="left"/>
      <w:lvlText w:val="%1."/>
      <w:numFmt w:val="upperLetter"/>
      <w:start w:val="1"/>
    </w:lvl>
    <w:lvl w:ilvl="1">
      <w:lvlJc w:val="left"/>
      <w:lvlText w:val="%2)"/>
      <w:numFmt w:val="lowerRoman"/>
      <w:start w:val="1"/>
    </w:lvl>
  </w:abstractNum>
  <w:abstractNum w:abstractNumId="87">
    <w:nsid w:val="50801EE1"/>
    <w:multiLevelType w:val="hybridMultilevel"/>
    <w:lvl w:ilvl="0">
      <w:lvlJc w:val="left"/>
      <w:lvlText w:val="%1"/>
      <w:numFmt w:val="upperLetter"/>
      <w:start w:val="1"/>
    </w:lvl>
    <w:lvl w:ilvl="1">
      <w:lvlJc w:val="left"/>
      <w:lvlText w:val="%2)"/>
      <w:numFmt w:val="lowerRoman"/>
      <w:start w:val="5"/>
    </w:lvl>
  </w:abstractNum>
  <w:abstractNum w:abstractNumId="88">
    <w:nsid w:val="488AC1A"/>
    <w:multiLevelType w:val="hybridMultilevel"/>
    <w:lvl w:ilvl="0">
      <w:lvlJc w:val="left"/>
      <w:lvlText w:val="%1."/>
      <w:numFmt w:val="upperLetter"/>
      <w:start w:val="4"/>
    </w:lvl>
    <w:lvl w:ilvl="1">
      <w:lvlJc w:val="left"/>
      <w:lvlText w:val="%2)"/>
      <w:numFmt w:val="lowerRoman"/>
      <w:start w:val="1"/>
    </w:lvl>
  </w:abstractNum>
  <w:abstractNum w:abstractNumId="89">
    <w:nsid w:val="5FB8011C"/>
    <w:multiLevelType w:val="hybridMultilevel"/>
    <w:lvl w:ilvl="0">
      <w:lvlJc w:val="left"/>
      <w:lvlText w:val="%1"/>
      <w:numFmt w:val="upperLetter"/>
      <w:start w:val="1"/>
    </w:lvl>
    <w:lvl w:ilvl="1">
      <w:lvlJc w:val="left"/>
      <w:lvlText w:val="%2)"/>
      <w:numFmt w:val="lowerRoman"/>
      <w:start w:val="2"/>
    </w:lvl>
  </w:abstractNum>
  <w:abstractNum w:abstractNumId="90">
    <w:nsid w:val="6AA78F7F"/>
    <w:multiLevelType w:val="hybridMultilevel"/>
    <w:lvl w:ilvl="0">
      <w:lvlJc w:val="left"/>
      <w:lvlText w:val="%1."/>
      <w:numFmt w:val="upperLetter"/>
      <w:start w:val="12"/>
    </w:lvl>
    <w:lvl w:ilvl="1">
      <w:lvlJc w:val="left"/>
      <w:lvlText w:val="%2)"/>
      <w:numFmt w:val="lowerRoman"/>
      <w:start w:val="1"/>
    </w:lvl>
  </w:abstractNum>
  <w:abstractNum w:abstractNumId="91">
    <w:nsid w:val="7672BD23"/>
    <w:multiLevelType w:val="hybridMultilevel"/>
    <w:lvl w:ilvl="0">
      <w:lvlJc w:val="left"/>
      <w:lvlText w:val="%1)"/>
      <w:numFmt w:val="decimal"/>
      <w:start w:val="1"/>
    </w:lvl>
    <w:lvl w:ilvl="1">
      <w:lvlJc w:val="left"/>
      <w:lvlText w:val="%2)"/>
      <w:numFmt w:val="lowerLetter"/>
      <w:start w:val="1"/>
    </w:lvl>
  </w:abstractNum>
  <w:abstractNum w:abstractNumId="92">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3">
    <w:nsid w:val="6A5F702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94">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5">
    <w:nsid w:val="5F3534A4"/>
    <w:multiLevelType w:val="hybridMultilevel"/>
    <w:lvl w:ilvl="0">
      <w:lvlJc w:val="left"/>
      <w:lvlText w:val="%1)"/>
      <w:numFmt w:val="decimal"/>
      <w:start w:val="3"/>
    </w:lvl>
  </w:abstractNum>
  <w:abstractNum w:abstractNumId="96">
    <w:nsid w:val="73A1821B"/>
    <w:multiLevelType w:val="hybridMultilevel"/>
    <w:lvl w:ilvl="0">
      <w:lvlJc w:val="left"/>
      <w:lvlText w:val="%1)"/>
      <w:numFmt w:val="decimal"/>
      <w:start w:val="1"/>
    </w:lvl>
    <w:lvl w:ilvl="1">
      <w:lvlJc w:val="left"/>
      <w:lvlText w:val="%2)"/>
      <w:numFmt w:val="lowerLetter"/>
      <w:start w:val="1"/>
    </w:lvl>
  </w:abstractNum>
  <w:abstractNum w:abstractNumId="97">
    <w:nsid w:val="7DE67713"/>
    <w:multiLevelType w:val="hybridMultilevel"/>
    <w:lvl w:ilvl="0">
      <w:lvlJc w:val="left"/>
      <w:lvlText w:val="%1)"/>
      <w:numFmt w:val="decimal"/>
      <w:start w:val="2"/>
    </w:lvl>
  </w:abstractNum>
  <w:abstractNum w:abstractNumId="98">
    <w:nsid w:val="555C55B5"/>
    <w:multiLevelType w:val="hybridMultilevel"/>
    <w:lvl w:ilvl="0">
      <w:lvlJc w:val="left"/>
      <w:lvlText w:val="%1)"/>
      <w:numFmt w:val="decimal"/>
      <w:start w:val="1"/>
    </w:lvl>
    <w:lvl w:ilvl="1">
      <w:lvlJc w:val="left"/>
      <w:lvlText w:val="%2)"/>
      <w:numFmt w:val="lowerLetter"/>
      <w:start w:val="1"/>
    </w:lvl>
  </w:abstractNum>
  <w:abstractNum w:abstractNumId="99">
    <w:nsid w:val="3FA62ACA"/>
    <w:multiLevelType w:val="hybridMultilevel"/>
    <w:lvl w:ilvl="0">
      <w:lvlJc w:val="left"/>
      <w:lvlText w:val="%1)"/>
      <w:numFmt w:val="decimal"/>
      <w:start w:val="3"/>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2"/>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jpe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577" Type="http://schemas.openxmlformats.org/officeDocument/2006/relationships/hyperlink" Target="https://www.sec.gov/Archives/edgar/data/1221483/000119312513361263/d505298dex99a1.htm" TargetMode="External"/><Relationship Id="rId578" Type="http://schemas.openxmlformats.org/officeDocument/2006/relationships/hyperlink" Target="https://www.sec.gov/Archives/edgar/data/1571329/000110465920090336/tm2026478d1_ex3-1.htm" TargetMode="External"/><Relationship Id="rId579" Type="http://schemas.openxmlformats.org/officeDocument/2006/relationships/hyperlink" Target="https://www.sec.gov/Archives/edgar/data/1221483/000119312513368161/d505298dex99a2.htm" TargetMode="External"/><Relationship Id="rId580" Type="http://schemas.openxmlformats.org/officeDocument/2006/relationships/hyperlink" Target="https://www.sec.gov/Archives/edgar/data/1221483/000119312513368161/d505298dex99a3.htm" TargetMode="External"/><Relationship Id="rId581" Type="http://schemas.openxmlformats.org/officeDocument/2006/relationships/hyperlink" Target="https://www.sec.gov/Archives/edgar/data/1221483/000119312513361263/d505298dex99b1.htm" TargetMode="External"/><Relationship Id="rId582" Type="http://schemas.openxmlformats.org/officeDocument/2006/relationships/hyperlink" Target="https://www.sec.gov/Archives/edgar/data/1571329/000119312513376445/d505298dex99b2.htm" TargetMode="External"/><Relationship Id="rId583" Type="http://schemas.openxmlformats.org/officeDocument/2006/relationships/hyperlink" Target="https://www.sec.gov/Archives/edgar/data/1571329/000119312513376445/d505298dex99b3.htm" TargetMode="External"/><Relationship Id="rId584" Type="http://schemas.openxmlformats.org/officeDocument/2006/relationships/hyperlink" Target="https://www.sec.gov/Archives/edgar/data/1221483/000119312513361263/d505298dex99d1.htm" TargetMode="External"/><Relationship Id="rId585" Type="http://schemas.openxmlformats.org/officeDocument/2006/relationships/hyperlink" Target="https://www.sec.gov/Archives/edgar/data/1571329/000114420414032811/v373541_ex99d2.htm" TargetMode="External"/><Relationship Id="rId586" Type="http://schemas.openxmlformats.org/officeDocument/2006/relationships/hyperlink" Target="https://www.sec.gov/Archives/edgar/data/1571329/000119312521315518/d207689dex41.htm" TargetMode="External"/><Relationship Id="rId587" Type="http://schemas.openxmlformats.org/officeDocument/2006/relationships/hyperlink" Target="https://www.sec.gov/Archives/edgar/data/1571329/000110465920027898/tm2010843d2_ex4-5.htm" TargetMode="External"/><Relationship Id="rId588" Type="http://schemas.openxmlformats.org/officeDocument/2006/relationships/hyperlink" Target="https://www.sec.gov/Archives/edgar/data/1221483/000119312513361263/d505298dex99e.htm" TargetMode="External"/><Relationship Id="rId589" Type="http://schemas.openxmlformats.org/officeDocument/2006/relationships/hyperlink" Target="https://www.sec.gov/Archives/edgar/data/1571329/000119312521206384/d145666dex101.htm" TargetMode="External"/><Relationship Id="rId590" Type="http://schemas.openxmlformats.org/officeDocument/2006/relationships/hyperlink" Target="https://www.sec.gov/Archives/edgar/data/1221483/000119312513361263/d505298dex99j.htm" TargetMode="External"/><Relationship Id="rId591" Type="http://schemas.openxmlformats.org/officeDocument/2006/relationships/hyperlink" Target="https://www.sec.gov/Archives/edgar/data/1571329/000119312521206384/d145666dex103.htm" TargetMode="External"/><Relationship Id="rId592" Type="http://schemas.openxmlformats.org/officeDocument/2006/relationships/hyperlink" Target="https://www.sec.gov/Archives/edgar/data/1221483/000119312513361263/d505298dex99k2.htm" TargetMode="External"/><Relationship Id="rId593" Type="http://schemas.openxmlformats.org/officeDocument/2006/relationships/hyperlink" Target="https://www.sec.gov/Archives/edgar/data/1571329/000119312521206384/d145666dex102.htm" TargetMode="External"/><Relationship Id="rId594" Type="http://schemas.openxmlformats.org/officeDocument/2006/relationships/hyperlink" Target="https://www.sec.gov/Archives/edgar/data/1571329/000119312522266736/d252630d8k.htm" TargetMode="External"/><Relationship Id="rId595" Type="http://schemas.openxmlformats.org/officeDocument/2006/relationships/hyperlink" Target="https://www.sec.gov/Archives/edgar/data/1571329/000119312522097684/d3295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2023-03-09T16:03:37Z</dcterms:created>
  <dcterms:modified xsi:type="dcterms:W3CDTF">2023-03-09T16:03:37Z</dcterms:modified>
</cp:coreProperties>
</file>