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4"/>
                <w:szCs w:val="24"/>
                <w:color w:val="auto"/>
              </w:rPr>
            </w:pPr>
          </w:p>
        </w:tc>
        <w:tc>
          <w:tcPr>
            <w:tcW w:w="7520" w:type="dxa"/>
            <w:vAlign w:val="bottom"/>
            <w:gridSpan w:val="5"/>
          </w:tcPr>
          <w:p>
            <w:pPr>
              <w:jc w:val="center"/>
              <w:ind w:left="9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b w:val="1"/>
                <w:bCs w:val="1"/>
                <w:color w:val="auto"/>
                <w:w w:val="92"/>
              </w:rPr>
              <w:t xml:space="preserve">  Quarterly Report Pursuant to Section 13 or 15(d) of the Securities Exchange Act of 1934</w:t>
            </w:r>
          </w:p>
        </w:tc>
        <w:tc>
          <w:tcPr>
            <w:tcW w:w="2040" w:type="dxa"/>
            <w:vAlign w:val="bottom"/>
          </w:tcPr>
          <w:p>
            <w:pPr>
              <w:spacing w:after="0"/>
              <w:rPr>
                <w:sz w:val="24"/>
                <w:szCs w:val="24"/>
                <w:color w:val="auto"/>
              </w:rPr>
            </w:pPr>
          </w:p>
        </w:tc>
      </w:tr>
      <w:tr>
        <w:trPr>
          <w:trHeight w:val="412"/>
        </w:trPr>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4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1"/>
              </w:rPr>
              <w:t>For the quarterly period ended March 31, 2018</w:t>
            </w:r>
          </w:p>
        </w:tc>
        <w:tc>
          <w:tcPr>
            <w:tcW w:w="2040" w:type="dxa"/>
            <w:vAlign w:val="bottom"/>
          </w:tcPr>
          <w:p>
            <w:pPr>
              <w:spacing w:after="0"/>
              <w:rPr>
                <w:sz w:val="24"/>
                <w:szCs w:val="24"/>
                <w:color w:val="auto"/>
              </w:rPr>
            </w:pPr>
          </w:p>
        </w:tc>
      </w:tr>
      <w:tr>
        <w:trPr>
          <w:trHeight w:val="452"/>
        </w:trPr>
        <w:tc>
          <w:tcPr>
            <w:tcW w:w="1860" w:type="dxa"/>
            <w:vAlign w:val="bottom"/>
          </w:tcPr>
          <w:p>
            <w:pPr>
              <w:spacing w:after="0"/>
              <w:rPr>
                <w:sz w:val="24"/>
                <w:szCs w:val="24"/>
                <w:color w:val="auto"/>
              </w:rPr>
            </w:pPr>
          </w:p>
        </w:tc>
        <w:tc>
          <w:tcPr>
            <w:tcW w:w="7520" w:type="dxa"/>
            <w:vAlign w:val="bottom"/>
            <w:gridSpan w:val="5"/>
          </w:tcPr>
          <w:p>
            <w:pPr>
              <w:jc w:val="center"/>
              <w:ind w:left="11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b w:val="1"/>
                <w:bCs w:val="1"/>
                <w:color w:val="auto"/>
                <w:w w:val="92"/>
              </w:rPr>
              <w:t xml:space="preserve">  Transition Report Pursuant to Section 13 or 15(d) of the Securities Exchange Act of 1934</w:t>
            </w:r>
          </w:p>
        </w:tc>
        <w:tc>
          <w:tcPr>
            <w:tcW w:w="2040" w:type="dxa"/>
            <w:vAlign w:val="bottom"/>
          </w:tcPr>
          <w:p>
            <w:pPr>
              <w:spacing w:after="0"/>
              <w:rPr>
                <w:sz w:val="24"/>
                <w:szCs w:val="24"/>
                <w:color w:val="auto"/>
              </w:rPr>
            </w:pPr>
          </w:p>
        </w:tc>
      </w:tr>
      <w:tr>
        <w:trPr>
          <w:trHeight w:val="394"/>
        </w:trPr>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Exact name of registrant as specified in its charter,</w:t>
            </w:r>
          </w:p>
        </w:tc>
        <w:tc>
          <w:tcPr>
            <w:tcW w:w="2040" w:type="dxa"/>
            <w:vAlign w:val="bottom"/>
          </w:tcPr>
          <w:p>
            <w:pPr>
              <w:spacing w:after="0"/>
              <w:rPr>
                <w:sz w:val="24"/>
                <w:szCs w:val="24"/>
                <w:color w:val="auto"/>
              </w:rPr>
            </w:pPr>
          </w:p>
        </w:tc>
      </w:tr>
      <w:tr>
        <w:trPr>
          <w:trHeight w:val="216"/>
        </w:trPr>
        <w:tc>
          <w:tcPr>
            <w:tcW w:w="1860" w:type="dxa"/>
            <w:vAlign w:val="bottom"/>
          </w:tcPr>
          <w:p>
            <w:pPr>
              <w:jc w:val="center"/>
              <w:ind w:left="370"/>
              <w:spacing w:after="0"/>
              <w:rPr>
                <w:sz w:val="20"/>
                <w:szCs w:val="20"/>
                <w:color w:val="auto"/>
              </w:rPr>
            </w:pPr>
            <w:r>
              <w:rPr>
                <w:rFonts w:ascii="Arial" w:cs="Arial" w:eastAsia="Arial" w:hAnsi="Arial"/>
                <w:sz w:val="18"/>
                <w:szCs w:val="18"/>
                <w:b w:val="1"/>
                <w:bCs w:val="1"/>
                <w:color w:val="auto"/>
                <w:w w:val="88"/>
              </w:rPr>
              <w:t>Commission</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address of principal executive office, telephone number and</w:t>
            </w:r>
          </w:p>
        </w:tc>
        <w:tc>
          <w:tcPr>
            <w:tcW w:w="2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I.R.S. Employer</w:t>
            </w:r>
          </w:p>
        </w:tc>
      </w:tr>
      <w:tr>
        <w:trPr>
          <w:trHeight w:val="234"/>
        </w:trPr>
        <w:tc>
          <w:tcPr>
            <w:tcW w:w="1860" w:type="dxa"/>
            <w:vAlign w:val="bottom"/>
          </w:tcPr>
          <w:p>
            <w:pPr>
              <w:jc w:val="center"/>
              <w:ind w:left="350"/>
              <w:spacing w:after="0"/>
              <w:rPr>
                <w:sz w:val="20"/>
                <w:szCs w:val="20"/>
                <w:color w:val="auto"/>
              </w:rPr>
            </w:pPr>
            <w:r>
              <w:rPr>
                <w:rFonts w:ascii="Arial" w:cs="Arial" w:eastAsia="Arial" w:hAnsi="Arial"/>
                <w:sz w:val="18"/>
                <w:szCs w:val="18"/>
                <w:b w:val="1"/>
                <w:bCs w:val="1"/>
                <w:color w:val="auto"/>
                <w:w w:val="94"/>
              </w:rPr>
              <w:t>File Number</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state or other jurisdiction of incorporation or organization</w:t>
            </w:r>
          </w:p>
        </w:tc>
        <w:tc>
          <w:tcPr>
            <w:tcW w:w="2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Identification Number</w:t>
            </w:r>
          </w:p>
        </w:tc>
      </w:tr>
      <w:tr>
        <w:trPr>
          <w:trHeight w:val="272"/>
        </w:trPr>
        <w:tc>
          <w:tcPr>
            <w:tcW w:w="186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0"/>
              </w:rPr>
              <w:t>814-01022</w:t>
            </w:r>
          </w:p>
        </w:tc>
        <w:tc>
          <w:tcPr>
            <w:tcW w:w="4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6380" w:type="dxa"/>
            <w:vAlign w:val="bottom"/>
            <w:tcBorders>
              <w:top w:val="single" w:sz="8" w:color="auto"/>
            </w:tcBorders>
          </w:tcPr>
          <w:p>
            <w:pPr>
              <w:jc w:val="center"/>
              <w:spacing w:after="0" w:line="272" w:lineRule="exact"/>
              <w:rPr>
                <w:sz w:val="20"/>
                <w:szCs w:val="20"/>
                <w:color w:val="auto"/>
              </w:rPr>
            </w:pPr>
            <w:r>
              <w:rPr>
                <w:rFonts w:ascii="Arial" w:cs="Arial" w:eastAsia="Arial" w:hAnsi="Arial"/>
                <w:sz w:val="25"/>
                <w:szCs w:val="25"/>
                <w:b w:val="1"/>
                <w:bCs w:val="1"/>
                <w:color w:val="auto"/>
                <w:w w:val="93"/>
              </w:rPr>
              <w:t>Capitala Finance Corp.</w:t>
            </w:r>
          </w:p>
        </w:tc>
        <w:tc>
          <w:tcPr>
            <w:tcW w:w="2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04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90-0945675</w:t>
            </w:r>
          </w:p>
        </w:tc>
      </w:tr>
      <w:tr>
        <w:trPr>
          <w:trHeight w:val="216"/>
        </w:trPr>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4201 Congress St., Suite 360</w:t>
            </w:r>
          </w:p>
        </w:tc>
        <w:tc>
          <w:tcPr>
            <w:tcW w:w="204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4"/>
              </w:rPr>
              <w:t>Charlotte, North Carolina</w:t>
            </w:r>
          </w:p>
        </w:tc>
        <w:tc>
          <w:tcPr>
            <w:tcW w:w="204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Telephone: (704) 376-5502</w:t>
            </w:r>
          </w:p>
        </w:tc>
        <w:tc>
          <w:tcPr>
            <w:tcW w:w="2040" w:type="dxa"/>
            <w:vAlign w:val="bottom"/>
          </w:tcPr>
          <w:p>
            <w:pPr>
              <w:spacing w:after="0"/>
              <w:rPr>
                <w:sz w:val="18"/>
                <w:szCs w:val="18"/>
                <w:color w:val="auto"/>
              </w:rPr>
            </w:pPr>
          </w:p>
        </w:tc>
      </w:tr>
      <w:tr>
        <w:trPr>
          <w:trHeight w:val="234"/>
        </w:trPr>
        <w:tc>
          <w:tcPr>
            <w:tcW w:w="1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3"/>
              </w:rPr>
              <w:t>State of Incorporation: Maryland</w:t>
            </w:r>
          </w:p>
        </w:tc>
        <w:tc>
          <w:tcPr>
            <w:tcW w:w="204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2880"/>
        <w:spacing w:after="0" w:line="207" w:lineRule="exact"/>
        <w:tabs>
          <w:tab w:leader="none" w:pos="5700" w:val="left"/>
          <w:tab w:leader="none" w:pos="798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49" w:lineRule="exact"/>
        <w:rPr>
          <w:sz w:val="24"/>
          <w:szCs w:val="24"/>
          <w:color w:val="auto"/>
        </w:rPr>
      </w:pPr>
    </w:p>
    <w:p>
      <w:pPr>
        <w:ind w:left="2880"/>
        <w:spacing w:after="0" w:line="207" w:lineRule="exact"/>
        <w:tabs>
          <w:tab w:leader="none" w:pos="5700" w:val="left"/>
          <w:tab w:leader="none" w:pos="798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675"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Capitala Finance Corp.</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5">
            <w:col w:w="2160" w:space="720"/>
            <w:col w:w="1600" w:space="340"/>
            <w:col w:w="1900" w:space="720"/>
            <w:col w:w="1560" w:space="720"/>
            <w:col w:w="1700"/>
          </w:cols>
          <w:pgMar w:left="240" w:top="675" w:right="239" w:bottom="1440" w:gutter="0" w:footer="0" w:header="0"/>
          <w:type w:val="continuous"/>
        </w:sectPr>
      </w:pPr>
    </w:p>
    <w:p>
      <w:pPr>
        <w:spacing w:after="0" w:line="48" w:lineRule="exact"/>
        <w:rPr>
          <w:sz w:val="24"/>
          <w:szCs w:val="24"/>
          <w:color w:val="auto"/>
        </w:rPr>
      </w:pPr>
    </w:p>
    <w:p>
      <w:pPr>
        <w:ind w:left="28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4400" w:space="420"/>
            <w:col w:w="1900" w:space="720"/>
            <w:col w:w="1960" w:space="320"/>
            <w:col w:w="1700"/>
          </w:cols>
          <w:pgMar w:left="240" w:top="675" w:right="239" w:bottom="1440" w:gutter="0" w:footer="0" w:header="0"/>
          <w:type w:val="continuous"/>
        </w:sectPr>
      </w:pPr>
    </w:p>
    <w:p>
      <w:pPr>
        <w:spacing w:after="0" w:line="48" w:lineRule="exact"/>
        <w:rPr>
          <w:sz w:val="24"/>
          <w:szCs w:val="24"/>
          <w:color w:val="auto"/>
        </w:rPr>
      </w:pPr>
    </w:p>
    <w:p>
      <w:pPr>
        <w:ind w:left="74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2">
            <w:col w:w="9400" w:space="320"/>
            <w:col w:w="1700"/>
          </w:cols>
          <w:pgMar w:left="240" w:top="675" w:right="239" w:bottom="1440" w:gutter="0" w:footer="0" w:header="0"/>
          <w:type w:val="continuous"/>
        </w:sectPr>
      </w:pPr>
    </w:p>
    <w:p>
      <w:pPr>
        <w:spacing w:after="0" w:line="48"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420"/>
          </w:cols>
          <w:pgMar w:left="240" w:top="675" w:right="239" w:bottom="1440" w:gutter="0" w:footer="0" w:header="0"/>
          <w:type w:val="continuous"/>
        </w:sectPr>
      </w:pPr>
    </w:p>
    <w:p>
      <w:pPr>
        <w:spacing w:after="0" w:line="225" w:lineRule="exact"/>
        <w:rPr>
          <w:sz w:val="24"/>
          <w:szCs w:val="24"/>
          <w:color w:val="auto"/>
        </w:rPr>
      </w:pPr>
    </w:p>
    <w:p>
      <w:pPr>
        <w:ind w:left="2880"/>
        <w:spacing w:after="0"/>
        <w:rPr>
          <w:sz w:val="20"/>
          <w:szCs w:val="20"/>
          <w:color w:val="auto"/>
        </w:rPr>
      </w:pPr>
      <w:r>
        <w:rPr>
          <w:rFonts w:ascii="Arial" w:cs="Arial" w:eastAsia="Arial" w:hAnsi="Arial"/>
          <w:sz w:val="16"/>
          <w:szCs w:val="16"/>
          <w:color w:val="auto"/>
        </w:rPr>
        <w:t>Capitala Finance Corp.</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5000" w:space="720"/>
            <w:col w:w="260" w:space="100"/>
            <w:col w:w="1200" w:space="720"/>
            <w:col w:w="220" w:space="140"/>
            <w:col w:w="3060"/>
          </w:cols>
          <w:pgMar w:left="240" w:top="675" w:right="239" w:bottom="1440" w:gutter="0" w:footer="0" w:header="0"/>
          <w:type w:val="continuous"/>
        </w:sectPr>
      </w:pPr>
    </w:p>
    <w:p>
      <w:pPr>
        <w:spacing w:after="0" w:line="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 number of shares of Capitala Finance Corp.’s common stock, $0.01 par value, outstanding as of May 7, 2018 was 15,981,224.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gridSpan w:val="9"/>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340" w:type="dxa"/>
            <w:vAlign w:val="bottom"/>
            <w:gridSpan w:val="19"/>
            <w:shd w:val="clear" w:color="auto" w:fill="CCEEFF"/>
          </w:tcPr>
          <w:p>
            <w:pPr>
              <w:ind w:left="42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2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2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March 31, 2018 (unaudited) and December 31, 2017</w:t>
              </w:r>
            </w:hyperlink>
          </w:p>
        </w:tc>
        <w:tc>
          <w:tcPr>
            <w:tcW w:w="12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months ended March 31, 2018 and 2017 (unaudited)</w:t>
              </w:r>
            </w:hyperlink>
          </w:p>
        </w:tc>
        <w:tc>
          <w:tcPr>
            <w:tcW w:w="12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Statements of Changes in Net Assets for the three months ended March 31, 2018 and 2017 (unaudited)</w:t>
              </w:r>
            </w:hyperlink>
          </w:p>
        </w:tc>
        <w:tc>
          <w:tcPr>
            <w:tcW w:w="12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three months ended March 31, 2018 and 2017 (unaudited)</w:t>
              </w:r>
            </w:hyperlink>
          </w:p>
        </w:tc>
        <w:tc>
          <w:tcPr>
            <w:tcW w:w="12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March 31, 2018 (unaudited) and December 31, 2017</w:t>
              </w:r>
            </w:hyperlink>
          </w:p>
        </w:tc>
        <w:tc>
          <w:tcPr>
            <w:tcW w:w="12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Notes to Consolidated Financial Statements as of March 31, 2018 (unaudited)</w:t>
              </w:r>
            </w:hyperlink>
          </w:p>
        </w:tc>
        <w:tc>
          <w:tcPr>
            <w:tcW w:w="12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Item 2.</w:t>
              </w:r>
            </w:hyperlink>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Management’s Discussion and Analysis of Financial Condition and Results of Operations</w:t>
              </w:r>
            </w:hyperlink>
          </w:p>
        </w:tc>
        <w:tc>
          <w:tcPr>
            <w:tcW w:w="12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Item 3.</w:t>
              </w:r>
            </w:hyperlink>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Quantitative and Qualitative Disclosures About Market Risk</w:t>
              </w:r>
            </w:hyperlink>
          </w:p>
        </w:tc>
        <w:tc>
          <w:tcPr>
            <w:tcW w:w="12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Item 4.</w:t>
              </w:r>
            </w:hyperlink>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12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II.</w:t>
              </w:r>
            </w:hyperlink>
          </w:p>
        </w:tc>
        <w:tc>
          <w:tcPr>
            <w:tcW w:w="9340" w:type="dxa"/>
            <w:vAlign w:val="bottom"/>
            <w:gridSpan w:val="19"/>
            <w:shd w:val="clear" w:color="auto" w:fill="CCEEFF"/>
          </w:tcPr>
          <w:p>
            <w:pPr>
              <w:ind w:left="420"/>
              <w:spacing w:after="0" w:line="176" w:lineRule="exact"/>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OTHER INFORMATION</w:t>
              </w:r>
            </w:hyperlink>
          </w:p>
        </w:tc>
        <w:tc>
          <w:tcPr>
            <w:tcW w:w="12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Item 1.</w:t>
              </w:r>
            </w:hyperlink>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Legal Proceedings</w:t>
              </w:r>
            </w:hyperlink>
          </w:p>
        </w:tc>
        <w:tc>
          <w:tcPr>
            <w:tcW w:w="12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Item 1A.</w:t>
              </w:r>
            </w:hyperlink>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Risk Factors</w:t>
              </w:r>
            </w:hyperlink>
          </w:p>
        </w:tc>
        <w:tc>
          <w:tcPr>
            <w:tcW w:w="12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Item 2.</w:t>
              </w:r>
            </w:hyperlink>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Unregistered Sales of Equity Securities and Use of Proceeds</w:t>
              </w:r>
            </w:hyperlink>
          </w:p>
        </w:tc>
        <w:tc>
          <w:tcPr>
            <w:tcW w:w="12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Item 3.</w:t>
              </w:r>
            </w:hyperlink>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Defaults Upon Senior Securities</w:t>
              </w:r>
            </w:hyperlink>
          </w:p>
        </w:tc>
        <w:tc>
          <w:tcPr>
            <w:tcW w:w="12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Item 4.</w:t>
              </w:r>
            </w:hyperlink>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Mine Safety Disclosures</w:t>
              </w:r>
            </w:hyperlink>
          </w:p>
        </w:tc>
        <w:tc>
          <w:tcPr>
            <w:tcW w:w="12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Item 5.</w:t>
              </w:r>
            </w:hyperlink>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12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Item 6.</w:t>
              </w:r>
            </w:hyperlink>
          </w:p>
        </w:tc>
        <w:tc>
          <w:tcPr>
            <w:tcW w:w="9340" w:type="dxa"/>
            <w:vAlign w:val="bottom"/>
            <w:gridSpan w:val="19"/>
            <w:shd w:val="clear" w:color="auto" w:fill="CCEEFF"/>
          </w:tcPr>
          <w:p>
            <w:pPr>
              <w:ind w:left="42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Exhibits</w:t>
              </w:r>
            </w:hyperlink>
          </w:p>
        </w:tc>
        <w:tc>
          <w:tcPr>
            <w:tcW w:w="12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73</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Signatures</w:t>
              </w:r>
            </w:hyperlink>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20" w:type="dxa"/>
            <w:vAlign w:val="bottom"/>
            <w:tcBorders>
              <w:top w:val="single" w:sz="8" w:color="CCEEFF"/>
              <w:bottom w:val="single" w:sz="8" w:color="auto"/>
            </w:tcBorders>
            <w:gridSpan w:val="12"/>
          </w:tcPr>
          <w:p>
            <w:pPr>
              <w:jc w:val="right"/>
              <w:ind w:right="1100"/>
              <w:spacing w:after="0"/>
              <w:rPr>
                <w:sz w:val="20"/>
                <w:szCs w:val="20"/>
                <w:color w:val="auto"/>
              </w:rPr>
            </w:pPr>
            <w:r>
              <w:rPr>
                <w:rFonts w:ascii="Arial" w:cs="Arial" w:eastAsia="Arial" w:hAnsi="Arial"/>
                <w:sz w:val="18"/>
                <w:szCs w:val="18"/>
                <w:color w:val="auto"/>
              </w:rPr>
              <w:t>2</w:t>
            </w:r>
          </w:p>
        </w:tc>
        <w:tc>
          <w:tcPr>
            <w:tcW w:w="8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40" w:type="dxa"/>
            <w:vAlign w:val="bottom"/>
          </w:tcPr>
          <w:p>
            <w:pPr>
              <w:jc w:val="center"/>
              <w:ind w:left="3250"/>
              <w:spacing w:after="0"/>
              <w:rPr>
                <w:sz w:val="20"/>
                <w:szCs w:val="20"/>
                <w:color w:val="auto"/>
              </w:rPr>
            </w:pPr>
            <w:r>
              <w:rPr>
                <w:rFonts w:ascii="Arial" w:cs="Arial" w:eastAsia="Arial" w:hAnsi="Arial"/>
                <w:sz w:val="18"/>
                <w:szCs w:val="18"/>
                <w:b w:val="1"/>
                <w:bCs w:val="1"/>
                <w:color w:val="auto"/>
              </w:rPr>
              <w:t>PART I. FINANCIAL INFORMATION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40" w:type="dxa"/>
            <w:vAlign w:val="bottom"/>
          </w:tcPr>
          <w:p>
            <w:pPr>
              <w:jc w:val="center"/>
              <w:ind w:left="3270"/>
              <w:spacing w:after="0"/>
              <w:rPr>
                <w:sz w:val="20"/>
                <w:szCs w:val="20"/>
                <w:color w:val="auto"/>
              </w:rPr>
            </w:pPr>
            <w:r>
              <w:rPr>
                <w:rFonts w:ascii="Arial" w:cs="Arial" w:eastAsia="Arial" w:hAnsi="Arial"/>
                <w:sz w:val="18"/>
                <w:szCs w:val="18"/>
                <w:b w:val="1"/>
                <w:bCs w:val="1"/>
                <w:color w:val="auto"/>
                <w:w w:val="92"/>
              </w:rPr>
              <w:t>Capitala Finance Corp.</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40" w:type="dxa"/>
            <w:vAlign w:val="bottom"/>
          </w:tcPr>
          <w:p>
            <w:pPr>
              <w:jc w:val="center"/>
              <w:ind w:left="325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jc w:val="center"/>
              <w:ind w:left="32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ind w:left="128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March 31, 2018</w:t>
            </w:r>
          </w:p>
        </w:tc>
        <w:tc>
          <w:tcPr>
            <w:tcW w:w="8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 (amortized cost of $278,716 and $298,132, respectively)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271,092</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Affiliate investments (amortized cost of $99,167 and $77,336, respectively)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125,012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103,957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 (amortized cost of $91,319 and $89,559, respectively)</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107,618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Total investments at fair value (amortized cost of $469,202 and $465,027, respectively)</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503,722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25,720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Interest and dividend receivable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3,090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Prepaid expenses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532,864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534,595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LIABILITIES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(net of deferred financing costs of $2,146 and $2,300, respectively)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168,554</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2022 Notes (net of deferred financing costs of $2,371 and $2,496, respectively)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72,629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 (net of deferred financing costs of $1,504 and $1,583, respectively)</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50,584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Credit Facility (net of deferred financing costs of $1,186 and $1,293, respectively)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10,814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incentive fees payable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Interest and financing fees payable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1,479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Trade settlement payable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Deferred tax liability, 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1,339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Written call option at fair value (proceeds of $20 and $20, respectively)</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314,660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Commitments and contingencies (Note 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NET ASSETS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par value $.01, 100,000,000 common shares authorized, 15,974,218 and 15,951,231 common</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241,191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16,304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Accumulated net realized losses from investments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(65,837)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 net of deferred taxes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33,181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(6,795)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assets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and net assets</w:t>
            </w: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532,864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534,595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13.66</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40" w:type="dxa"/>
            <w:vAlign w:val="bottom"/>
          </w:tcPr>
          <w:p>
            <w:pPr>
              <w:ind w:left="3520"/>
              <w:spacing w:after="0"/>
              <w:rPr>
                <w:sz w:val="20"/>
                <w:szCs w:val="20"/>
                <w:color w:val="auto"/>
              </w:rPr>
            </w:pPr>
            <w:r>
              <w:rPr>
                <w:rFonts w:ascii="Arial" w:cs="Arial" w:eastAsia="Arial" w:hAnsi="Arial"/>
                <w:sz w:val="18"/>
                <w:szCs w:val="18"/>
                <w:color w:val="auto"/>
                <w:w w:val="90"/>
              </w:rPr>
              <w:t>See accompanying notes to consolidated financial statements.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040" w:type="dxa"/>
            <w:vAlign w:val="bottom"/>
            <w:tcBorders>
              <w:bottom w:val="single" w:sz="8" w:color="auto"/>
            </w:tcBorders>
          </w:tcPr>
          <w:p>
            <w:pPr>
              <w:jc w:val="center"/>
              <w:ind w:left="3270"/>
              <w:spacing w:after="0"/>
              <w:rPr>
                <w:sz w:val="20"/>
                <w:szCs w:val="20"/>
                <w:color w:val="auto"/>
              </w:rPr>
            </w:pPr>
            <w:r>
              <w:rPr>
                <w:rFonts w:ascii="Arial" w:cs="Arial" w:eastAsia="Arial" w:hAnsi="Arial"/>
                <w:sz w:val="18"/>
                <w:szCs w:val="18"/>
                <w:color w:val="auto"/>
                <w:w w:val="79"/>
              </w:rPr>
              <w:t>3</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20" w:type="dxa"/>
            <w:vAlign w:val="bottom"/>
          </w:tcPr>
          <w:p>
            <w:pPr>
              <w:jc w:val="center"/>
              <w:ind w:left="3470"/>
              <w:spacing w:after="0"/>
              <w:rPr>
                <w:sz w:val="20"/>
                <w:szCs w:val="20"/>
                <w:color w:val="auto"/>
              </w:rPr>
            </w:pPr>
            <w:r>
              <w:rPr>
                <w:rFonts w:ascii="Arial" w:cs="Arial" w:eastAsia="Arial" w:hAnsi="Arial"/>
                <w:sz w:val="18"/>
                <w:szCs w:val="18"/>
                <w:b w:val="1"/>
                <w:bCs w:val="1"/>
                <w:color w:val="auto"/>
                <w:w w:val="92"/>
              </w:rPr>
              <w:t>Capitala Finance Corp.</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20" w:type="dxa"/>
            <w:vAlign w:val="bottom"/>
          </w:tcPr>
          <w:p>
            <w:pPr>
              <w:jc w:val="center"/>
              <w:ind w:left="347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jc w:val="center"/>
              <w:ind w:left="345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94"/>
              </w:rPr>
              <w:t>For the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Interest and fee income: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 and fee income</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payment-in-kind interest and dividend income</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Dividend income: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dividend income</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cash and cash equivalents</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investment income</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Base management fee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2,303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Expenses before incentive fee waiver</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Incentive fee waiver (See Note 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 net of fee waivers</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 AND WRITTEN CALL OPTION:</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realized gain (loss) from investments: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realized gain (loss) from investments</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Net unrealized depreciation from investments</w:t>
            </w: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written call option</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loss on investments and written call option</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net realized and unrealized loss on investments and written call option, net of taxes</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20" w:type="dxa"/>
            <w:vAlign w:val="bottom"/>
          </w:tcPr>
          <w:p>
            <w:pPr>
              <w:spacing w:after="0" w:line="201" w:lineRule="exact"/>
              <w:rPr>
                <w:sz w:val="20"/>
                <w:szCs w:val="20"/>
                <w:color w:val="auto"/>
              </w:rPr>
            </w:pPr>
            <w:r>
              <w:rPr>
                <w:rFonts w:ascii="Arial" w:cs="Arial" w:eastAsia="Arial" w:hAnsi="Arial"/>
                <w:sz w:val="18"/>
                <w:szCs w:val="18"/>
                <w:color w:val="auto"/>
              </w:rPr>
              <w:t>NET INCREASE IN NET ASSETS PER SHARE RESULTING FROM OPERATIONS – BASIC AND</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WEIGHTED AVERAGE COMMON STOCK OUTSTANDING - BASIC AND DILUTED</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15,959,215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15,873,655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DISTRIBUTIONS PAID PER SHARE</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626"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Net Unrealized</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 Net</w:t>
            </w:r>
          </w:p>
        </w:tc>
        <w:tc>
          <w:tcPr>
            <w:tcW w:w="1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Appreciation (Depreciation)</w:t>
            </w:r>
          </w:p>
        </w:tc>
        <w:tc>
          <w:tcPr>
            <w:tcW w:w="100" w:type="dxa"/>
            <w:vAlign w:val="bottom"/>
          </w:tcPr>
          <w:p>
            <w:pPr>
              <w:spacing w:after="0"/>
              <w:rPr>
                <w:sz w:val="12"/>
                <w:szCs w:val="12"/>
                <w:color w:val="auto"/>
              </w:rPr>
            </w:pPr>
          </w:p>
        </w:tc>
        <w:tc>
          <w:tcPr>
            <w:tcW w:w="1260" w:type="dxa"/>
            <w:vAlign w:val="bottom"/>
            <w:gridSpan w:val="2"/>
            <w:vMerge w:val="restart"/>
          </w:tcPr>
          <w:p>
            <w:pPr>
              <w:jc w:val="right"/>
              <w:ind w:right="239"/>
              <w:spacing w:after="0"/>
              <w:rPr>
                <w:sz w:val="20"/>
                <w:szCs w:val="20"/>
                <w:color w:val="auto"/>
              </w:rPr>
            </w:pPr>
            <w:r>
              <w:rPr>
                <w:rFonts w:ascii="Arial" w:cs="Arial" w:eastAsia="Arial" w:hAnsi="Arial"/>
                <w:sz w:val="14"/>
                <w:szCs w:val="14"/>
                <w:b w:val="1"/>
                <w:bCs w:val="1"/>
                <w:color w:val="auto"/>
                <w:w w:val="98"/>
              </w:rPr>
              <w:t>Net Unrealized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Additional Paid</w:t>
            </w:r>
          </w:p>
        </w:tc>
        <w:tc>
          <w:tcPr>
            <w:tcW w:w="60" w:type="dxa"/>
            <w:vAlign w:val="bottom"/>
          </w:tcPr>
          <w:p>
            <w:pPr>
              <w:spacing w:after="0"/>
              <w:rPr>
                <w:sz w:val="12"/>
                <w:szCs w:val="12"/>
                <w:color w:val="auto"/>
              </w:rPr>
            </w:pPr>
          </w:p>
        </w:tc>
        <w:tc>
          <w:tcPr>
            <w:tcW w:w="12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Undistributed Net</w:t>
            </w:r>
          </w:p>
        </w:tc>
        <w:tc>
          <w:tcPr>
            <w:tcW w:w="12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on Investments,</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w w:val="90"/>
              </w:rPr>
              <w:t>Realized Gains</w:t>
            </w:r>
          </w:p>
        </w:tc>
        <w:tc>
          <w:tcPr>
            <w:tcW w:w="20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net of Deferred</w:t>
            </w:r>
          </w:p>
        </w:tc>
        <w:tc>
          <w:tcPr>
            <w:tcW w:w="100" w:type="dxa"/>
            <w:vAlign w:val="bottom"/>
          </w:tcPr>
          <w:p>
            <w:pPr>
              <w:spacing w:after="0"/>
              <w:rPr>
                <w:sz w:val="14"/>
                <w:szCs w:val="14"/>
                <w:color w:val="auto"/>
              </w:rPr>
            </w:pPr>
          </w:p>
        </w:tc>
        <w:tc>
          <w:tcPr>
            <w:tcW w:w="126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w w:val="92"/>
              </w:rPr>
              <w:t>Depreciation on</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4"/>
              </w:rPr>
              <w:t>Number of Shares Par Value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in Capital</w:t>
            </w:r>
          </w:p>
        </w:tc>
        <w:tc>
          <w:tcPr>
            <w:tcW w:w="134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w w:val="94"/>
              </w:rPr>
              <w:t>Investment Income</w:t>
            </w:r>
          </w:p>
        </w:tc>
        <w:tc>
          <w:tcPr>
            <w:tcW w:w="80" w:type="dxa"/>
            <w:vAlign w:val="bottom"/>
          </w:tcPr>
          <w:p>
            <w:pPr>
              <w:spacing w:after="0"/>
              <w:rPr>
                <w:sz w:val="13"/>
                <w:szCs w:val="13"/>
                <w:color w:val="auto"/>
              </w:rPr>
            </w:pPr>
          </w:p>
        </w:tc>
        <w:tc>
          <w:tcPr>
            <w:tcW w:w="1120" w:type="dxa"/>
            <w:vAlign w:val="bottom"/>
            <w:gridSpan w:val="2"/>
          </w:tcPr>
          <w:p>
            <w:pPr>
              <w:jc w:val="right"/>
              <w:ind w:right="379"/>
              <w:spacing w:after="0" w:line="155" w:lineRule="exact"/>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3"/>
                <w:szCs w:val="13"/>
                <w:color w:val="auto"/>
              </w:rPr>
            </w:pPr>
          </w:p>
        </w:tc>
        <w:tc>
          <w:tcPr>
            <w:tcW w:w="164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85"/>
              </w:rPr>
              <w:t>Taxes</w:t>
            </w:r>
          </w:p>
        </w:tc>
        <w:tc>
          <w:tcPr>
            <w:tcW w:w="13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Written Call Option</w:t>
            </w:r>
          </w:p>
        </w:tc>
        <w:tc>
          <w:tcPr>
            <w:tcW w:w="140" w:type="dxa"/>
            <w:vAlign w:val="bottom"/>
          </w:tcPr>
          <w:p>
            <w:pPr>
              <w:spacing w:after="0"/>
              <w:rPr>
                <w:sz w:val="13"/>
                <w:szCs w:val="13"/>
                <w:color w:val="auto"/>
              </w:rPr>
            </w:pPr>
          </w:p>
        </w:tc>
        <w:tc>
          <w:tcPr>
            <w:tcW w:w="68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BALANCE, December 31, 2016</w:t>
            </w:r>
          </w:p>
        </w:tc>
        <w:tc>
          <w:tcPr>
            <w:tcW w:w="12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15,868,045</w:t>
            </w: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240,184</w:t>
            </w:r>
          </w:p>
        </w:tc>
        <w:tc>
          <w:tcPr>
            <w:tcW w:w="480" w:type="dxa"/>
            <w:vAlign w:val="bottom"/>
            <w:gridSpan w:val="2"/>
            <w:shd w:val="clear" w:color="auto" w:fill="CCEEFF"/>
          </w:tcPr>
          <w:p>
            <w:pPr>
              <w:jc w:val="right"/>
              <w:ind w:right="30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22,973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(37,881)</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27,863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(2,716)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250,582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160"/>
              <w:spacing w:after="0" w:line="149" w:lineRule="exact"/>
              <w:rPr>
                <w:sz w:val="20"/>
                <w:szCs w:val="20"/>
                <w:color w:val="auto"/>
              </w:rPr>
            </w:pPr>
            <w:r>
              <w:rPr>
                <w:rFonts w:ascii="Arial" w:cs="Arial" w:eastAsia="Arial" w:hAnsi="Arial"/>
                <w:sz w:val="14"/>
                <w:szCs w:val="14"/>
                <w:color w:val="auto"/>
              </w:rPr>
              <w:t>Net investment income</w:t>
            </w:r>
          </w:p>
        </w:tc>
        <w:tc>
          <w:tcPr>
            <w:tcW w:w="12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6,191</w:t>
            </w: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Net realized gain from</w:t>
            </w:r>
          </w:p>
        </w:tc>
        <w:tc>
          <w:tcPr>
            <w:tcW w:w="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4,846</w:t>
            </w:r>
          </w:p>
        </w:tc>
        <w:tc>
          <w:tcPr>
            <w:tcW w:w="2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4,846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ind w:left="160"/>
              <w:spacing w:after="0" w:line="130" w:lineRule="exact"/>
              <w:rPr>
                <w:sz w:val="20"/>
                <w:szCs w:val="20"/>
                <w:color w:val="auto"/>
              </w:rPr>
            </w:pPr>
            <w:r>
              <w:rPr>
                <w:rFonts w:ascii="Arial" w:cs="Arial" w:eastAsia="Arial" w:hAnsi="Arial"/>
                <w:sz w:val="14"/>
                <w:szCs w:val="14"/>
                <w:color w:val="auto"/>
              </w:rPr>
              <w:t>Net change in unrealized</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80"/>
              <w:spacing w:after="0" w:line="149" w:lineRule="exact"/>
              <w:rPr>
                <w:sz w:val="20"/>
                <w:szCs w:val="20"/>
                <w:color w:val="auto"/>
              </w:rPr>
            </w:pPr>
            <w:r>
              <w:rPr>
                <w:rFonts w:ascii="Arial" w:cs="Arial" w:eastAsia="Arial" w:hAnsi="Arial"/>
                <w:sz w:val="14"/>
                <w:szCs w:val="14"/>
                <w:color w:val="auto"/>
              </w:rPr>
              <w:t>depreciation on</w:t>
            </w: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tcPr>
          <w:p>
            <w:pPr>
              <w:ind w:left="280"/>
              <w:spacing w:after="0"/>
              <w:rPr>
                <w:sz w:val="20"/>
                <w:szCs w:val="20"/>
                <w:color w:val="auto"/>
              </w:rPr>
            </w:pPr>
            <w:r>
              <w:rPr>
                <w:rFonts w:ascii="Arial" w:cs="Arial" w:eastAsia="Arial" w:hAnsi="Arial"/>
                <w:sz w:val="14"/>
                <w:szCs w:val="14"/>
                <w:color w:val="auto"/>
              </w:rPr>
              <w:t>investments</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4"/>
                <w:szCs w:val="14"/>
                <w:color w:val="auto"/>
              </w:rPr>
              <w:t>(4,671)</w:t>
            </w:r>
          </w:p>
        </w:tc>
        <w:tc>
          <w:tcPr>
            <w:tcW w:w="100" w:type="dxa"/>
            <w:vAlign w:val="bottom"/>
          </w:tcPr>
          <w:p>
            <w:pPr>
              <w:spacing w:after="0"/>
              <w:rPr>
                <w:sz w:val="14"/>
                <w:szCs w:val="14"/>
                <w:color w:val="auto"/>
              </w:rPr>
            </w:pPr>
          </w:p>
        </w:tc>
        <w:tc>
          <w:tcPr>
            <w:tcW w:w="12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(4,671)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Net change in unrealized</w:t>
            </w:r>
          </w:p>
        </w:tc>
        <w:tc>
          <w:tcPr>
            <w:tcW w:w="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6"/>
              </w:rPr>
              <w:t>depreciation on written call</w:t>
            </w:r>
          </w:p>
        </w:tc>
        <w:tc>
          <w:tcPr>
            <w:tcW w:w="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option</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(1,485)</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160"/>
              <w:spacing w:after="0" w:line="149" w:lineRule="exact"/>
              <w:rPr>
                <w:sz w:val="20"/>
                <w:szCs w:val="20"/>
                <w:color w:val="auto"/>
              </w:rPr>
            </w:pPr>
            <w:r>
              <w:rPr>
                <w:rFonts w:ascii="Arial" w:cs="Arial" w:eastAsia="Arial" w:hAnsi="Arial"/>
                <w:sz w:val="14"/>
                <w:szCs w:val="14"/>
                <w:color w:val="auto"/>
                <w:w w:val="93"/>
              </w:rPr>
              <w:t>Distributions to Shareholders:</w:t>
            </w: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Stock issued under</w:t>
            </w:r>
          </w:p>
        </w:tc>
        <w:tc>
          <w:tcPr>
            <w:tcW w:w="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dividend reinvestment</w:t>
            </w:r>
          </w:p>
        </w:tc>
        <w:tc>
          <w:tcPr>
            <w:tcW w:w="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plan</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15,447</w:t>
            </w:r>
          </w:p>
        </w:tc>
        <w:tc>
          <w:tcPr>
            <w:tcW w:w="3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207</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tcPr>
          <w:p>
            <w:pPr>
              <w:ind w:left="320"/>
              <w:spacing w:after="0"/>
              <w:rPr>
                <w:sz w:val="20"/>
                <w:szCs w:val="20"/>
                <w:color w:val="auto"/>
              </w:rPr>
            </w:pPr>
            <w:r>
              <w:rPr>
                <w:rFonts w:ascii="Arial" w:cs="Arial" w:eastAsia="Arial" w:hAnsi="Arial"/>
                <w:sz w:val="14"/>
                <w:szCs w:val="14"/>
                <w:color w:val="auto"/>
              </w:rPr>
              <w:t>Distributions declared</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(6,191)</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(6,191)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March 31, 2017</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15,883,492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240,391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30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22,973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(33,035</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23,192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(4,201</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249,479</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BALANCE, December 31, 2017</w:t>
            </w:r>
          </w:p>
        </w:tc>
        <w:tc>
          <w:tcPr>
            <w:tcW w:w="12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15,951,231</w:t>
            </w: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241,027</w:t>
            </w:r>
          </w:p>
        </w:tc>
        <w:tc>
          <w:tcPr>
            <w:tcW w:w="480" w:type="dxa"/>
            <w:vAlign w:val="bottom"/>
            <w:gridSpan w:val="2"/>
            <w:shd w:val="clear" w:color="auto" w:fill="CCEEFF"/>
          </w:tcPr>
          <w:p>
            <w:pPr>
              <w:jc w:val="right"/>
              <w:ind w:right="30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15,854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(61,982)</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33,623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(6,795)</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221,887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160"/>
              <w:spacing w:after="0" w:line="149" w:lineRule="exact"/>
              <w:rPr>
                <w:sz w:val="20"/>
                <w:szCs w:val="20"/>
                <w:color w:val="auto"/>
              </w:rPr>
            </w:pPr>
            <w:r>
              <w:rPr>
                <w:rFonts w:ascii="Arial" w:cs="Arial" w:eastAsia="Arial" w:hAnsi="Arial"/>
                <w:sz w:val="14"/>
                <w:szCs w:val="14"/>
                <w:color w:val="auto"/>
              </w:rPr>
              <w:t>Net investment income</w:t>
            </w:r>
          </w:p>
        </w:tc>
        <w:tc>
          <w:tcPr>
            <w:tcW w:w="12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4,438</w:t>
            </w: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Net realized loss from</w:t>
            </w:r>
          </w:p>
        </w:tc>
        <w:tc>
          <w:tcPr>
            <w:tcW w:w="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(3,855)</w:t>
            </w:r>
          </w:p>
        </w:tc>
        <w:tc>
          <w:tcPr>
            <w:tcW w:w="2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ind w:left="160"/>
              <w:spacing w:after="0" w:line="130" w:lineRule="exact"/>
              <w:rPr>
                <w:sz w:val="20"/>
                <w:szCs w:val="20"/>
                <w:color w:val="auto"/>
              </w:rPr>
            </w:pPr>
            <w:r>
              <w:rPr>
                <w:rFonts w:ascii="Arial" w:cs="Arial" w:eastAsia="Arial" w:hAnsi="Arial"/>
                <w:sz w:val="14"/>
                <w:szCs w:val="14"/>
                <w:color w:val="auto"/>
              </w:rPr>
              <w:t>Net change in unrealized</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80"/>
              <w:spacing w:after="0" w:line="149" w:lineRule="exact"/>
              <w:rPr>
                <w:sz w:val="20"/>
                <w:szCs w:val="20"/>
                <w:color w:val="auto"/>
              </w:rPr>
            </w:pPr>
            <w:r>
              <w:rPr>
                <w:rFonts w:ascii="Arial" w:cs="Arial" w:eastAsia="Arial" w:hAnsi="Arial"/>
                <w:sz w:val="14"/>
                <w:szCs w:val="14"/>
                <w:color w:val="auto"/>
              </w:rPr>
              <w:t>depreciation on</w:t>
            </w: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tcPr>
          <w:p>
            <w:pPr>
              <w:ind w:left="280"/>
              <w:spacing w:after="0"/>
              <w:rPr>
                <w:sz w:val="20"/>
                <w:szCs w:val="20"/>
                <w:color w:val="auto"/>
              </w:rPr>
            </w:pPr>
            <w:r>
              <w:rPr>
                <w:rFonts w:ascii="Arial" w:cs="Arial" w:eastAsia="Arial" w:hAnsi="Arial"/>
                <w:sz w:val="14"/>
                <w:szCs w:val="14"/>
                <w:color w:val="auto"/>
              </w:rPr>
              <w:t>investments</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4"/>
                <w:szCs w:val="14"/>
                <w:color w:val="auto"/>
              </w:rPr>
            </w:pPr>
          </w:p>
        </w:tc>
        <w:tc>
          <w:tcPr>
            <w:tcW w:w="12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Tax provision</w:t>
            </w:r>
          </w:p>
        </w:tc>
        <w:tc>
          <w:tcPr>
            <w:tcW w:w="12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160"/>
              <w:spacing w:after="0" w:line="149" w:lineRule="exact"/>
              <w:rPr>
                <w:sz w:val="20"/>
                <w:szCs w:val="20"/>
                <w:color w:val="auto"/>
              </w:rPr>
            </w:pPr>
            <w:r>
              <w:rPr>
                <w:rFonts w:ascii="Arial" w:cs="Arial" w:eastAsia="Arial" w:hAnsi="Arial"/>
                <w:sz w:val="14"/>
                <w:szCs w:val="14"/>
                <w:color w:val="auto"/>
                <w:w w:val="93"/>
              </w:rPr>
              <w:t>Distributions to Shareholders:</w:t>
            </w: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Stock issued under</w:t>
            </w:r>
          </w:p>
        </w:tc>
        <w:tc>
          <w:tcPr>
            <w:tcW w:w="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dividend reinvestment</w:t>
            </w:r>
          </w:p>
        </w:tc>
        <w:tc>
          <w:tcPr>
            <w:tcW w:w="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plan</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22,987</w:t>
            </w:r>
          </w:p>
        </w:tc>
        <w:tc>
          <w:tcPr>
            <w:tcW w:w="3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164</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tcPr>
          <w:p>
            <w:pPr>
              <w:ind w:left="320"/>
              <w:spacing w:after="0"/>
              <w:rPr>
                <w:sz w:val="20"/>
                <w:szCs w:val="20"/>
                <w:color w:val="auto"/>
              </w:rPr>
            </w:pPr>
            <w:r>
              <w:rPr>
                <w:rFonts w:ascii="Arial" w:cs="Arial" w:eastAsia="Arial" w:hAnsi="Arial"/>
                <w:sz w:val="14"/>
                <w:szCs w:val="14"/>
                <w:color w:val="auto"/>
              </w:rPr>
              <w:t>Distributions declared</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(3,988)</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(3,988)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March 31, 2018</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15,974,218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241,191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30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16,304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(65,837</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33,181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(6,795</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218,204</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40" w:type="dxa"/>
            <w:vAlign w:val="bottom"/>
          </w:tcPr>
          <w:p>
            <w:pPr>
              <w:jc w:val="center"/>
              <w:ind w:left="3370"/>
              <w:spacing w:after="0"/>
              <w:rPr>
                <w:sz w:val="20"/>
                <w:szCs w:val="20"/>
                <w:color w:val="auto"/>
              </w:rPr>
            </w:pPr>
            <w:r>
              <w:rPr>
                <w:rFonts w:ascii="Arial" w:cs="Arial" w:eastAsia="Arial" w:hAnsi="Arial"/>
                <w:sz w:val="18"/>
                <w:szCs w:val="18"/>
                <w:b w:val="1"/>
                <w:bCs w:val="1"/>
                <w:color w:val="auto"/>
                <w:w w:val="92"/>
              </w:rPr>
              <w:t>Capitala Finance Corp.</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40" w:type="dxa"/>
            <w:vAlign w:val="bottom"/>
          </w:tcPr>
          <w:p>
            <w:pPr>
              <w:jc w:val="center"/>
              <w:ind w:left="33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jc w:val="center"/>
              <w:ind w:left="335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Pr>
          <w:p>
            <w:pPr>
              <w:jc w:val="center"/>
              <w:ind w:left="335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94"/>
              </w:rPr>
              <w:t>For the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11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Adjustments to reconcile net increase in net assets resulting from operations to net cash provided by (used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operating activities:</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Purchase of investments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9"/>
              </w:rPr>
              <w:t>(27,800)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and sales of investments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21,400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Net realized (gain) loss on investments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Payment-in-kind interest and dividends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original issue discount on investments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Net unrealized depreciation on written call option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financing fees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Interest and dividend receivable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Due from related parties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Trade settlement receivable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Due to related parties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Management and incentive fees payable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and financing fees payable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Trade settlement payable</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Credit Facility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Payments to Credit Facility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9"/>
              </w:rPr>
              <w:t>(13,000)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paid to shareholders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31,221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36,281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25,720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40,564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1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5,196</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w w:val="99"/>
              </w:rPr>
              <w:t>SUPPLEMENTAL DISCLOSURE OF NON-CASH INVESTING AND FINANCING TRANSACTIONS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Distributions paid through dividend reinvestment plan share issuances</w:t>
            </w:r>
          </w:p>
        </w:tc>
        <w:tc>
          <w:tcPr>
            <w:tcW w:w="11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 xml:space="preserve">Portfolio Company, Country </w:t>
            </w:r>
            <w:r>
              <w:rPr>
                <w:rFonts w:ascii="Arial" w:cs="Arial" w:eastAsia="Arial" w:hAnsi="Arial"/>
                <w:sz w:val="23"/>
                <w:szCs w:val="23"/>
                <w:b w:val="1"/>
                <w:bCs w:val="1"/>
                <w:color w:val="auto"/>
                <w:w w:val="89"/>
                <w:vertAlign w:val="superscript"/>
              </w:rPr>
              <w:t>(1)</w:t>
            </w:r>
            <w:r>
              <w:rPr>
                <w:rFonts w:ascii="Arial" w:cs="Arial" w:eastAsia="Arial" w:hAnsi="Arial"/>
                <w:sz w:val="23"/>
                <w:szCs w:val="23"/>
                <w:b w:val="1"/>
                <w:bCs w:val="1"/>
                <w:u w:val="single" w:color="auto"/>
                <w:color w:val="auto"/>
                <w:w w:val="89"/>
                <w:vertAlign w:val="superscript"/>
              </w:rPr>
              <w:t>,</w:t>
            </w:r>
            <w:r>
              <w:rPr>
                <w:rFonts w:ascii="Arial" w:cs="Arial" w:eastAsia="Arial" w:hAnsi="Arial"/>
                <w:sz w:val="14"/>
                <w:szCs w:val="14"/>
                <w:b w:val="1"/>
                <w:bCs w:val="1"/>
                <w:color w:val="auto"/>
                <w:w w:val="89"/>
              </w:rPr>
              <w:t xml:space="preserve"> </w:t>
            </w:r>
            <w:r>
              <w:rPr>
                <w:rFonts w:ascii="Arial" w:cs="Arial" w:eastAsia="Arial" w:hAnsi="Arial"/>
                <w:sz w:val="23"/>
                <w:szCs w:val="23"/>
                <w:b w:val="1"/>
                <w:bCs w:val="1"/>
                <w:color w:val="auto"/>
                <w:w w:val="89"/>
                <w:vertAlign w:val="superscript"/>
              </w:rPr>
              <w:t>(2), (3), (4)</w:t>
            </w:r>
          </w:p>
        </w:tc>
        <w:tc>
          <w:tcPr>
            <w:tcW w:w="18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Industry</w:t>
            </w:r>
          </w:p>
        </w:tc>
        <w:tc>
          <w:tcPr>
            <w:tcW w:w="18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Type of Investment</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Cost</w:t>
            </w: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130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8"/>
              </w:rPr>
              <w:t>Non-control/non-affiliated investments -</w:t>
            </w:r>
          </w:p>
        </w:tc>
        <w:tc>
          <w:tcPr>
            <w:tcW w:w="1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124.2%</w:t>
            </w: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8"/>
              </w:rPr>
              <w:t>Non-control/non-affiliated investments -</w:t>
            </w:r>
          </w:p>
        </w:tc>
        <w:tc>
          <w:tcPr>
            <w:tcW w:w="1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United States</w:t>
            </w: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20"/>
                <w:szCs w:val="20"/>
                <w:color w:val="auto"/>
              </w:rPr>
            </w:pPr>
            <w:r>
              <w:rPr>
                <w:rFonts w:ascii="Arial" w:cs="Arial" w:eastAsia="Arial" w:hAnsi="Arial"/>
                <w:sz w:val="14"/>
                <w:szCs w:val="14"/>
                <w:color w:val="auto"/>
              </w:rPr>
              <w:t>3 Bridge Solutions, LLC</w:t>
            </w:r>
          </w:p>
        </w:tc>
        <w:tc>
          <w:tcPr>
            <w:tcW w:w="1920" w:type="dxa"/>
            <w:vAlign w:val="bottom"/>
          </w:tcPr>
          <w:p>
            <w:pPr>
              <w:ind w:left="180"/>
              <w:spacing w:after="0"/>
              <w:rPr>
                <w:sz w:val="20"/>
                <w:szCs w:val="20"/>
                <w:color w:val="auto"/>
              </w:rPr>
            </w:pPr>
            <w:r>
              <w:rPr>
                <w:rFonts w:ascii="Arial" w:cs="Arial" w:eastAsia="Arial" w:hAnsi="Arial"/>
                <w:sz w:val="14"/>
                <w:szCs w:val="14"/>
                <w:color w:val="auto"/>
              </w:rPr>
              <w:t>IT Consulting</w:t>
            </w:r>
          </w:p>
        </w:tc>
        <w:tc>
          <w:tcPr>
            <w:tcW w:w="1860" w:type="dxa"/>
            <w:vAlign w:val="bottom"/>
          </w:tcPr>
          <w:p>
            <w:pPr>
              <w:ind w:left="60"/>
              <w:spacing w:after="0"/>
              <w:rPr>
                <w:sz w:val="20"/>
                <w:szCs w:val="20"/>
                <w:color w:val="auto"/>
              </w:rPr>
            </w:pPr>
            <w:r>
              <w:rPr>
                <w:rFonts w:ascii="Arial" w:cs="Arial" w:eastAsia="Arial" w:hAnsi="Arial"/>
                <w:sz w:val="14"/>
                <w:szCs w:val="14"/>
                <w:color w:val="auto"/>
                <w:w w:val="96"/>
              </w:rPr>
              <w:t>First Lien Debt (10.67% Cash</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2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ind w:left="60"/>
              <w:spacing w:after="0" w:line="149" w:lineRule="exact"/>
              <w:rPr>
                <w:sz w:val="20"/>
                <w:szCs w:val="20"/>
                <w:color w:val="auto"/>
              </w:rPr>
            </w:pPr>
            <w:r>
              <w:rPr>
                <w:rFonts w:ascii="Arial" w:cs="Arial" w:eastAsia="Arial" w:hAnsi="Arial"/>
                <w:sz w:val="14"/>
                <w:szCs w:val="14"/>
                <w:color w:val="auto"/>
              </w:rPr>
              <w:t>(1 month LIBOR + 9.0%, 1%</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82"/>
        </w:trPr>
        <w:tc>
          <w:tcPr>
            <w:tcW w:w="2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Floor), Due 12/4/22)</w:t>
            </w:r>
          </w:p>
        </w:tc>
        <w:tc>
          <w:tcPr>
            <w:tcW w:w="4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11,180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3"/>
        </w:trPr>
        <w:tc>
          <w:tcPr>
            <w:tcW w:w="2460" w:type="dxa"/>
            <w:vAlign w:val="bottom"/>
          </w:tcPr>
          <w:p>
            <w:pPr>
              <w:spacing w:after="0"/>
              <w:rPr>
                <w:sz w:val="20"/>
                <w:szCs w:val="20"/>
                <w:color w:val="auto"/>
              </w:rPr>
            </w:pPr>
            <w:r>
              <w:rPr>
                <w:rFonts w:ascii="Arial" w:cs="Arial" w:eastAsia="Arial" w:hAnsi="Arial"/>
                <w:sz w:val="14"/>
                <w:szCs w:val="14"/>
                <w:color w:val="auto"/>
              </w:rPr>
              <w:t>3 Bridge Solutions, LLC</w:t>
            </w:r>
          </w:p>
        </w:tc>
        <w:tc>
          <w:tcPr>
            <w:tcW w:w="1920" w:type="dxa"/>
            <w:vAlign w:val="bottom"/>
          </w:tcPr>
          <w:p>
            <w:pPr>
              <w:ind w:left="180"/>
              <w:spacing w:after="0"/>
              <w:rPr>
                <w:sz w:val="20"/>
                <w:szCs w:val="20"/>
                <w:color w:val="auto"/>
              </w:rPr>
            </w:pPr>
            <w:r>
              <w:rPr>
                <w:rFonts w:ascii="Arial" w:cs="Arial" w:eastAsia="Arial" w:hAnsi="Arial"/>
                <w:sz w:val="14"/>
                <w:szCs w:val="14"/>
                <w:color w:val="auto"/>
              </w:rPr>
              <w:t>IT Consulting</w:t>
            </w:r>
          </w:p>
        </w:tc>
        <w:tc>
          <w:tcPr>
            <w:tcW w:w="1860" w:type="dxa"/>
            <w:vAlign w:val="bottom"/>
          </w:tcPr>
          <w:p>
            <w:pPr>
              <w:ind w:left="60"/>
              <w:spacing w:after="0"/>
              <w:rPr>
                <w:sz w:val="20"/>
                <w:szCs w:val="20"/>
                <w:color w:val="auto"/>
              </w:rPr>
            </w:pPr>
            <w:r>
              <w:rPr>
                <w:rFonts w:ascii="Arial" w:cs="Arial" w:eastAsia="Arial" w:hAnsi="Arial"/>
                <w:sz w:val="14"/>
                <w:szCs w:val="14"/>
                <w:color w:val="auto"/>
              </w:rPr>
              <w:t>Preferred Units (965,250</w:t>
            </w: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313"/>
        </w:trPr>
        <w:tc>
          <w:tcPr>
            <w:tcW w:w="2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 xml:space="preserve">units, 8% PIK) </w:t>
            </w:r>
            <w:r>
              <w:rPr>
                <w:rFonts w:ascii="Arial" w:cs="Arial" w:eastAsia="Arial" w:hAnsi="Arial"/>
                <w:sz w:val="23"/>
                <w:szCs w:val="23"/>
                <w:color w:val="auto"/>
                <w:vertAlign w:val="superscript"/>
              </w:rPr>
              <w:t>(5)</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3"/>
        </w:trPr>
        <w:tc>
          <w:tcPr>
            <w:tcW w:w="2460" w:type="dxa"/>
            <w:vAlign w:val="bottom"/>
          </w:tcPr>
          <w:p>
            <w:pPr>
              <w:spacing w:after="0"/>
              <w:rPr>
                <w:sz w:val="20"/>
                <w:szCs w:val="20"/>
                <w:color w:val="auto"/>
              </w:rPr>
            </w:pPr>
            <w:r>
              <w:rPr>
                <w:rFonts w:ascii="Arial" w:cs="Arial" w:eastAsia="Arial" w:hAnsi="Arial"/>
                <w:sz w:val="14"/>
                <w:szCs w:val="14"/>
                <w:color w:val="auto"/>
              </w:rPr>
              <w:t>3 Bridge Solutions, LLC</w:t>
            </w:r>
          </w:p>
        </w:tc>
        <w:tc>
          <w:tcPr>
            <w:tcW w:w="1920" w:type="dxa"/>
            <w:vAlign w:val="bottom"/>
          </w:tcPr>
          <w:p>
            <w:pPr>
              <w:ind w:left="180"/>
              <w:spacing w:after="0"/>
              <w:rPr>
                <w:sz w:val="20"/>
                <w:szCs w:val="20"/>
                <w:color w:val="auto"/>
              </w:rPr>
            </w:pPr>
            <w:r>
              <w:rPr>
                <w:rFonts w:ascii="Arial" w:cs="Arial" w:eastAsia="Arial" w:hAnsi="Arial"/>
                <w:sz w:val="14"/>
                <w:szCs w:val="14"/>
                <w:color w:val="auto"/>
              </w:rPr>
              <w:t>IT Consulting</w:t>
            </w:r>
          </w:p>
        </w:tc>
        <w:tc>
          <w:tcPr>
            <w:tcW w:w="1860" w:type="dxa"/>
            <w:vAlign w:val="bottom"/>
          </w:tcPr>
          <w:p>
            <w:pPr>
              <w:ind w:left="60"/>
              <w:spacing w:after="0"/>
              <w:rPr>
                <w:sz w:val="20"/>
                <w:szCs w:val="20"/>
                <w:color w:val="auto"/>
              </w:rPr>
            </w:pPr>
            <w:r>
              <w:rPr>
                <w:rFonts w:ascii="Arial" w:cs="Arial" w:eastAsia="Arial" w:hAnsi="Arial"/>
                <w:sz w:val="14"/>
                <w:szCs w:val="14"/>
                <w:color w:val="auto"/>
              </w:rPr>
              <w:t>Membership Units (39,000</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2"/>
        </w:trPr>
        <w:tc>
          <w:tcPr>
            <w:tcW w:w="2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units)</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624"/>
        </w:trPr>
        <w:tc>
          <w:tcPr>
            <w:tcW w:w="2460" w:type="dxa"/>
            <w:vAlign w:val="bottom"/>
          </w:tcPr>
          <w:p>
            <w:pPr>
              <w:spacing w:after="0"/>
              <w:rPr>
                <w:sz w:val="20"/>
                <w:szCs w:val="20"/>
                <w:color w:val="auto"/>
              </w:rPr>
            </w:pPr>
            <w:r>
              <w:rPr>
                <w:rFonts w:ascii="Arial" w:cs="Arial" w:eastAsia="Arial" w:hAnsi="Arial"/>
                <w:sz w:val="14"/>
                <w:szCs w:val="14"/>
                <w:color w:val="auto"/>
              </w:rPr>
              <w:t>Alternative Biomedical Solutions, LLC</w:t>
            </w:r>
          </w:p>
        </w:tc>
        <w:tc>
          <w:tcPr>
            <w:tcW w:w="1920" w:type="dxa"/>
            <w:vAlign w:val="bottom"/>
          </w:tcPr>
          <w:p>
            <w:pPr>
              <w:ind w:left="180"/>
              <w:spacing w:after="0"/>
              <w:rPr>
                <w:sz w:val="20"/>
                <w:szCs w:val="20"/>
                <w:color w:val="auto"/>
              </w:rPr>
            </w:pPr>
            <w:r>
              <w:rPr>
                <w:rFonts w:ascii="Arial" w:cs="Arial" w:eastAsia="Arial" w:hAnsi="Arial"/>
                <w:sz w:val="14"/>
                <w:szCs w:val="14"/>
                <w:color w:val="auto"/>
              </w:rPr>
              <w:t>Healthcare</w:t>
            </w:r>
          </w:p>
        </w:tc>
        <w:tc>
          <w:tcPr>
            <w:tcW w:w="1860" w:type="dxa"/>
            <w:vAlign w:val="bottom"/>
          </w:tcPr>
          <w:p>
            <w:pPr>
              <w:ind w:left="60"/>
              <w:spacing w:after="0"/>
              <w:rPr>
                <w:sz w:val="20"/>
                <w:szCs w:val="20"/>
                <w:color w:val="auto"/>
              </w:rPr>
            </w:pPr>
            <w:r>
              <w:rPr>
                <w:rFonts w:ascii="Arial" w:cs="Arial" w:eastAsia="Arial" w:hAnsi="Arial"/>
                <w:sz w:val="14"/>
                <w:szCs w:val="14"/>
                <w:color w:val="auto"/>
              </w:rPr>
              <w:t>First Lien Debt (11.91%</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3"/>
        </w:trPr>
        <w:tc>
          <w:tcPr>
            <w:tcW w:w="2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 xml:space="preserve">Cash, Due 12/18/22) </w:t>
            </w:r>
            <w:r>
              <w:rPr>
                <w:rFonts w:ascii="Arial" w:cs="Arial" w:eastAsia="Arial" w:hAnsi="Arial"/>
                <w:sz w:val="23"/>
                <w:szCs w:val="23"/>
                <w:color w:val="auto"/>
                <w:vertAlign w:val="superscript"/>
              </w:rPr>
              <w:t>(6)</w:t>
            </w:r>
          </w:p>
        </w:tc>
        <w:tc>
          <w:tcPr>
            <w:tcW w:w="44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13,000</w:t>
            </w:r>
          </w:p>
        </w:tc>
        <w:tc>
          <w:tcPr>
            <w:tcW w:w="180" w:type="dxa"/>
            <w:vAlign w:val="bottom"/>
          </w:tcPr>
          <w:p>
            <w:pPr>
              <w:spacing w:after="0"/>
              <w:rPr>
                <w:sz w:val="24"/>
                <w:szCs w:val="24"/>
                <w:color w:val="auto"/>
              </w:rPr>
            </w:pPr>
          </w:p>
        </w:tc>
      </w:tr>
      <w:tr>
        <w:trPr>
          <w:trHeight w:val="163"/>
        </w:trPr>
        <w:tc>
          <w:tcPr>
            <w:tcW w:w="2460" w:type="dxa"/>
            <w:vAlign w:val="bottom"/>
          </w:tcPr>
          <w:p>
            <w:pPr>
              <w:spacing w:after="0"/>
              <w:rPr>
                <w:sz w:val="20"/>
                <w:szCs w:val="20"/>
                <w:color w:val="auto"/>
              </w:rPr>
            </w:pPr>
            <w:r>
              <w:rPr>
                <w:rFonts w:ascii="Arial" w:cs="Arial" w:eastAsia="Arial" w:hAnsi="Arial"/>
                <w:sz w:val="14"/>
                <w:szCs w:val="14"/>
                <w:color w:val="auto"/>
              </w:rPr>
              <w:t>Alternative Biomedical Solutions, LLC</w:t>
            </w:r>
          </w:p>
        </w:tc>
        <w:tc>
          <w:tcPr>
            <w:tcW w:w="1920" w:type="dxa"/>
            <w:vAlign w:val="bottom"/>
          </w:tcPr>
          <w:p>
            <w:pPr>
              <w:ind w:left="180"/>
              <w:spacing w:after="0"/>
              <w:rPr>
                <w:sz w:val="20"/>
                <w:szCs w:val="20"/>
                <w:color w:val="auto"/>
              </w:rPr>
            </w:pPr>
            <w:r>
              <w:rPr>
                <w:rFonts w:ascii="Arial" w:cs="Arial" w:eastAsia="Arial" w:hAnsi="Arial"/>
                <w:sz w:val="14"/>
                <w:szCs w:val="14"/>
                <w:color w:val="auto"/>
              </w:rPr>
              <w:t>Healthcare</w:t>
            </w:r>
          </w:p>
        </w:tc>
        <w:tc>
          <w:tcPr>
            <w:tcW w:w="1860" w:type="dxa"/>
            <w:vAlign w:val="bottom"/>
          </w:tcPr>
          <w:p>
            <w:pPr>
              <w:ind w:left="60"/>
              <w:spacing w:after="0"/>
              <w:rPr>
                <w:sz w:val="20"/>
                <w:szCs w:val="20"/>
                <w:color w:val="auto"/>
              </w:rPr>
            </w:pPr>
            <w:r>
              <w:rPr>
                <w:rFonts w:ascii="Arial" w:cs="Arial" w:eastAsia="Arial" w:hAnsi="Arial"/>
                <w:sz w:val="14"/>
                <w:szCs w:val="14"/>
                <w:color w:val="auto"/>
              </w:rPr>
              <w:t>Membership Units (20,092</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2"/>
        </w:trPr>
        <w:tc>
          <w:tcPr>
            <w:tcW w:w="2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units)</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615"/>
        </w:trPr>
        <w:tc>
          <w:tcPr>
            <w:tcW w:w="2460" w:type="dxa"/>
            <w:vAlign w:val="bottom"/>
          </w:tcPr>
          <w:p>
            <w:pPr>
              <w:spacing w:after="0"/>
              <w:rPr>
                <w:sz w:val="20"/>
                <w:szCs w:val="20"/>
                <w:color w:val="auto"/>
              </w:rPr>
            </w:pPr>
            <w:r>
              <w:rPr>
                <w:rFonts w:ascii="Arial" w:cs="Arial" w:eastAsia="Arial" w:hAnsi="Arial"/>
                <w:sz w:val="14"/>
                <w:szCs w:val="14"/>
                <w:color w:val="auto"/>
              </w:rPr>
              <w:t>American Clinical Solutions, LLC</w:t>
            </w:r>
          </w:p>
        </w:tc>
        <w:tc>
          <w:tcPr>
            <w:tcW w:w="1920" w:type="dxa"/>
            <w:vAlign w:val="bottom"/>
          </w:tcPr>
          <w:p>
            <w:pPr>
              <w:ind w:left="180"/>
              <w:spacing w:after="0"/>
              <w:rPr>
                <w:sz w:val="20"/>
                <w:szCs w:val="20"/>
                <w:color w:val="auto"/>
              </w:rPr>
            </w:pPr>
            <w:r>
              <w:rPr>
                <w:rFonts w:ascii="Arial" w:cs="Arial" w:eastAsia="Arial" w:hAnsi="Arial"/>
                <w:sz w:val="14"/>
                <w:szCs w:val="14"/>
                <w:color w:val="auto"/>
              </w:rPr>
              <w:t>Healthcare</w:t>
            </w:r>
          </w:p>
        </w:tc>
        <w:tc>
          <w:tcPr>
            <w:tcW w:w="1860" w:type="dxa"/>
            <w:vAlign w:val="bottom"/>
          </w:tcPr>
          <w:p>
            <w:pPr>
              <w:ind w:left="60"/>
              <w:spacing w:after="0"/>
              <w:rPr>
                <w:sz w:val="20"/>
                <w:szCs w:val="20"/>
                <w:color w:val="auto"/>
              </w:rPr>
            </w:pPr>
            <w:r>
              <w:rPr>
                <w:rFonts w:ascii="Arial" w:cs="Arial" w:eastAsia="Arial" w:hAnsi="Arial"/>
                <w:sz w:val="14"/>
                <w:szCs w:val="14"/>
                <w:color w:val="auto"/>
                <w:w w:val="99"/>
              </w:rPr>
              <w:t>First Lien Debt (10.5% Cash,</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2"/>
        </w:trPr>
        <w:tc>
          <w:tcPr>
            <w:tcW w:w="2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1% PIK, Due 6/11/20)</w:t>
            </w:r>
          </w:p>
        </w:tc>
        <w:tc>
          <w:tcPr>
            <w:tcW w:w="44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9,091</w:t>
            </w:r>
          </w:p>
        </w:tc>
        <w:tc>
          <w:tcPr>
            <w:tcW w:w="180" w:type="dxa"/>
            <w:vAlign w:val="bottom"/>
          </w:tcPr>
          <w:p>
            <w:pPr>
              <w:spacing w:after="0"/>
              <w:rPr>
                <w:sz w:val="15"/>
                <w:szCs w:val="15"/>
                <w:color w:val="auto"/>
              </w:rPr>
            </w:pPr>
          </w:p>
        </w:tc>
      </w:tr>
      <w:tr>
        <w:trPr>
          <w:trHeight w:val="615"/>
        </w:trPr>
        <w:tc>
          <w:tcPr>
            <w:tcW w:w="2460" w:type="dxa"/>
            <w:vAlign w:val="bottom"/>
          </w:tcPr>
          <w:p>
            <w:pPr>
              <w:spacing w:after="0"/>
              <w:rPr>
                <w:sz w:val="20"/>
                <w:szCs w:val="20"/>
                <w:color w:val="auto"/>
              </w:rPr>
            </w:pPr>
            <w:r>
              <w:rPr>
                <w:rFonts w:ascii="Arial" w:cs="Arial" w:eastAsia="Arial" w:hAnsi="Arial"/>
                <w:sz w:val="14"/>
                <w:szCs w:val="14"/>
                <w:color w:val="auto"/>
              </w:rPr>
              <w:t>AmeriMark Direct, LLC</w:t>
            </w:r>
          </w:p>
        </w:tc>
        <w:tc>
          <w:tcPr>
            <w:tcW w:w="1920" w:type="dxa"/>
            <w:vAlign w:val="bottom"/>
          </w:tcPr>
          <w:p>
            <w:pPr>
              <w:ind w:left="180"/>
              <w:spacing w:after="0"/>
              <w:rPr>
                <w:sz w:val="20"/>
                <w:szCs w:val="20"/>
                <w:color w:val="auto"/>
              </w:rPr>
            </w:pPr>
            <w:r>
              <w:rPr>
                <w:rFonts w:ascii="Arial" w:cs="Arial" w:eastAsia="Arial" w:hAnsi="Arial"/>
                <w:sz w:val="14"/>
                <w:szCs w:val="14"/>
                <w:color w:val="auto"/>
              </w:rPr>
              <w:t>Consumer Products</w:t>
            </w:r>
          </w:p>
        </w:tc>
        <w:tc>
          <w:tcPr>
            <w:tcW w:w="1860" w:type="dxa"/>
            <w:vAlign w:val="bottom"/>
          </w:tcPr>
          <w:p>
            <w:pPr>
              <w:ind w:left="60"/>
              <w:spacing w:after="0"/>
              <w:rPr>
                <w:sz w:val="20"/>
                <w:szCs w:val="20"/>
                <w:color w:val="auto"/>
              </w:rPr>
            </w:pPr>
            <w:r>
              <w:rPr>
                <w:rFonts w:ascii="Arial" w:cs="Arial" w:eastAsia="Arial" w:hAnsi="Arial"/>
                <w:sz w:val="14"/>
                <w:szCs w:val="14"/>
                <w:color w:val="auto"/>
              </w:rPr>
              <w:t>First Lien Debt (12.75%</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2"/>
        </w:trPr>
        <w:tc>
          <w:tcPr>
            <w:tcW w:w="2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Cash, Due 9/8/21)</w:t>
            </w:r>
          </w:p>
        </w:tc>
        <w:tc>
          <w:tcPr>
            <w:tcW w:w="44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18,950</w:t>
            </w:r>
          </w:p>
        </w:tc>
        <w:tc>
          <w:tcPr>
            <w:tcW w:w="180" w:type="dxa"/>
            <w:vAlign w:val="bottom"/>
          </w:tcPr>
          <w:p>
            <w:pPr>
              <w:spacing w:after="0"/>
              <w:rPr>
                <w:sz w:val="15"/>
                <w:szCs w:val="15"/>
                <w:color w:val="auto"/>
              </w:rPr>
            </w:pPr>
          </w:p>
        </w:tc>
      </w:tr>
      <w:tr>
        <w:trPr>
          <w:trHeight w:val="615"/>
        </w:trPr>
        <w:tc>
          <w:tcPr>
            <w:tcW w:w="2460" w:type="dxa"/>
            <w:vAlign w:val="bottom"/>
          </w:tcPr>
          <w:p>
            <w:pPr>
              <w:spacing w:after="0"/>
              <w:rPr>
                <w:sz w:val="20"/>
                <w:szCs w:val="20"/>
                <w:color w:val="auto"/>
              </w:rPr>
            </w:pPr>
            <w:r>
              <w:rPr>
                <w:rFonts w:ascii="Arial" w:cs="Arial" w:eastAsia="Arial" w:hAnsi="Arial"/>
                <w:sz w:val="14"/>
                <w:szCs w:val="14"/>
                <w:color w:val="auto"/>
              </w:rPr>
              <w:t>B&amp;W Quality Growers, LLC</w:t>
            </w:r>
          </w:p>
        </w:tc>
        <w:tc>
          <w:tcPr>
            <w:tcW w:w="1920" w:type="dxa"/>
            <w:vAlign w:val="bottom"/>
          </w:tcPr>
          <w:p>
            <w:pPr>
              <w:ind w:left="180"/>
              <w:spacing w:after="0"/>
              <w:rPr>
                <w:sz w:val="20"/>
                <w:szCs w:val="20"/>
                <w:color w:val="auto"/>
              </w:rPr>
            </w:pPr>
            <w:r>
              <w:rPr>
                <w:rFonts w:ascii="Arial" w:cs="Arial" w:eastAsia="Arial" w:hAnsi="Arial"/>
                <w:sz w:val="14"/>
                <w:szCs w:val="14"/>
                <w:color w:val="auto"/>
              </w:rPr>
              <w:t>Farming</w:t>
            </w:r>
          </w:p>
        </w:tc>
        <w:tc>
          <w:tcPr>
            <w:tcW w:w="1860" w:type="dxa"/>
            <w:vAlign w:val="bottom"/>
          </w:tcPr>
          <w:p>
            <w:pPr>
              <w:ind w:left="60"/>
              <w:spacing w:after="0"/>
              <w:rPr>
                <w:sz w:val="20"/>
                <w:szCs w:val="20"/>
                <w:color w:val="auto"/>
              </w:rPr>
            </w:pPr>
            <w:r>
              <w:rPr>
                <w:rFonts w:ascii="Arial" w:cs="Arial" w:eastAsia="Arial" w:hAnsi="Arial"/>
                <w:sz w:val="14"/>
                <w:szCs w:val="14"/>
                <w:color w:val="auto"/>
              </w:rPr>
              <w:t>Membership Unit Warrants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2"/>
        </w:trPr>
        <w:tc>
          <w:tcPr>
            <w:tcW w:w="2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(91,739 Units)</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624"/>
        </w:trPr>
        <w:tc>
          <w:tcPr>
            <w:tcW w:w="2460" w:type="dxa"/>
            <w:vAlign w:val="bottom"/>
          </w:tcPr>
          <w:p>
            <w:pPr>
              <w:spacing w:after="0"/>
              <w:rPr>
                <w:sz w:val="20"/>
                <w:szCs w:val="20"/>
                <w:color w:val="auto"/>
              </w:rPr>
            </w:pPr>
            <w:r>
              <w:rPr>
                <w:rFonts w:ascii="Arial" w:cs="Arial" w:eastAsia="Arial" w:hAnsi="Arial"/>
                <w:sz w:val="14"/>
                <w:szCs w:val="14"/>
                <w:color w:val="auto"/>
              </w:rPr>
              <w:t>BigMouth, Inc.</w:t>
            </w:r>
          </w:p>
        </w:tc>
        <w:tc>
          <w:tcPr>
            <w:tcW w:w="1920" w:type="dxa"/>
            <w:vAlign w:val="bottom"/>
          </w:tcPr>
          <w:p>
            <w:pPr>
              <w:ind w:left="180"/>
              <w:spacing w:after="0"/>
              <w:rPr>
                <w:sz w:val="20"/>
                <w:szCs w:val="20"/>
                <w:color w:val="auto"/>
              </w:rPr>
            </w:pPr>
            <w:r>
              <w:rPr>
                <w:rFonts w:ascii="Arial" w:cs="Arial" w:eastAsia="Arial" w:hAnsi="Arial"/>
                <w:sz w:val="14"/>
                <w:szCs w:val="14"/>
                <w:color w:val="auto"/>
              </w:rPr>
              <w:t>Consumer Products</w:t>
            </w:r>
          </w:p>
        </w:tc>
        <w:tc>
          <w:tcPr>
            <w:tcW w:w="1860" w:type="dxa"/>
            <w:vAlign w:val="bottom"/>
          </w:tcPr>
          <w:p>
            <w:pPr>
              <w:ind w:left="60"/>
              <w:spacing w:after="0"/>
              <w:rPr>
                <w:sz w:val="20"/>
                <w:szCs w:val="20"/>
                <w:color w:val="auto"/>
              </w:rPr>
            </w:pPr>
            <w:r>
              <w:rPr>
                <w:rFonts w:ascii="Arial" w:cs="Arial" w:eastAsia="Arial" w:hAnsi="Arial"/>
                <w:sz w:val="14"/>
                <w:szCs w:val="14"/>
                <w:color w:val="auto"/>
                <w:w w:val="99"/>
              </w:rPr>
              <w:t>First Lien Debt (13.6% Cash,</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3"/>
        </w:trPr>
        <w:tc>
          <w:tcPr>
            <w:tcW w:w="2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 xml:space="preserve">Due 11/14/21) </w:t>
            </w:r>
            <w:r>
              <w:rPr>
                <w:rFonts w:ascii="Arial" w:cs="Arial" w:eastAsia="Arial" w:hAnsi="Arial"/>
                <w:sz w:val="23"/>
                <w:szCs w:val="23"/>
                <w:color w:val="auto"/>
                <w:vertAlign w:val="superscript"/>
              </w:rPr>
              <w:t>(6)</w:t>
            </w:r>
          </w:p>
        </w:tc>
        <w:tc>
          <w:tcPr>
            <w:tcW w:w="44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9,616</w:t>
            </w:r>
          </w:p>
        </w:tc>
        <w:tc>
          <w:tcPr>
            <w:tcW w:w="180" w:type="dxa"/>
            <w:vAlign w:val="bottom"/>
          </w:tcPr>
          <w:p>
            <w:pPr>
              <w:spacing w:after="0"/>
              <w:rPr>
                <w:sz w:val="24"/>
                <w:szCs w:val="24"/>
                <w:color w:val="auto"/>
              </w:rPr>
            </w:pPr>
          </w:p>
        </w:tc>
      </w:tr>
      <w:tr>
        <w:trPr>
          <w:trHeight w:val="173"/>
        </w:trPr>
        <w:tc>
          <w:tcPr>
            <w:tcW w:w="2460" w:type="dxa"/>
            <w:vAlign w:val="bottom"/>
          </w:tcPr>
          <w:p>
            <w:pPr>
              <w:spacing w:after="0"/>
              <w:rPr>
                <w:sz w:val="20"/>
                <w:szCs w:val="20"/>
                <w:color w:val="auto"/>
              </w:rPr>
            </w:pPr>
            <w:r>
              <w:rPr>
                <w:rFonts w:ascii="Arial" w:cs="Arial" w:eastAsia="Arial" w:hAnsi="Arial"/>
                <w:sz w:val="14"/>
                <w:szCs w:val="14"/>
                <w:color w:val="auto"/>
              </w:rPr>
              <w:t>BigMouth, Inc.</w:t>
            </w:r>
          </w:p>
        </w:tc>
        <w:tc>
          <w:tcPr>
            <w:tcW w:w="1920" w:type="dxa"/>
            <w:vAlign w:val="bottom"/>
          </w:tcPr>
          <w:p>
            <w:pPr>
              <w:ind w:left="180"/>
              <w:spacing w:after="0"/>
              <w:rPr>
                <w:sz w:val="20"/>
                <w:szCs w:val="20"/>
                <w:color w:val="auto"/>
              </w:rPr>
            </w:pPr>
            <w:r>
              <w:rPr>
                <w:rFonts w:ascii="Arial" w:cs="Arial" w:eastAsia="Arial" w:hAnsi="Arial"/>
                <w:sz w:val="14"/>
                <w:szCs w:val="14"/>
                <w:color w:val="auto"/>
              </w:rPr>
              <w:t>Consumer Products</w:t>
            </w:r>
          </w:p>
        </w:tc>
        <w:tc>
          <w:tcPr>
            <w:tcW w:w="1860" w:type="dxa"/>
            <w:vAlign w:val="bottom"/>
          </w:tcPr>
          <w:p>
            <w:pPr>
              <w:ind w:left="60"/>
              <w:spacing w:after="0"/>
              <w:rPr>
                <w:sz w:val="20"/>
                <w:szCs w:val="20"/>
                <w:color w:val="auto"/>
              </w:rPr>
            </w:pPr>
            <w:r>
              <w:rPr>
                <w:rFonts w:ascii="Arial" w:cs="Arial" w:eastAsia="Arial" w:hAnsi="Arial"/>
                <w:sz w:val="14"/>
                <w:szCs w:val="14"/>
                <w:color w:val="auto"/>
              </w:rPr>
              <w:t>Series A Preferred Stock</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313"/>
        </w:trPr>
        <w:tc>
          <w:tcPr>
            <w:tcW w:w="2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w w:val="97"/>
              </w:rPr>
              <w:t xml:space="preserve">(350,000 shares, 8% PIK) </w:t>
            </w:r>
            <w:r>
              <w:rPr>
                <w:rFonts w:ascii="Arial" w:cs="Arial" w:eastAsia="Arial" w:hAnsi="Arial"/>
                <w:sz w:val="23"/>
                <w:szCs w:val="23"/>
                <w:color w:val="auto"/>
                <w:w w:val="97"/>
                <w:vertAlign w:val="superscript"/>
              </w:rPr>
              <w:t>(5)</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14"/>
        </w:trPr>
        <w:tc>
          <w:tcPr>
            <w:tcW w:w="2460" w:type="dxa"/>
            <w:vAlign w:val="bottom"/>
          </w:tcPr>
          <w:p>
            <w:pPr>
              <w:spacing w:after="0"/>
              <w:rPr>
                <w:sz w:val="20"/>
                <w:szCs w:val="20"/>
                <w:color w:val="auto"/>
              </w:rPr>
            </w:pPr>
            <w:r>
              <w:rPr>
                <w:rFonts w:ascii="Arial" w:cs="Arial" w:eastAsia="Arial" w:hAnsi="Arial"/>
                <w:sz w:val="14"/>
                <w:szCs w:val="14"/>
                <w:color w:val="auto"/>
              </w:rPr>
              <w:t>Bluestem Brands, Inc.</w:t>
            </w:r>
          </w:p>
        </w:tc>
        <w:tc>
          <w:tcPr>
            <w:tcW w:w="1920" w:type="dxa"/>
            <w:vAlign w:val="bottom"/>
          </w:tcPr>
          <w:p>
            <w:pPr>
              <w:ind w:left="180"/>
              <w:spacing w:after="0"/>
              <w:rPr>
                <w:sz w:val="20"/>
                <w:szCs w:val="20"/>
                <w:color w:val="auto"/>
              </w:rPr>
            </w:pPr>
            <w:r>
              <w:rPr>
                <w:rFonts w:ascii="Arial" w:cs="Arial" w:eastAsia="Arial" w:hAnsi="Arial"/>
                <w:sz w:val="14"/>
                <w:szCs w:val="14"/>
                <w:color w:val="auto"/>
                <w:w w:val="97"/>
              </w:rPr>
              <w:t>Online Merchandise Retailer</w:t>
            </w:r>
          </w:p>
        </w:tc>
        <w:tc>
          <w:tcPr>
            <w:tcW w:w="1860" w:type="dxa"/>
            <w:vAlign w:val="bottom"/>
          </w:tcPr>
          <w:p>
            <w:pPr>
              <w:ind w:left="60"/>
              <w:spacing w:after="0"/>
              <w:rPr>
                <w:sz w:val="20"/>
                <w:szCs w:val="20"/>
                <w:color w:val="auto"/>
              </w:rPr>
            </w:pPr>
            <w:r>
              <w:rPr>
                <w:rFonts w:ascii="Arial" w:cs="Arial" w:eastAsia="Arial" w:hAnsi="Arial"/>
                <w:sz w:val="14"/>
                <w:szCs w:val="14"/>
                <w:color w:val="auto"/>
              </w:rPr>
              <w:t>First Lien Debt (9.38% Cash</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49"/>
        </w:trPr>
        <w:tc>
          <w:tcPr>
            <w:tcW w:w="2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ind w:left="60"/>
              <w:spacing w:after="0" w:line="149" w:lineRule="exact"/>
              <w:rPr>
                <w:sz w:val="20"/>
                <w:szCs w:val="20"/>
                <w:color w:val="auto"/>
              </w:rPr>
            </w:pPr>
            <w:r>
              <w:rPr>
                <w:rFonts w:ascii="Arial" w:cs="Arial" w:eastAsia="Arial" w:hAnsi="Arial"/>
                <w:sz w:val="14"/>
                <w:szCs w:val="14"/>
                <w:color w:val="auto"/>
              </w:rPr>
              <w:t>(1 month LIBOR + 7.5%, 1%</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82"/>
        </w:trPr>
        <w:tc>
          <w:tcPr>
            <w:tcW w:w="2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Floor), Due 11/7/20)</w:t>
            </w:r>
          </w:p>
        </w:tc>
        <w:tc>
          <w:tcPr>
            <w:tcW w:w="44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3,967</w:t>
            </w:r>
          </w:p>
        </w:tc>
        <w:tc>
          <w:tcPr>
            <w:tcW w:w="180" w:type="dxa"/>
            <w:vAlign w:val="bottom"/>
          </w:tcPr>
          <w:p>
            <w:pPr>
              <w:spacing w:after="0"/>
              <w:rPr>
                <w:sz w:val="15"/>
                <w:szCs w:val="15"/>
                <w:color w:val="auto"/>
              </w:rPr>
            </w:pPr>
          </w:p>
        </w:tc>
      </w:tr>
      <w:tr>
        <w:trPr>
          <w:trHeight w:val="615"/>
        </w:trPr>
        <w:tc>
          <w:tcPr>
            <w:tcW w:w="2460" w:type="dxa"/>
            <w:vAlign w:val="bottom"/>
          </w:tcPr>
          <w:p>
            <w:pPr>
              <w:spacing w:after="0"/>
              <w:rPr>
                <w:sz w:val="20"/>
                <w:szCs w:val="20"/>
                <w:color w:val="auto"/>
              </w:rPr>
            </w:pPr>
            <w:r>
              <w:rPr>
                <w:rFonts w:ascii="Arial" w:cs="Arial" w:eastAsia="Arial" w:hAnsi="Arial"/>
                <w:sz w:val="14"/>
                <w:szCs w:val="14"/>
                <w:color w:val="auto"/>
              </w:rPr>
              <w:t>Burke America Parts Group, LLC</w:t>
            </w:r>
          </w:p>
        </w:tc>
        <w:tc>
          <w:tcPr>
            <w:tcW w:w="1920" w:type="dxa"/>
            <w:vAlign w:val="bottom"/>
          </w:tcPr>
          <w:p>
            <w:pPr>
              <w:ind w:left="180"/>
              <w:spacing w:after="0"/>
              <w:rPr>
                <w:sz w:val="20"/>
                <w:szCs w:val="20"/>
                <w:color w:val="auto"/>
              </w:rPr>
            </w:pPr>
            <w:r>
              <w:rPr>
                <w:rFonts w:ascii="Arial" w:cs="Arial" w:eastAsia="Arial" w:hAnsi="Arial"/>
                <w:sz w:val="14"/>
                <w:szCs w:val="14"/>
                <w:color w:val="auto"/>
              </w:rPr>
              <w:t>Home Repair Parts</w:t>
            </w:r>
          </w:p>
        </w:tc>
        <w:tc>
          <w:tcPr>
            <w:tcW w:w="1860" w:type="dxa"/>
            <w:vAlign w:val="bottom"/>
          </w:tcPr>
          <w:p>
            <w:pPr>
              <w:ind w:left="60"/>
              <w:spacing w:after="0"/>
              <w:rPr>
                <w:sz w:val="20"/>
                <w:szCs w:val="20"/>
                <w:color w:val="auto"/>
              </w:rPr>
            </w:pPr>
            <w:r>
              <w:rPr>
                <w:rFonts w:ascii="Arial" w:cs="Arial" w:eastAsia="Arial" w:hAnsi="Arial"/>
                <w:sz w:val="14"/>
                <w:szCs w:val="14"/>
                <w:color w:val="auto"/>
              </w:rPr>
              <w:t>Membership Units (14 units)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2"/>
        </w:trPr>
        <w:tc>
          <w:tcPr>
            <w:tcW w:w="246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Arial" w:cs="Arial" w:eastAsia="Arial" w:hAnsi="Arial"/>
                <w:sz w:val="14"/>
                <w:szCs w:val="14"/>
                <w:color w:val="auto"/>
              </w:rPr>
              <w:t>Manufacturer</w:t>
            </w:r>
          </w:p>
        </w:tc>
        <w:tc>
          <w:tcPr>
            <w:tcW w:w="1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-5163185</wp:posOffset>
            </wp:positionV>
            <wp:extent cx="7246620" cy="283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-4785360</wp:posOffset>
            </wp:positionV>
            <wp:extent cx="72466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-4476750</wp:posOffset>
            </wp:positionV>
            <wp:extent cx="724662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-4177030</wp:posOffset>
            </wp:positionV>
            <wp:extent cx="724662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-3970655</wp:posOffset>
            </wp:positionV>
            <wp:extent cx="724662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-3662045</wp:posOffset>
            </wp:positionV>
            <wp:extent cx="724662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-3362325</wp:posOffset>
            </wp:positionV>
            <wp:extent cx="724662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-3155950</wp:posOffset>
            </wp:positionV>
            <wp:extent cx="724662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-2856230</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-2650490</wp:posOffset>
            </wp:positionV>
            <wp:extent cx="724662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-2350135</wp:posOffset>
            </wp:positionV>
            <wp:extent cx="72466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-2144395</wp:posOffset>
            </wp:positionV>
            <wp:extent cx="724662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-1844040</wp:posOffset>
            </wp:positionV>
            <wp:extent cx="724662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-1638300</wp:posOffset>
            </wp:positionV>
            <wp:extent cx="724662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-1329690</wp:posOffset>
            </wp:positionV>
            <wp:extent cx="724662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-1003935</wp:posOffset>
            </wp:positionV>
            <wp:extent cx="72466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24662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9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11,180</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11,180</w:t>
            </w:r>
          </w:p>
        </w:tc>
        <w:tc>
          <w:tcPr>
            <w:tcW w:w="2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5.1%</w:t>
            </w:r>
          </w:p>
        </w:tc>
      </w:tr>
      <w:tr>
        <w:trPr>
          <w:trHeight w:val="486"/>
        </w:trPr>
        <w:tc>
          <w:tcPr>
            <w:tcW w:w="500" w:type="dxa"/>
            <w:vAlign w:val="bottom"/>
          </w:tcPr>
          <w:p>
            <w:pPr>
              <w:jc w:val="right"/>
              <w:ind w:right="28"/>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990</w:t>
            </w: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0.4%</w:t>
            </w:r>
          </w:p>
        </w:tc>
      </w:tr>
      <w:tr>
        <w:trPr>
          <w:trHeight w:val="444"/>
        </w:trPr>
        <w:tc>
          <w:tcPr>
            <w:tcW w:w="5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w:t>
            </w: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12,180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12,317</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5.6%</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5"/>
        </w:trPr>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13,000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13,000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6.0%</w:t>
            </w:r>
          </w:p>
        </w:tc>
      </w:tr>
      <w:tr>
        <w:trPr>
          <w:trHeight w:val="444"/>
        </w:trPr>
        <w:tc>
          <w:tcPr>
            <w:tcW w:w="500" w:type="dxa"/>
            <w:vAlign w:val="bottom"/>
          </w:tcPr>
          <w:p>
            <w:pPr>
              <w:jc w:val="right"/>
              <w:ind w:right="28"/>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410</w:t>
            </w: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13,800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13,410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6.2%</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00" w:type="dxa"/>
            <w:vAlign w:val="bottom"/>
          </w:tcPr>
          <w:p>
            <w:pPr>
              <w:jc w:val="right"/>
              <w:ind w:right="28"/>
              <w:spacing w:after="0"/>
              <w:rPr>
                <w:sz w:val="20"/>
                <w:szCs w:val="20"/>
                <w:color w:val="auto"/>
              </w:rPr>
            </w:pPr>
            <w:r>
              <w:rPr>
                <w:rFonts w:ascii="Arial" w:cs="Arial" w:eastAsia="Arial" w:hAnsi="Arial"/>
                <w:sz w:val="14"/>
                <w:szCs w:val="14"/>
                <w:color w:val="auto"/>
              </w:rPr>
              <w:t>9,091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6,731</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3.1%</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500" w:type="dxa"/>
            <w:vAlign w:val="bottom"/>
          </w:tcPr>
          <w:p>
            <w:pPr>
              <w:jc w:val="right"/>
              <w:ind w:right="28"/>
              <w:spacing w:after="0"/>
              <w:rPr>
                <w:sz w:val="20"/>
                <w:szCs w:val="20"/>
                <w:color w:val="auto"/>
              </w:rPr>
            </w:pPr>
            <w:r>
              <w:rPr>
                <w:rFonts w:ascii="Arial" w:cs="Arial" w:eastAsia="Arial" w:hAnsi="Arial"/>
                <w:sz w:val="14"/>
                <w:szCs w:val="14"/>
                <w:color w:val="auto"/>
              </w:rPr>
              <w:t>9,091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6,731</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3.1%</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18,590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18,950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8.7%</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18,590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18,950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8.7%</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5,609</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5,609</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5"/>
        </w:trPr>
        <w:tc>
          <w:tcPr>
            <w:tcW w:w="500" w:type="dxa"/>
            <w:vAlign w:val="bottom"/>
          </w:tcPr>
          <w:p>
            <w:pPr>
              <w:jc w:val="right"/>
              <w:ind w:right="28"/>
              <w:spacing w:after="0"/>
              <w:rPr>
                <w:sz w:val="20"/>
                <w:szCs w:val="20"/>
                <w:color w:val="auto"/>
              </w:rPr>
            </w:pPr>
            <w:r>
              <w:rPr>
                <w:rFonts w:ascii="Arial" w:cs="Arial" w:eastAsia="Arial" w:hAnsi="Arial"/>
                <w:sz w:val="14"/>
                <w:szCs w:val="14"/>
                <w:color w:val="auto"/>
              </w:rPr>
              <w:t>9,616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9,616</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485"/>
        </w:trPr>
        <w:tc>
          <w:tcPr>
            <w:tcW w:w="500" w:type="dxa"/>
            <w:vAlign w:val="bottom"/>
          </w:tcPr>
          <w:p>
            <w:pPr>
              <w:jc w:val="right"/>
              <w:ind w:right="28"/>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727</w:t>
            </w: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10,005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10,343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4.7%</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1"/>
        </w:trPr>
        <w:tc>
          <w:tcPr>
            <w:tcW w:w="500" w:type="dxa"/>
            <w:vAlign w:val="bottom"/>
          </w:tcPr>
          <w:p>
            <w:pPr>
              <w:jc w:val="right"/>
              <w:ind w:right="28"/>
              <w:spacing w:after="0"/>
              <w:rPr>
                <w:sz w:val="20"/>
                <w:szCs w:val="20"/>
                <w:color w:val="auto"/>
              </w:rPr>
            </w:pPr>
            <w:r>
              <w:rPr>
                <w:rFonts w:ascii="Arial" w:cs="Arial" w:eastAsia="Arial" w:hAnsi="Arial"/>
                <w:sz w:val="14"/>
                <w:szCs w:val="14"/>
                <w:color w:val="auto"/>
              </w:rPr>
              <w:t>3,915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3,615</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500" w:type="dxa"/>
            <w:vAlign w:val="bottom"/>
          </w:tcPr>
          <w:p>
            <w:pPr>
              <w:jc w:val="right"/>
              <w:ind w:right="28"/>
              <w:spacing w:after="0"/>
              <w:rPr>
                <w:sz w:val="20"/>
                <w:szCs w:val="20"/>
                <w:color w:val="auto"/>
              </w:rPr>
            </w:pPr>
            <w:r>
              <w:rPr>
                <w:rFonts w:ascii="Arial" w:cs="Arial" w:eastAsia="Arial" w:hAnsi="Arial"/>
                <w:sz w:val="14"/>
                <w:szCs w:val="14"/>
                <w:color w:val="auto"/>
              </w:rPr>
              <w:t>3,915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3,615</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2,767</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5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2,767</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-8255</wp:posOffset>
            </wp:positionV>
            <wp:extent cx="6858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-213995</wp:posOffset>
            </wp:positionV>
            <wp:extent cx="685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-513715</wp:posOffset>
            </wp:positionV>
            <wp:extent cx="6858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-719455</wp:posOffset>
            </wp:positionV>
            <wp:extent cx="685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-1114425</wp:posOffset>
            </wp:positionV>
            <wp:extent cx="685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-1320165</wp:posOffset>
            </wp:positionV>
            <wp:extent cx="6858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-1954530</wp:posOffset>
            </wp:positionV>
            <wp:extent cx="6858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-2160270</wp:posOffset>
            </wp:positionV>
            <wp:extent cx="6858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-2460625</wp:posOffset>
            </wp:positionV>
            <wp:extent cx="6858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-2666365</wp:posOffset>
            </wp:positionV>
            <wp:extent cx="6858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-2966720</wp:posOffset>
            </wp:positionV>
            <wp:extent cx="6858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-3172460</wp:posOffset>
            </wp:positionV>
            <wp:extent cx="685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-3472815</wp:posOffset>
            </wp:positionV>
            <wp:extent cx="6858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-3678555</wp:posOffset>
            </wp:positionV>
            <wp:extent cx="6858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-4287520</wp:posOffset>
            </wp:positionV>
            <wp:extent cx="6858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-4493260</wp:posOffset>
            </wp:positionV>
            <wp:extent cx="6858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80" w:space="600"/>
            <w:col w:w="3140"/>
          </w:cols>
          <w:pgMar w:left="240" w:top="904" w:right="2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Portfolio Company, Country </w:t>
            </w:r>
            <w:r>
              <w:rPr>
                <w:rFonts w:ascii="Arial" w:cs="Arial" w:eastAsia="Arial" w:hAnsi="Arial"/>
                <w:sz w:val="23"/>
                <w:szCs w:val="23"/>
                <w:b w:val="1"/>
                <w:bCs w:val="1"/>
                <w:color w:val="auto"/>
                <w:w w:val="91"/>
                <w:vertAlign w:val="superscript"/>
              </w:rPr>
              <w:t>(1),</w:t>
            </w:r>
          </w:p>
        </w:tc>
        <w:tc>
          <w:tcPr>
            <w:tcW w:w="18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Industry</w:t>
            </w:r>
          </w:p>
        </w:tc>
        <w:tc>
          <w:tcPr>
            <w:tcW w:w="120" w:type="dxa"/>
            <w:vAlign w:val="bottom"/>
            <w:vMerge w:val="restart"/>
          </w:tcPr>
          <w:p>
            <w:pPr>
              <w:spacing w:after="0"/>
              <w:rPr>
                <w:sz w:val="22"/>
                <w:szCs w:val="22"/>
                <w:color w:val="auto"/>
              </w:rPr>
            </w:pPr>
          </w:p>
        </w:tc>
        <w:tc>
          <w:tcPr>
            <w:tcW w:w="18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vMerge w:val="restart"/>
          </w:tcPr>
          <w:p>
            <w:pPr>
              <w:spacing w:after="0"/>
              <w:rPr>
                <w:sz w:val="22"/>
                <w:szCs w:val="22"/>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11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22"/>
                <w:szCs w:val="22"/>
                <w:color w:val="auto"/>
              </w:rPr>
            </w:pPr>
          </w:p>
        </w:tc>
        <w:tc>
          <w:tcPr>
            <w:tcW w:w="11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5"/>
        </w:trPr>
        <w:tc>
          <w:tcPr>
            <w:tcW w:w="2080" w:type="dxa"/>
            <w:vAlign w:val="bottom"/>
            <w:tcBorders>
              <w:bottom w:val="single" w:sz="8" w:color="auto"/>
            </w:tcBorders>
          </w:tcPr>
          <w:p>
            <w:pPr>
              <w:jc w:val="right"/>
              <w:ind w:right="694"/>
              <w:spacing w:after="0"/>
              <w:rPr>
                <w:sz w:val="20"/>
                <w:szCs w:val="20"/>
                <w:color w:val="auto"/>
              </w:rPr>
            </w:pPr>
            <w:r>
              <w:rPr>
                <w:rFonts w:ascii="Arial" w:cs="Arial" w:eastAsia="Arial" w:hAnsi="Arial"/>
                <w:sz w:val="12"/>
                <w:szCs w:val="12"/>
                <w:b w:val="1"/>
                <w:bCs w:val="1"/>
                <w:color w:val="auto"/>
              </w:rPr>
              <w:t>(2), (3), (4)</w:t>
            </w:r>
          </w:p>
        </w:tc>
        <w:tc>
          <w:tcPr>
            <w:tcW w:w="120" w:type="dxa"/>
            <w:vAlign w:val="bottom"/>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20"/>
                <w:szCs w:val="20"/>
                <w:color w:val="auto"/>
              </w:rPr>
            </w:pPr>
            <w:r>
              <w:rPr>
                <w:rFonts w:ascii="Arial" w:cs="Arial" w:eastAsia="Arial" w:hAnsi="Arial"/>
                <w:sz w:val="14"/>
                <w:szCs w:val="14"/>
                <w:color w:val="auto"/>
              </w:rPr>
              <w:t>California Pizza Kitchen, Inc.</w:t>
            </w:r>
          </w:p>
        </w:tc>
        <w:tc>
          <w:tcPr>
            <w:tcW w:w="1980" w:type="dxa"/>
            <w:vAlign w:val="bottom"/>
          </w:tcPr>
          <w:p>
            <w:pPr>
              <w:ind w:left="160"/>
              <w:spacing w:after="0"/>
              <w:rPr>
                <w:sz w:val="20"/>
                <w:szCs w:val="20"/>
                <w:color w:val="auto"/>
              </w:rPr>
            </w:pPr>
            <w:r>
              <w:rPr>
                <w:rFonts w:ascii="Arial" w:cs="Arial" w:eastAsia="Arial" w:hAnsi="Arial"/>
                <w:sz w:val="14"/>
                <w:szCs w:val="14"/>
                <w:color w:val="auto"/>
              </w:rPr>
              <w:t>Restaurant</w:t>
            </w:r>
          </w:p>
        </w:tc>
        <w:tc>
          <w:tcPr>
            <w:tcW w:w="1960" w:type="dxa"/>
            <w:vAlign w:val="bottom"/>
          </w:tcPr>
          <w:p>
            <w:pPr>
              <w:ind w:left="140"/>
              <w:spacing w:after="0"/>
              <w:rPr>
                <w:sz w:val="20"/>
                <w:szCs w:val="20"/>
                <w:color w:val="auto"/>
              </w:rPr>
            </w:pPr>
            <w:r>
              <w:rPr>
                <w:rFonts w:ascii="Arial" w:cs="Arial" w:eastAsia="Arial" w:hAnsi="Arial"/>
                <w:sz w:val="14"/>
                <w:szCs w:val="14"/>
                <w:color w:val="auto"/>
              </w:rPr>
              <w:t>Second Lien Debt (11.88%</w:t>
            </w:r>
          </w:p>
        </w:tc>
      </w:tr>
      <w:tr>
        <w:trPr>
          <w:trHeight w:val="149"/>
        </w:trPr>
        <w:tc>
          <w:tcPr>
            <w:tcW w:w="20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960" w:type="dxa"/>
            <w:vAlign w:val="bottom"/>
          </w:tcPr>
          <w:p>
            <w:pPr>
              <w:ind w:left="140"/>
              <w:spacing w:after="0" w:line="149" w:lineRule="exact"/>
              <w:rPr>
                <w:sz w:val="20"/>
                <w:szCs w:val="20"/>
                <w:color w:val="auto"/>
              </w:rPr>
            </w:pPr>
            <w:r>
              <w:rPr>
                <w:rFonts w:ascii="Arial" w:cs="Arial" w:eastAsia="Arial" w:hAnsi="Arial"/>
                <w:sz w:val="14"/>
                <w:szCs w:val="14"/>
                <w:color w:val="auto"/>
                <w:w w:val="96"/>
              </w:rPr>
              <w:t>Cash (1 month LIBOR + 10%,</w:t>
            </w:r>
          </w:p>
        </w:tc>
      </w:tr>
      <w:tr>
        <w:trPr>
          <w:trHeight w:val="182"/>
        </w:trPr>
        <w:tc>
          <w:tcPr>
            <w:tcW w:w="2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960" w:type="dxa"/>
            <w:vAlign w:val="bottom"/>
          </w:tcPr>
          <w:p>
            <w:pPr>
              <w:ind w:left="140"/>
              <w:spacing w:after="0"/>
              <w:rPr>
                <w:sz w:val="20"/>
                <w:szCs w:val="20"/>
                <w:color w:val="auto"/>
              </w:rPr>
            </w:pPr>
            <w:r>
              <w:rPr>
                <w:rFonts w:ascii="Arial" w:cs="Arial" w:eastAsia="Arial" w:hAnsi="Arial"/>
                <w:sz w:val="14"/>
                <w:szCs w:val="14"/>
                <w:color w:val="auto"/>
              </w:rPr>
              <w:t>1% Floor), Due 8/23/23)</w:t>
            </w:r>
          </w:p>
        </w:tc>
      </w:tr>
      <w:tr>
        <w:trPr>
          <w:trHeight w:val="615"/>
        </w:trPr>
        <w:tc>
          <w:tcPr>
            <w:tcW w:w="2040" w:type="dxa"/>
            <w:vAlign w:val="bottom"/>
          </w:tcPr>
          <w:p>
            <w:pPr>
              <w:spacing w:after="0"/>
              <w:rPr>
                <w:sz w:val="20"/>
                <w:szCs w:val="20"/>
                <w:color w:val="auto"/>
              </w:rPr>
            </w:pPr>
            <w:r>
              <w:rPr>
                <w:rFonts w:ascii="Arial" w:cs="Arial" w:eastAsia="Arial" w:hAnsi="Arial"/>
                <w:sz w:val="14"/>
                <w:szCs w:val="14"/>
                <w:color w:val="auto"/>
              </w:rPr>
              <w:t>Caregiver Services, Inc.</w:t>
            </w:r>
          </w:p>
        </w:tc>
        <w:tc>
          <w:tcPr>
            <w:tcW w:w="1980" w:type="dxa"/>
            <w:vAlign w:val="bottom"/>
          </w:tcPr>
          <w:p>
            <w:pPr>
              <w:ind w:left="160"/>
              <w:spacing w:after="0"/>
              <w:rPr>
                <w:sz w:val="20"/>
                <w:szCs w:val="20"/>
                <w:color w:val="auto"/>
              </w:rPr>
            </w:pPr>
            <w:r>
              <w:rPr>
                <w:rFonts w:ascii="Arial" w:cs="Arial" w:eastAsia="Arial" w:hAnsi="Arial"/>
                <w:sz w:val="14"/>
                <w:szCs w:val="14"/>
                <w:color w:val="auto"/>
                <w:w w:val="98"/>
              </w:rPr>
              <w:t>In-Home Healthcare Services</w:t>
            </w:r>
          </w:p>
        </w:tc>
        <w:tc>
          <w:tcPr>
            <w:tcW w:w="1960" w:type="dxa"/>
            <w:vAlign w:val="bottom"/>
          </w:tcPr>
          <w:p>
            <w:pPr>
              <w:ind w:left="140"/>
              <w:spacing w:after="0"/>
              <w:rPr>
                <w:sz w:val="20"/>
                <w:szCs w:val="20"/>
                <w:color w:val="auto"/>
              </w:rPr>
            </w:pPr>
            <w:r>
              <w:rPr>
                <w:rFonts w:ascii="Arial" w:cs="Arial" w:eastAsia="Arial" w:hAnsi="Arial"/>
                <w:sz w:val="14"/>
                <w:szCs w:val="14"/>
                <w:color w:val="auto"/>
              </w:rPr>
              <w:t>Common Stock (293,186</w:t>
            </w:r>
          </w:p>
        </w:tc>
      </w:tr>
      <w:tr>
        <w:trPr>
          <w:trHeight w:val="182"/>
        </w:trPr>
        <w:tc>
          <w:tcPr>
            <w:tcW w:w="2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960" w:type="dxa"/>
            <w:vAlign w:val="bottom"/>
          </w:tcPr>
          <w:p>
            <w:pPr>
              <w:ind w:left="140"/>
              <w:spacing w:after="0"/>
              <w:rPr>
                <w:sz w:val="20"/>
                <w:szCs w:val="20"/>
                <w:color w:val="auto"/>
              </w:rPr>
            </w:pPr>
            <w:r>
              <w:rPr>
                <w:rFonts w:ascii="Arial" w:cs="Arial" w:eastAsia="Arial" w:hAnsi="Arial"/>
                <w:sz w:val="14"/>
                <w:szCs w:val="14"/>
                <w:color w:val="auto"/>
              </w:rPr>
              <w:t>shares)</w:t>
            </w:r>
          </w:p>
        </w:tc>
      </w:tr>
      <w:tr>
        <w:trPr>
          <w:trHeight w:val="273"/>
        </w:trPr>
        <w:tc>
          <w:tcPr>
            <w:tcW w:w="2040" w:type="dxa"/>
            <w:vAlign w:val="bottom"/>
          </w:tcPr>
          <w:p>
            <w:pPr>
              <w:spacing w:after="0"/>
              <w:rPr>
                <w:sz w:val="20"/>
                <w:szCs w:val="20"/>
                <w:color w:val="auto"/>
              </w:rPr>
            </w:pPr>
            <w:r>
              <w:rPr>
                <w:rFonts w:ascii="Arial" w:cs="Arial" w:eastAsia="Arial" w:hAnsi="Arial"/>
                <w:sz w:val="14"/>
                <w:szCs w:val="14"/>
                <w:color w:val="auto"/>
              </w:rPr>
              <w:t>Caregiver Services, Inc.</w:t>
            </w:r>
          </w:p>
        </w:tc>
        <w:tc>
          <w:tcPr>
            <w:tcW w:w="1980" w:type="dxa"/>
            <w:vAlign w:val="bottom"/>
          </w:tcPr>
          <w:p>
            <w:pPr>
              <w:ind w:left="160"/>
              <w:spacing w:after="0"/>
              <w:rPr>
                <w:sz w:val="20"/>
                <w:szCs w:val="20"/>
                <w:color w:val="auto"/>
              </w:rPr>
            </w:pPr>
            <w:r>
              <w:rPr>
                <w:rFonts w:ascii="Arial" w:cs="Arial" w:eastAsia="Arial" w:hAnsi="Arial"/>
                <w:sz w:val="14"/>
                <w:szCs w:val="14"/>
                <w:color w:val="auto"/>
                <w:w w:val="98"/>
              </w:rPr>
              <w:t>In-Home Healthcare Services</w:t>
            </w:r>
          </w:p>
        </w:tc>
        <w:tc>
          <w:tcPr>
            <w:tcW w:w="1960" w:type="dxa"/>
            <w:vAlign w:val="bottom"/>
          </w:tcPr>
          <w:p>
            <w:pPr>
              <w:ind w:left="140"/>
              <w:spacing w:after="0"/>
              <w:rPr>
                <w:sz w:val="20"/>
                <w:szCs w:val="20"/>
                <w:color w:val="auto"/>
              </w:rPr>
            </w:pPr>
            <w:r>
              <w:rPr>
                <w:rFonts w:ascii="Arial" w:cs="Arial" w:eastAsia="Arial" w:hAnsi="Arial"/>
                <w:sz w:val="14"/>
                <w:szCs w:val="14"/>
                <w:color w:val="auto"/>
              </w:rPr>
              <w:t>Common Stock Warrants</w:t>
            </w:r>
          </w:p>
        </w:tc>
      </w:tr>
      <w:tr>
        <w:trPr>
          <w:trHeight w:val="313"/>
        </w:trPr>
        <w:tc>
          <w:tcPr>
            <w:tcW w:w="2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60" w:type="dxa"/>
            <w:vAlign w:val="bottom"/>
          </w:tcPr>
          <w:p>
            <w:pPr>
              <w:ind w:left="140"/>
              <w:spacing w:after="0"/>
              <w:rPr>
                <w:sz w:val="20"/>
                <w:szCs w:val="20"/>
                <w:color w:val="auto"/>
              </w:rPr>
            </w:pPr>
            <w:r>
              <w:rPr>
                <w:rFonts w:ascii="Arial" w:cs="Arial" w:eastAsia="Arial" w:hAnsi="Arial"/>
                <w:sz w:val="14"/>
                <w:szCs w:val="14"/>
                <w:color w:val="auto"/>
              </w:rPr>
              <w:t xml:space="preserve">(655,908 units) </w:t>
            </w:r>
            <w:r>
              <w:rPr>
                <w:rFonts w:ascii="Arial" w:cs="Arial" w:eastAsia="Arial" w:hAnsi="Arial"/>
                <w:sz w:val="23"/>
                <w:szCs w:val="23"/>
                <w:color w:val="auto"/>
                <w:vertAlign w:val="superscript"/>
              </w:rPr>
              <w:t>(7)</w:t>
            </w:r>
          </w:p>
        </w:tc>
      </w:tr>
      <w:tr>
        <w:trPr>
          <w:trHeight w:val="524"/>
        </w:trPr>
        <w:tc>
          <w:tcPr>
            <w:tcW w:w="2040" w:type="dxa"/>
            <w:vAlign w:val="bottom"/>
          </w:tcPr>
          <w:p>
            <w:pPr>
              <w:spacing w:after="0"/>
              <w:rPr>
                <w:sz w:val="20"/>
                <w:szCs w:val="20"/>
                <w:color w:val="auto"/>
              </w:rPr>
            </w:pPr>
            <w:r>
              <w:rPr>
                <w:rFonts w:ascii="Arial" w:cs="Arial" w:eastAsia="Arial" w:hAnsi="Arial"/>
                <w:sz w:val="14"/>
                <w:szCs w:val="14"/>
                <w:color w:val="auto"/>
              </w:rPr>
              <w:t>Cedar Electronics Holding Corp.</w:t>
            </w:r>
          </w:p>
        </w:tc>
        <w:tc>
          <w:tcPr>
            <w:tcW w:w="1980" w:type="dxa"/>
            <w:vAlign w:val="bottom"/>
          </w:tcPr>
          <w:p>
            <w:pPr>
              <w:ind w:left="160"/>
              <w:spacing w:after="0"/>
              <w:rPr>
                <w:sz w:val="20"/>
                <w:szCs w:val="20"/>
                <w:color w:val="auto"/>
              </w:rPr>
            </w:pPr>
            <w:r>
              <w:rPr>
                <w:rFonts w:ascii="Arial" w:cs="Arial" w:eastAsia="Arial" w:hAnsi="Arial"/>
                <w:sz w:val="14"/>
                <w:szCs w:val="14"/>
                <w:color w:val="auto"/>
              </w:rPr>
              <w:t>Consumer Electronics</w:t>
            </w:r>
          </w:p>
        </w:tc>
        <w:tc>
          <w:tcPr>
            <w:tcW w:w="1960" w:type="dxa"/>
            <w:vAlign w:val="bottom"/>
          </w:tcPr>
          <w:p>
            <w:pPr>
              <w:ind w:left="140"/>
              <w:spacing w:after="0"/>
              <w:rPr>
                <w:sz w:val="20"/>
                <w:szCs w:val="20"/>
                <w:color w:val="auto"/>
              </w:rPr>
            </w:pPr>
            <w:r>
              <w:rPr>
                <w:rFonts w:ascii="Arial" w:cs="Arial" w:eastAsia="Arial" w:hAnsi="Arial"/>
                <w:sz w:val="14"/>
                <w:szCs w:val="14"/>
                <w:color w:val="auto"/>
                <w:w w:val="92"/>
              </w:rPr>
              <w:t>Subordinated Debt (12% Cash,</w:t>
            </w:r>
          </w:p>
        </w:tc>
      </w:tr>
      <w:tr>
        <w:trPr>
          <w:trHeight w:val="313"/>
        </w:trPr>
        <w:tc>
          <w:tcPr>
            <w:tcW w:w="2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60" w:type="dxa"/>
            <w:vAlign w:val="bottom"/>
          </w:tcPr>
          <w:p>
            <w:pPr>
              <w:ind w:left="140"/>
              <w:spacing w:after="0"/>
              <w:rPr>
                <w:sz w:val="20"/>
                <w:szCs w:val="20"/>
                <w:color w:val="auto"/>
              </w:rPr>
            </w:pPr>
            <w:r>
              <w:rPr>
                <w:rFonts w:ascii="Arial" w:cs="Arial" w:eastAsia="Arial" w:hAnsi="Arial"/>
                <w:sz w:val="14"/>
                <w:szCs w:val="14"/>
                <w:color w:val="auto"/>
              </w:rPr>
              <w:t xml:space="preserve">Due 12/26/20) </w:t>
            </w:r>
            <w:r>
              <w:rPr>
                <w:rFonts w:ascii="Arial" w:cs="Arial" w:eastAsia="Arial" w:hAnsi="Arial"/>
                <w:sz w:val="23"/>
                <w:szCs w:val="23"/>
                <w:color w:val="auto"/>
                <w:vertAlign w:val="superscript"/>
              </w:rPr>
              <w:t>(8)(9)</w:t>
            </w:r>
          </w:p>
        </w:tc>
      </w:tr>
      <w:tr>
        <w:trPr>
          <w:trHeight w:val="514"/>
        </w:trPr>
        <w:tc>
          <w:tcPr>
            <w:tcW w:w="2040" w:type="dxa"/>
            <w:vAlign w:val="bottom"/>
          </w:tcPr>
          <w:p>
            <w:pPr>
              <w:spacing w:after="0"/>
              <w:rPr>
                <w:sz w:val="20"/>
                <w:szCs w:val="20"/>
                <w:color w:val="auto"/>
              </w:rPr>
            </w:pPr>
            <w:r>
              <w:rPr>
                <w:rFonts w:ascii="Arial" w:cs="Arial" w:eastAsia="Arial" w:hAnsi="Arial"/>
                <w:sz w:val="14"/>
                <w:szCs w:val="14"/>
                <w:color w:val="auto"/>
              </w:rPr>
              <w:t>CIS Secure Computing, Inc.</w:t>
            </w:r>
          </w:p>
        </w:tc>
        <w:tc>
          <w:tcPr>
            <w:tcW w:w="1980" w:type="dxa"/>
            <w:vAlign w:val="bottom"/>
          </w:tcPr>
          <w:p>
            <w:pPr>
              <w:ind w:left="160"/>
              <w:spacing w:after="0"/>
              <w:rPr>
                <w:sz w:val="20"/>
                <w:szCs w:val="20"/>
                <w:color w:val="auto"/>
              </w:rPr>
            </w:pPr>
            <w:r>
              <w:rPr>
                <w:rFonts w:ascii="Arial" w:cs="Arial" w:eastAsia="Arial" w:hAnsi="Arial"/>
                <w:sz w:val="14"/>
                <w:szCs w:val="14"/>
                <w:color w:val="auto"/>
              </w:rPr>
              <w:t>Government Services</w:t>
            </w:r>
          </w:p>
        </w:tc>
        <w:tc>
          <w:tcPr>
            <w:tcW w:w="1960" w:type="dxa"/>
            <w:vAlign w:val="bottom"/>
          </w:tcPr>
          <w:p>
            <w:pPr>
              <w:ind w:left="140"/>
              <w:spacing w:after="0"/>
              <w:rPr>
                <w:sz w:val="20"/>
                <w:szCs w:val="20"/>
                <w:color w:val="auto"/>
              </w:rPr>
            </w:pPr>
            <w:r>
              <w:rPr>
                <w:rFonts w:ascii="Arial" w:cs="Arial" w:eastAsia="Arial" w:hAnsi="Arial"/>
                <w:sz w:val="14"/>
                <w:szCs w:val="14"/>
                <w:color w:val="auto"/>
                <w:w w:val="98"/>
              </w:rPr>
              <w:t>First Lien Debt (10.17% Cash</w:t>
            </w:r>
          </w:p>
        </w:tc>
      </w:tr>
      <w:tr>
        <w:trPr>
          <w:trHeight w:val="149"/>
        </w:trPr>
        <w:tc>
          <w:tcPr>
            <w:tcW w:w="20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960" w:type="dxa"/>
            <w:vAlign w:val="bottom"/>
          </w:tcPr>
          <w:p>
            <w:pPr>
              <w:ind w:left="140"/>
              <w:spacing w:after="0" w:line="149" w:lineRule="exact"/>
              <w:rPr>
                <w:sz w:val="20"/>
                <w:szCs w:val="20"/>
                <w:color w:val="auto"/>
              </w:rPr>
            </w:pPr>
            <w:r>
              <w:rPr>
                <w:rFonts w:ascii="Arial" w:cs="Arial" w:eastAsia="Arial" w:hAnsi="Arial"/>
                <w:sz w:val="14"/>
                <w:szCs w:val="14"/>
                <w:color w:val="auto"/>
              </w:rPr>
              <w:t>(1 month LIBOR + 8.5%, 1%</w:t>
            </w:r>
          </w:p>
        </w:tc>
      </w:tr>
      <w:tr>
        <w:trPr>
          <w:trHeight w:val="158"/>
        </w:trPr>
        <w:tc>
          <w:tcPr>
            <w:tcW w:w="20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960" w:type="dxa"/>
            <w:vAlign w:val="bottom"/>
          </w:tcPr>
          <w:p>
            <w:pPr>
              <w:ind w:left="140"/>
              <w:spacing w:after="0" w:line="159" w:lineRule="exact"/>
              <w:rPr>
                <w:sz w:val="20"/>
                <w:szCs w:val="20"/>
                <w:color w:val="auto"/>
              </w:rPr>
            </w:pPr>
            <w:r>
              <w:rPr>
                <w:rFonts w:ascii="Arial" w:cs="Arial" w:eastAsia="Arial" w:hAnsi="Arial"/>
                <w:sz w:val="14"/>
                <w:szCs w:val="14"/>
                <w:color w:val="auto"/>
              </w:rPr>
              <w:t>Floor), 1% PIK, Due 9/14/22)</w:t>
            </w:r>
          </w:p>
        </w:tc>
      </w:tr>
      <w:tr>
        <w:trPr>
          <w:trHeight w:val="153"/>
        </w:trPr>
        <w:tc>
          <w:tcPr>
            <w:tcW w:w="20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960" w:type="dxa"/>
            <w:vAlign w:val="bottom"/>
          </w:tcPr>
          <w:p>
            <w:pPr>
              <w:ind w:left="140"/>
              <w:spacing w:after="0"/>
              <w:rPr>
                <w:sz w:val="20"/>
                <w:szCs w:val="20"/>
                <w:color w:val="auto"/>
              </w:rPr>
            </w:pPr>
            <w:r>
              <w:rPr>
                <w:rFonts w:ascii="Arial" w:cs="Arial" w:eastAsia="Arial" w:hAnsi="Arial"/>
                <w:sz w:val="12"/>
                <w:szCs w:val="12"/>
                <w:color w:val="auto"/>
              </w:rPr>
              <w:t>(10)</w:t>
            </w:r>
          </w:p>
        </w:tc>
      </w:tr>
      <w:tr>
        <w:trPr>
          <w:trHeight w:val="330"/>
        </w:trPr>
        <w:tc>
          <w:tcPr>
            <w:tcW w:w="2040" w:type="dxa"/>
            <w:vAlign w:val="bottom"/>
          </w:tcPr>
          <w:p>
            <w:pPr>
              <w:spacing w:after="0"/>
              <w:rPr>
                <w:sz w:val="20"/>
                <w:szCs w:val="20"/>
                <w:color w:val="auto"/>
              </w:rPr>
            </w:pPr>
            <w:r>
              <w:rPr>
                <w:rFonts w:ascii="Arial" w:cs="Arial" w:eastAsia="Arial" w:hAnsi="Arial"/>
                <w:sz w:val="14"/>
                <w:szCs w:val="14"/>
                <w:color w:val="auto"/>
              </w:rPr>
              <w:t>CIS Secure Computing, Inc.</w:t>
            </w:r>
          </w:p>
        </w:tc>
        <w:tc>
          <w:tcPr>
            <w:tcW w:w="1980" w:type="dxa"/>
            <w:vAlign w:val="bottom"/>
          </w:tcPr>
          <w:p>
            <w:pPr>
              <w:ind w:left="160"/>
              <w:spacing w:after="0"/>
              <w:rPr>
                <w:sz w:val="20"/>
                <w:szCs w:val="20"/>
                <w:color w:val="auto"/>
              </w:rPr>
            </w:pPr>
            <w:r>
              <w:rPr>
                <w:rFonts w:ascii="Arial" w:cs="Arial" w:eastAsia="Arial" w:hAnsi="Arial"/>
                <w:sz w:val="14"/>
                <w:szCs w:val="14"/>
                <w:color w:val="auto"/>
              </w:rPr>
              <w:t>Government Services</w:t>
            </w:r>
          </w:p>
        </w:tc>
        <w:tc>
          <w:tcPr>
            <w:tcW w:w="1960" w:type="dxa"/>
            <w:vAlign w:val="bottom"/>
          </w:tcPr>
          <w:p>
            <w:pPr>
              <w:ind w:left="140"/>
              <w:spacing w:after="0"/>
              <w:rPr>
                <w:sz w:val="20"/>
                <w:szCs w:val="20"/>
                <w:color w:val="auto"/>
              </w:rPr>
            </w:pPr>
            <w:r>
              <w:rPr>
                <w:rFonts w:ascii="Arial" w:cs="Arial" w:eastAsia="Arial" w:hAnsi="Arial"/>
                <w:sz w:val="14"/>
                <w:szCs w:val="14"/>
                <w:color w:val="auto"/>
                <w:w w:val="91"/>
              </w:rPr>
              <w:t>Common Stock (46,163 shares)</w:t>
            </w:r>
          </w:p>
        </w:tc>
      </w:tr>
      <w:tr>
        <w:trPr>
          <w:trHeight w:val="615"/>
        </w:trPr>
        <w:tc>
          <w:tcPr>
            <w:tcW w:w="2040" w:type="dxa"/>
            <w:vAlign w:val="bottom"/>
          </w:tcPr>
          <w:p>
            <w:pPr>
              <w:spacing w:after="0"/>
              <w:rPr>
                <w:sz w:val="20"/>
                <w:szCs w:val="20"/>
                <w:color w:val="auto"/>
              </w:rPr>
            </w:pPr>
            <w:r>
              <w:rPr>
                <w:rFonts w:ascii="Arial" w:cs="Arial" w:eastAsia="Arial" w:hAnsi="Arial"/>
                <w:sz w:val="14"/>
                <w:szCs w:val="14"/>
                <w:color w:val="auto"/>
              </w:rPr>
              <w:t>Corporate Visions, Inc.</w:t>
            </w:r>
          </w:p>
        </w:tc>
        <w:tc>
          <w:tcPr>
            <w:tcW w:w="1980" w:type="dxa"/>
            <w:vAlign w:val="bottom"/>
          </w:tcPr>
          <w:p>
            <w:pPr>
              <w:ind w:left="160"/>
              <w:spacing w:after="0"/>
              <w:rPr>
                <w:sz w:val="20"/>
                <w:szCs w:val="20"/>
                <w:color w:val="auto"/>
              </w:rPr>
            </w:pPr>
            <w:r>
              <w:rPr>
                <w:rFonts w:ascii="Arial" w:cs="Arial" w:eastAsia="Arial" w:hAnsi="Arial"/>
                <w:sz w:val="14"/>
                <w:szCs w:val="14"/>
                <w:color w:val="auto"/>
              </w:rPr>
              <w:t>Sales &amp; Marketing Services</w:t>
            </w:r>
          </w:p>
        </w:tc>
        <w:tc>
          <w:tcPr>
            <w:tcW w:w="1960" w:type="dxa"/>
            <w:vAlign w:val="bottom"/>
          </w:tcPr>
          <w:p>
            <w:pPr>
              <w:ind w:left="140"/>
              <w:spacing w:after="0"/>
              <w:rPr>
                <w:sz w:val="20"/>
                <w:szCs w:val="20"/>
                <w:color w:val="auto"/>
              </w:rPr>
            </w:pPr>
            <w:r>
              <w:rPr>
                <w:rFonts w:ascii="Arial" w:cs="Arial" w:eastAsia="Arial" w:hAnsi="Arial"/>
                <w:sz w:val="14"/>
                <w:szCs w:val="14"/>
                <w:color w:val="auto"/>
                <w:w w:val="96"/>
              </w:rPr>
              <w:t>Subordinated Debt (9% Cash,</w:t>
            </w:r>
          </w:p>
        </w:tc>
      </w:tr>
      <w:tr>
        <w:trPr>
          <w:trHeight w:val="182"/>
        </w:trPr>
        <w:tc>
          <w:tcPr>
            <w:tcW w:w="2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960" w:type="dxa"/>
            <w:vAlign w:val="bottom"/>
          </w:tcPr>
          <w:p>
            <w:pPr>
              <w:ind w:left="140"/>
              <w:spacing w:after="0"/>
              <w:rPr>
                <w:sz w:val="20"/>
                <w:szCs w:val="20"/>
                <w:color w:val="auto"/>
              </w:rPr>
            </w:pPr>
            <w:r>
              <w:rPr>
                <w:rFonts w:ascii="Arial" w:cs="Arial" w:eastAsia="Arial" w:hAnsi="Arial"/>
                <w:sz w:val="14"/>
                <w:szCs w:val="14"/>
                <w:color w:val="auto"/>
              </w:rPr>
              <w:t>2% PIK, Due 11/29/21)</w:t>
            </w:r>
          </w:p>
        </w:tc>
      </w:tr>
      <w:tr>
        <w:trPr>
          <w:trHeight w:val="297"/>
        </w:trPr>
        <w:tc>
          <w:tcPr>
            <w:tcW w:w="2040" w:type="dxa"/>
            <w:vAlign w:val="bottom"/>
          </w:tcPr>
          <w:p>
            <w:pPr>
              <w:spacing w:after="0"/>
              <w:rPr>
                <w:sz w:val="20"/>
                <w:szCs w:val="20"/>
                <w:color w:val="auto"/>
              </w:rPr>
            </w:pPr>
            <w:r>
              <w:rPr>
                <w:rFonts w:ascii="Arial" w:cs="Arial" w:eastAsia="Arial" w:hAnsi="Arial"/>
                <w:sz w:val="14"/>
                <w:szCs w:val="14"/>
                <w:color w:val="auto"/>
              </w:rPr>
              <w:t>Corporate Visions, Inc.</w:t>
            </w:r>
          </w:p>
        </w:tc>
        <w:tc>
          <w:tcPr>
            <w:tcW w:w="1980" w:type="dxa"/>
            <w:vAlign w:val="bottom"/>
          </w:tcPr>
          <w:p>
            <w:pPr>
              <w:ind w:left="160"/>
              <w:spacing w:after="0"/>
              <w:rPr>
                <w:sz w:val="20"/>
                <w:szCs w:val="20"/>
                <w:color w:val="auto"/>
              </w:rPr>
            </w:pPr>
            <w:r>
              <w:rPr>
                <w:rFonts w:ascii="Arial" w:cs="Arial" w:eastAsia="Arial" w:hAnsi="Arial"/>
                <w:sz w:val="14"/>
                <w:szCs w:val="14"/>
                <w:color w:val="auto"/>
              </w:rPr>
              <w:t>Sales &amp; Marketing Services</w:t>
            </w:r>
          </w:p>
        </w:tc>
        <w:tc>
          <w:tcPr>
            <w:tcW w:w="1960" w:type="dxa"/>
            <w:vAlign w:val="bottom"/>
          </w:tcPr>
          <w:p>
            <w:pPr>
              <w:ind w:left="140"/>
              <w:spacing w:after="0"/>
              <w:rPr>
                <w:sz w:val="20"/>
                <w:szCs w:val="20"/>
                <w:color w:val="auto"/>
              </w:rPr>
            </w:pPr>
            <w:r>
              <w:rPr>
                <w:rFonts w:ascii="Arial" w:cs="Arial" w:eastAsia="Arial" w:hAnsi="Arial"/>
                <w:sz w:val="14"/>
                <w:szCs w:val="14"/>
                <w:color w:val="auto"/>
                <w:w w:val="91"/>
              </w:rPr>
              <w:t>Common Stock (15,750 shares)</w:t>
            </w:r>
          </w:p>
        </w:tc>
      </w:tr>
      <w:tr>
        <w:trPr>
          <w:trHeight w:val="615"/>
        </w:trPr>
        <w:tc>
          <w:tcPr>
            <w:tcW w:w="2040" w:type="dxa"/>
            <w:vAlign w:val="bottom"/>
          </w:tcPr>
          <w:p>
            <w:pPr>
              <w:spacing w:after="0"/>
              <w:rPr>
                <w:sz w:val="20"/>
                <w:szCs w:val="20"/>
                <w:color w:val="auto"/>
              </w:rPr>
            </w:pPr>
            <w:r>
              <w:rPr>
                <w:rFonts w:ascii="Arial" w:cs="Arial" w:eastAsia="Arial" w:hAnsi="Arial"/>
                <w:sz w:val="14"/>
                <w:szCs w:val="14"/>
                <w:color w:val="auto"/>
              </w:rPr>
              <w:t>Currency Capital, LLC</w:t>
            </w:r>
          </w:p>
        </w:tc>
        <w:tc>
          <w:tcPr>
            <w:tcW w:w="1980" w:type="dxa"/>
            <w:vAlign w:val="bottom"/>
          </w:tcPr>
          <w:p>
            <w:pPr>
              <w:ind w:left="160"/>
              <w:spacing w:after="0"/>
              <w:rPr>
                <w:sz w:val="20"/>
                <w:szCs w:val="20"/>
                <w:color w:val="auto"/>
              </w:rPr>
            </w:pPr>
            <w:r>
              <w:rPr>
                <w:rFonts w:ascii="Arial" w:cs="Arial" w:eastAsia="Arial" w:hAnsi="Arial"/>
                <w:sz w:val="14"/>
                <w:szCs w:val="14"/>
                <w:color w:val="auto"/>
              </w:rPr>
              <w:t>Financial Services</w:t>
            </w:r>
          </w:p>
        </w:tc>
        <w:tc>
          <w:tcPr>
            <w:tcW w:w="1960" w:type="dxa"/>
            <w:vAlign w:val="bottom"/>
          </w:tcPr>
          <w:p>
            <w:pPr>
              <w:ind w:left="140"/>
              <w:spacing w:after="0"/>
              <w:rPr>
                <w:sz w:val="20"/>
                <w:szCs w:val="20"/>
                <w:color w:val="auto"/>
              </w:rPr>
            </w:pPr>
            <w:r>
              <w:rPr>
                <w:rFonts w:ascii="Arial" w:cs="Arial" w:eastAsia="Arial" w:hAnsi="Arial"/>
                <w:sz w:val="14"/>
                <w:szCs w:val="14"/>
                <w:color w:val="auto"/>
                <w:w w:val="98"/>
              </w:rPr>
              <w:t>First Lien Debt (12.67% Cash</w:t>
            </w:r>
          </w:p>
        </w:tc>
      </w:tr>
      <w:tr>
        <w:trPr>
          <w:trHeight w:val="158"/>
        </w:trPr>
        <w:tc>
          <w:tcPr>
            <w:tcW w:w="20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960" w:type="dxa"/>
            <w:vAlign w:val="bottom"/>
          </w:tcPr>
          <w:p>
            <w:pPr>
              <w:ind w:left="140"/>
              <w:spacing w:after="0" w:line="159" w:lineRule="exact"/>
              <w:rPr>
                <w:sz w:val="20"/>
                <w:szCs w:val="20"/>
                <w:color w:val="auto"/>
              </w:rPr>
            </w:pPr>
            <w:r>
              <w:rPr>
                <w:rFonts w:ascii="Arial" w:cs="Arial" w:eastAsia="Arial" w:hAnsi="Arial"/>
                <w:sz w:val="14"/>
                <w:szCs w:val="14"/>
                <w:color w:val="auto"/>
              </w:rPr>
              <w:t>(1 month LIBOR + 11%,</w:t>
            </w:r>
          </w:p>
        </w:tc>
      </w:tr>
      <w:tr>
        <w:trPr>
          <w:trHeight w:val="313"/>
        </w:trPr>
        <w:tc>
          <w:tcPr>
            <w:tcW w:w="2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60" w:type="dxa"/>
            <w:vAlign w:val="bottom"/>
          </w:tcPr>
          <w:p>
            <w:pPr>
              <w:ind w:left="140"/>
              <w:spacing w:after="0"/>
              <w:rPr>
                <w:sz w:val="20"/>
                <w:szCs w:val="20"/>
                <w:color w:val="auto"/>
              </w:rPr>
            </w:pPr>
            <w:r>
              <w:rPr>
                <w:rFonts w:ascii="Arial" w:cs="Arial" w:eastAsia="Arial" w:hAnsi="Arial"/>
                <w:sz w:val="14"/>
                <w:szCs w:val="14"/>
                <w:color w:val="auto"/>
                <w:w w:val="91"/>
              </w:rPr>
              <w:t xml:space="preserve">0.50% Floor) Due 1/20/22) </w:t>
            </w:r>
            <w:r>
              <w:rPr>
                <w:rFonts w:ascii="Arial" w:cs="Arial" w:eastAsia="Arial" w:hAnsi="Arial"/>
                <w:sz w:val="23"/>
                <w:szCs w:val="23"/>
                <w:color w:val="auto"/>
                <w:w w:val="91"/>
                <w:vertAlign w:val="superscript"/>
              </w:rPr>
              <w:t>(11)</w:t>
            </w:r>
          </w:p>
        </w:tc>
      </w:tr>
      <w:tr>
        <w:trPr>
          <w:trHeight w:val="173"/>
        </w:trPr>
        <w:tc>
          <w:tcPr>
            <w:tcW w:w="2040" w:type="dxa"/>
            <w:vAlign w:val="bottom"/>
          </w:tcPr>
          <w:p>
            <w:pPr>
              <w:spacing w:after="0"/>
              <w:rPr>
                <w:sz w:val="20"/>
                <w:szCs w:val="20"/>
                <w:color w:val="auto"/>
              </w:rPr>
            </w:pPr>
            <w:r>
              <w:rPr>
                <w:rFonts w:ascii="Arial" w:cs="Arial" w:eastAsia="Arial" w:hAnsi="Arial"/>
                <w:sz w:val="14"/>
                <w:szCs w:val="14"/>
                <w:color w:val="auto"/>
              </w:rPr>
              <w:t>Currency Capital, LLC</w:t>
            </w:r>
          </w:p>
        </w:tc>
        <w:tc>
          <w:tcPr>
            <w:tcW w:w="1980" w:type="dxa"/>
            <w:vAlign w:val="bottom"/>
          </w:tcPr>
          <w:p>
            <w:pPr>
              <w:ind w:left="160"/>
              <w:spacing w:after="0"/>
              <w:rPr>
                <w:sz w:val="20"/>
                <w:szCs w:val="20"/>
                <w:color w:val="auto"/>
              </w:rPr>
            </w:pPr>
            <w:r>
              <w:rPr>
                <w:rFonts w:ascii="Arial" w:cs="Arial" w:eastAsia="Arial" w:hAnsi="Arial"/>
                <w:sz w:val="14"/>
                <w:szCs w:val="14"/>
                <w:color w:val="auto"/>
              </w:rPr>
              <w:t>Financial Services</w:t>
            </w:r>
          </w:p>
        </w:tc>
        <w:tc>
          <w:tcPr>
            <w:tcW w:w="1960" w:type="dxa"/>
            <w:vAlign w:val="bottom"/>
          </w:tcPr>
          <w:p>
            <w:pPr>
              <w:ind w:left="140"/>
              <w:spacing w:after="0"/>
              <w:rPr>
                <w:sz w:val="20"/>
                <w:szCs w:val="20"/>
                <w:color w:val="auto"/>
              </w:rPr>
            </w:pPr>
            <w:r>
              <w:rPr>
                <w:rFonts w:ascii="Arial" w:cs="Arial" w:eastAsia="Arial" w:hAnsi="Arial"/>
                <w:sz w:val="14"/>
                <w:szCs w:val="14"/>
                <w:color w:val="auto"/>
              </w:rPr>
              <w:t>Class A Preferred Units</w:t>
            </w:r>
          </w:p>
        </w:tc>
      </w:tr>
      <w:tr>
        <w:trPr>
          <w:trHeight w:val="313"/>
        </w:trPr>
        <w:tc>
          <w:tcPr>
            <w:tcW w:w="2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60" w:type="dxa"/>
            <w:vAlign w:val="bottom"/>
          </w:tcPr>
          <w:p>
            <w:pPr>
              <w:ind w:left="140"/>
              <w:spacing w:after="0"/>
              <w:rPr>
                <w:sz w:val="20"/>
                <w:szCs w:val="20"/>
                <w:color w:val="auto"/>
              </w:rPr>
            </w:pPr>
            <w:r>
              <w:rPr>
                <w:rFonts w:ascii="Arial" w:cs="Arial" w:eastAsia="Arial" w:hAnsi="Arial"/>
                <w:sz w:val="14"/>
                <w:szCs w:val="14"/>
                <w:color w:val="auto"/>
              </w:rPr>
              <w:t xml:space="preserve">(2,000,000 units) </w:t>
            </w:r>
            <w:r>
              <w:rPr>
                <w:rFonts w:ascii="Arial" w:cs="Arial" w:eastAsia="Arial" w:hAnsi="Arial"/>
                <w:sz w:val="23"/>
                <w:szCs w:val="23"/>
                <w:color w:val="auto"/>
                <w:vertAlign w:val="superscript"/>
              </w:rPr>
              <w:t>(11)</w:t>
            </w:r>
          </w:p>
        </w:tc>
      </w:tr>
      <w:tr>
        <w:trPr>
          <w:trHeight w:val="514"/>
        </w:trPr>
        <w:tc>
          <w:tcPr>
            <w:tcW w:w="2040" w:type="dxa"/>
            <w:vAlign w:val="bottom"/>
          </w:tcPr>
          <w:p>
            <w:pPr>
              <w:spacing w:after="0"/>
              <w:rPr>
                <w:sz w:val="20"/>
                <w:szCs w:val="20"/>
                <w:color w:val="auto"/>
              </w:rPr>
            </w:pPr>
            <w:r>
              <w:rPr>
                <w:rFonts w:ascii="Arial" w:cs="Arial" w:eastAsia="Arial" w:hAnsi="Arial"/>
                <w:sz w:val="14"/>
                <w:szCs w:val="14"/>
                <w:color w:val="auto"/>
              </w:rPr>
              <w:t>Flavors Holdings, Inc.</w:t>
            </w:r>
          </w:p>
        </w:tc>
        <w:tc>
          <w:tcPr>
            <w:tcW w:w="1980" w:type="dxa"/>
            <w:vAlign w:val="bottom"/>
          </w:tcPr>
          <w:p>
            <w:pPr>
              <w:ind w:left="160"/>
              <w:spacing w:after="0"/>
              <w:rPr>
                <w:sz w:val="20"/>
                <w:szCs w:val="20"/>
                <w:color w:val="auto"/>
              </w:rPr>
            </w:pPr>
            <w:r>
              <w:rPr>
                <w:rFonts w:ascii="Arial" w:cs="Arial" w:eastAsia="Arial" w:hAnsi="Arial"/>
                <w:sz w:val="14"/>
                <w:szCs w:val="14"/>
                <w:color w:val="auto"/>
              </w:rPr>
              <w:t>Food Product Manufacturer</w:t>
            </w:r>
          </w:p>
        </w:tc>
        <w:tc>
          <w:tcPr>
            <w:tcW w:w="1960" w:type="dxa"/>
            <w:vAlign w:val="bottom"/>
          </w:tcPr>
          <w:p>
            <w:pPr>
              <w:ind w:left="140"/>
              <w:spacing w:after="0"/>
              <w:rPr>
                <w:sz w:val="20"/>
                <w:szCs w:val="20"/>
                <w:color w:val="auto"/>
              </w:rPr>
            </w:pPr>
            <w:r>
              <w:rPr>
                <w:rFonts w:ascii="Arial" w:cs="Arial" w:eastAsia="Arial" w:hAnsi="Arial"/>
                <w:sz w:val="14"/>
                <w:szCs w:val="14"/>
                <w:color w:val="auto"/>
                <w:w w:val="93"/>
              </w:rPr>
              <w:t>First Lien Debt (8.05% Cash (3</w:t>
            </w:r>
          </w:p>
        </w:tc>
      </w:tr>
      <w:tr>
        <w:trPr>
          <w:trHeight w:val="149"/>
        </w:trPr>
        <w:tc>
          <w:tcPr>
            <w:tcW w:w="20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960" w:type="dxa"/>
            <w:vAlign w:val="bottom"/>
          </w:tcPr>
          <w:p>
            <w:pPr>
              <w:ind w:left="140"/>
              <w:spacing w:after="0" w:line="149" w:lineRule="exact"/>
              <w:rPr>
                <w:sz w:val="20"/>
                <w:szCs w:val="20"/>
                <w:color w:val="auto"/>
              </w:rPr>
            </w:pPr>
            <w:r>
              <w:rPr>
                <w:rFonts w:ascii="Arial" w:cs="Arial" w:eastAsia="Arial" w:hAnsi="Arial"/>
                <w:sz w:val="14"/>
                <w:szCs w:val="14"/>
                <w:color w:val="auto"/>
              </w:rPr>
              <w:t>month LIBOR + 5.75%, 1%</w:t>
            </w:r>
          </w:p>
        </w:tc>
      </w:tr>
      <w:tr>
        <w:trPr>
          <w:trHeight w:val="182"/>
        </w:trPr>
        <w:tc>
          <w:tcPr>
            <w:tcW w:w="2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960" w:type="dxa"/>
            <w:vAlign w:val="bottom"/>
          </w:tcPr>
          <w:p>
            <w:pPr>
              <w:ind w:left="140"/>
              <w:spacing w:after="0"/>
              <w:rPr>
                <w:sz w:val="20"/>
                <w:szCs w:val="20"/>
                <w:color w:val="auto"/>
              </w:rPr>
            </w:pPr>
            <w:r>
              <w:rPr>
                <w:rFonts w:ascii="Arial" w:cs="Arial" w:eastAsia="Arial" w:hAnsi="Arial"/>
                <w:sz w:val="14"/>
                <w:szCs w:val="14"/>
                <w:color w:val="auto"/>
              </w:rPr>
              <w:t>Floor), Due 4/3/20)</w:t>
            </w:r>
          </w:p>
        </w:tc>
      </w:tr>
      <w:tr>
        <w:trPr>
          <w:trHeight w:val="263"/>
        </w:trPr>
        <w:tc>
          <w:tcPr>
            <w:tcW w:w="2040" w:type="dxa"/>
            <w:vAlign w:val="bottom"/>
          </w:tcPr>
          <w:p>
            <w:pPr>
              <w:spacing w:after="0"/>
              <w:rPr>
                <w:sz w:val="20"/>
                <w:szCs w:val="20"/>
                <w:color w:val="auto"/>
              </w:rPr>
            </w:pPr>
            <w:r>
              <w:rPr>
                <w:rFonts w:ascii="Arial" w:cs="Arial" w:eastAsia="Arial" w:hAnsi="Arial"/>
                <w:sz w:val="14"/>
                <w:szCs w:val="14"/>
                <w:color w:val="auto"/>
              </w:rPr>
              <w:t>Flavors Holdings, Inc.</w:t>
            </w:r>
          </w:p>
        </w:tc>
        <w:tc>
          <w:tcPr>
            <w:tcW w:w="1980" w:type="dxa"/>
            <w:vAlign w:val="bottom"/>
          </w:tcPr>
          <w:p>
            <w:pPr>
              <w:ind w:left="160"/>
              <w:spacing w:after="0"/>
              <w:rPr>
                <w:sz w:val="20"/>
                <w:szCs w:val="20"/>
                <w:color w:val="auto"/>
              </w:rPr>
            </w:pPr>
            <w:r>
              <w:rPr>
                <w:rFonts w:ascii="Arial" w:cs="Arial" w:eastAsia="Arial" w:hAnsi="Arial"/>
                <w:sz w:val="14"/>
                <w:szCs w:val="14"/>
                <w:color w:val="auto"/>
              </w:rPr>
              <w:t>Food Product Manufacturer</w:t>
            </w:r>
          </w:p>
        </w:tc>
        <w:tc>
          <w:tcPr>
            <w:tcW w:w="1960" w:type="dxa"/>
            <w:vAlign w:val="bottom"/>
          </w:tcPr>
          <w:p>
            <w:pPr>
              <w:ind w:left="140"/>
              <w:spacing w:after="0"/>
              <w:rPr>
                <w:sz w:val="20"/>
                <w:szCs w:val="20"/>
                <w:color w:val="auto"/>
              </w:rPr>
            </w:pPr>
            <w:r>
              <w:rPr>
                <w:rFonts w:ascii="Arial" w:cs="Arial" w:eastAsia="Arial" w:hAnsi="Arial"/>
                <w:sz w:val="14"/>
                <w:szCs w:val="14"/>
                <w:color w:val="auto"/>
              </w:rPr>
              <w:t>Second Lien Debt (12.30%</w:t>
            </w:r>
          </w:p>
        </w:tc>
      </w:tr>
      <w:tr>
        <w:trPr>
          <w:trHeight w:val="149"/>
        </w:trPr>
        <w:tc>
          <w:tcPr>
            <w:tcW w:w="20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960" w:type="dxa"/>
            <w:vAlign w:val="bottom"/>
          </w:tcPr>
          <w:p>
            <w:pPr>
              <w:ind w:left="140"/>
              <w:spacing w:after="0" w:line="149" w:lineRule="exact"/>
              <w:rPr>
                <w:sz w:val="20"/>
                <w:szCs w:val="20"/>
                <w:color w:val="auto"/>
              </w:rPr>
            </w:pPr>
            <w:r>
              <w:rPr>
                <w:rFonts w:ascii="Arial" w:cs="Arial" w:eastAsia="Arial" w:hAnsi="Arial"/>
                <w:sz w:val="14"/>
                <w:szCs w:val="14"/>
                <w:color w:val="auto"/>
                <w:w w:val="96"/>
              </w:rPr>
              <w:t>Cash (3 month LIBOR + 10%,</w:t>
            </w:r>
          </w:p>
        </w:tc>
      </w:tr>
      <w:tr>
        <w:trPr>
          <w:trHeight w:val="182"/>
        </w:trPr>
        <w:tc>
          <w:tcPr>
            <w:tcW w:w="2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960" w:type="dxa"/>
            <w:vAlign w:val="bottom"/>
          </w:tcPr>
          <w:p>
            <w:pPr>
              <w:ind w:left="140"/>
              <w:spacing w:after="0"/>
              <w:rPr>
                <w:sz w:val="20"/>
                <w:szCs w:val="20"/>
                <w:color w:val="auto"/>
              </w:rPr>
            </w:pPr>
            <w:r>
              <w:rPr>
                <w:rFonts w:ascii="Arial" w:cs="Arial" w:eastAsia="Arial" w:hAnsi="Arial"/>
                <w:sz w:val="14"/>
                <w:szCs w:val="14"/>
                <w:color w:val="auto"/>
              </w:rPr>
              <w:t>1% Floor), Due 10/3/21)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-5137150</wp:posOffset>
            </wp:positionV>
            <wp:extent cx="7246620"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-4742815</wp:posOffset>
            </wp:positionV>
            <wp:extent cx="724662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-4537075</wp:posOffset>
            </wp:positionV>
            <wp:extent cx="724662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-4253865</wp:posOffset>
            </wp:positionV>
            <wp:extent cx="7246620"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-3928110</wp:posOffset>
            </wp:positionV>
            <wp:extent cx="724662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-3722370</wp:posOffset>
            </wp:positionV>
            <wp:extent cx="7246620"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-3396615</wp:posOffset>
            </wp:positionV>
            <wp:extent cx="724662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-3190240</wp:posOffset>
            </wp:positionV>
            <wp:extent cx="7246620" cy="3860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-2710180</wp:posOffset>
            </wp:positionV>
            <wp:extent cx="724662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-2504440</wp:posOffset>
            </wp:positionV>
            <wp:extent cx="7246620" cy="102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-2298700</wp:posOffset>
            </wp:positionV>
            <wp:extent cx="724662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-2015490</wp:posOffset>
            </wp:positionV>
            <wp:extent cx="7246620"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-1809750</wp:posOffset>
            </wp:positionV>
            <wp:extent cx="7246620"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-1604010</wp:posOffset>
            </wp:positionV>
            <wp:extent cx="724662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-1200785</wp:posOffset>
            </wp:positionV>
            <wp:extent cx="7246620"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-875030</wp:posOffset>
            </wp:positionV>
            <wp:extent cx="7246620"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-669290</wp:posOffset>
            </wp:positionV>
            <wp:extent cx="7246620" cy="283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jc w:val="right"/>
              <w:ind w:right="148"/>
              <w:spacing w:after="0"/>
              <w:rPr>
                <w:sz w:val="20"/>
                <w:szCs w:val="20"/>
                <w:color w:val="auto"/>
              </w:rPr>
            </w:pPr>
            <w:r>
              <w:rPr>
                <w:rFonts w:ascii="Arial" w:cs="Arial" w:eastAsia="Arial" w:hAnsi="Arial"/>
                <w:sz w:val="14"/>
                <w:szCs w:val="14"/>
                <w:color w:val="auto"/>
              </w:rPr>
              <w:t>5,000</w:t>
            </w:r>
          </w:p>
        </w:tc>
        <w:tc>
          <w:tcPr>
            <w:tcW w:w="1140" w:type="dxa"/>
            <w:vAlign w:val="bottom"/>
          </w:tcPr>
          <w:p>
            <w:pPr>
              <w:jc w:val="right"/>
              <w:spacing w:after="0"/>
              <w:rPr>
                <w:sz w:val="20"/>
                <w:szCs w:val="20"/>
                <w:color w:val="auto"/>
              </w:rPr>
            </w:pPr>
            <w:r>
              <w:rPr>
                <w:rFonts w:ascii="Arial" w:cs="Arial" w:eastAsia="Arial" w:hAnsi="Arial"/>
                <w:sz w:val="14"/>
                <w:szCs w:val="14"/>
                <w:color w:val="auto"/>
              </w:rPr>
              <w:t>4,886</w:t>
            </w:r>
          </w:p>
        </w:tc>
        <w:tc>
          <w:tcPr>
            <w:tcW w:w="2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4,886</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2.2%</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4,886</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4,886</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2.2%</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258</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80</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485"/>
        </w:trPr>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264</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178</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522</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258</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3"/>
        </w:trPr>
        <w:tc>
          <w:tcPr>
            <w:tcW w:w="600" w:type="dxa"/>
            <w:vAlign w:val="bottom"/>
          </w:tcPr>
          <w:p>
            <w:pPr>
              <w:jc w:val="right"/>
              <w:ind w:right="148"/>
              <w:spacing w:after="0"/>
              <w:rPr>
                <w:sz w:val="20"/>
                <w:szCs w:val="20"/>
                <w:color w:val="auto"/>
              </w:rPr>
            </w:pPr>
            <w:r>
              <w:rPr>
                <w:rFonts w:ascii="Arial" w:cs="Arial" w:eastAsia="Arial" w:hAnsi="Arial"/>
                <w:sz w:val="14"/>
                <w:szCs w:val="14"/>
                <w:color w:val="auto"/>
                <w:w w:val="83"/>
              </w:rPr>
              <w:t>21,550</w:t>
            </w:r>
          </w:p>
        </w:tc>
        <w:tc>
          <w:tcPr>
            <w:tcW w:w="1140" w:type="dxa"/>
            <w:vAlign w:val="bottom"/>
          </w:tcPr>
          <w:p>
            <w:pPr>
              <w:jc w:val="right"/>
              <w:spacing w:after="0"/>
              <w:rPr>
                <w:sz w:val="20"/>
                <w:szCs w:val="20"/>
                <w:color w:val="auto"/>
              </w:rPr>
            </w:pPr>
            <w:r>
              <w:rPr>
                <w:rFonts w:ascii="Arial" w:cs="Arial" w:eastAsia="Arial" w:hAnsi="Arial"/>
                <w:sz w:val="14"/>
                <w:szCs w:val="14"/>
                <w:color w:val="auto"/>
              </w:rPr>
              <w:t>21,550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958</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21,550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958</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65"/>
        </w:trPr>
        <w:tc>
          <w:tcPr>
            <w:tcW w:w="600" w:type="dxa"/>
            <w:vAlign w:val="bottom"/>
          </w:tcPr>
          <w:p>
            <w:pPr>
              <w:jc w:val="right"/>
              <w:ind w:right="148"/>
              <w:spacing w:after="0"/>
              <w:rPr>
                <w:sz w:val="20"/>
                <w:szCs w:val="20"/>
                <w:color w:val="auto"/>
              </w:rPr>
            </w:pPr>
            <w:r>
              <w:rPr>
                <w:rFonts w:ascii="Arial" w:cs="Arial" w:eastAsia="Arial" w:hAnsi="Arial"/>
                <w:sz w:val="14"/>
                <w:szCs w:val="14"/>
                <w:color w:val="auto"/>
              </w:rPr>
              <w:t>9,015</w:t>
            </w:r>
          </w:p>
        </w:tc>
        <w:tc>
          <w:tcPr>
            <w:tcW w:w="1140" w:type="dxa"/>
            <w:vAlign w:val="bottom"/>
          </w:tcPr>
          <w:p>
            <w:pPr>
              <w:jc w:val="right"/>
              <w:spacing w:after="0"/>
              <w:rPr>
                <w:sz w:val="20"/>
                <w:szCs w:val="20"/>
                <w:color w:val="auto"/>
              </w:rPr>
            </w:pPr>
            <w:r>
              <w:rPr>
                <w:rFonts w:ascii="Arial" w:cs="Arial" w:eastAsia="Arial" w:hAnsi="Arial"/>
                <w:sz w:val="14"/>
                <w:szCs w:val="14"/>
                <w:color w:val="auto"/>
              </w:rPr>
              <w:t>9,015</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9,015</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4.1%</w:t>
            </w:r>
          </w:p>
        </w:tc>
      </w:tr>
      <w:tr>
        <w:trPr>
          <w:trHeight w:val="296"/>
        </w:trPr>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1,541</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0.7%</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10,015</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10,556</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4.8%</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600" w:type="dxa"/>
            <w:vAlign w:val="bottom"/>
          </w:tcPr>
          <w:p>
            <w:pPr>
              <w:jc w:val="right"/>
              <w:ind w:right="148"/>
              <w:spacing w:after="0"/>
              <w:rPr>
                <w:sz w:val="20"/>
                <w:szCs w:val="20"/>
                <w:color w:val="auto"/>
              </w:rPr>
            </w:pPr>
            <w:r>
              <w:rPr>
                <w:rFonts w:ascii="Arial" w:cs="Arial" w:eastAsia="Arial" w:hAnsi="Arial"/>
                <w:sz w:val="14"/>
                <w:szCs w:val="14"/>
                <w:color w:val="auto"/>
                <w:w w:val="83"/>
              </w:rPr>
              <w:t>18,250</w:t>
            </w:r>
          </w:p>
        </w:tc>
        <w:tc>
          <w:tcPr>
            <w:tcW w:w="1140" w:type="dxa"/>
            <w:vAlign w:val="bottom"/>
          </w:tcPr>
          <w:p>
            <w:pPr>
              <w:jc w:val="right"/>
              <w:spacing w:after="0"/>
              <w:rPr>
                <w:sz w:val="20"/>
                <w:szCs w:val="20"/>
                <w:color w:val="auto"/>
              </w:rPr>
            </w:pPr>
            <w:r>
              <w:rPr>
                <w:rFonts w:ascii="Arial" w:cs="Arial" w:eastAsia="Arial" w:hAnsi="Arial"/>
                <w:sz w:val="14"/>
                <w:szCs w:val="14"/>
                <w:color w:val="auto"/>
              </w:rPr>
              <w:t>18,250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17,431</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8.0%</w:t>
            </w:r>
          </w:p>
        </w:tc>
      </w:tr>
      <w:tr>
        <w:trPr>
          <w:trHeight w:val="296"/>
        </w:trPr>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1,575</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640</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19,825</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18,071</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8.3%</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3"/>
        </w:trPr>
        <w:tc>
          <w:tcPr>
            <w:tcW w:w="600" w:type="dxa"/>
            <w:vAlign w:val="bottom"/>
          </w:tcPr>
          <w:p>
            <w:pPr>
              <w:jc w:val="right"/>
              <w:ind w:right="148"/>
              <w:spacing w:after="0"/>
              <w:rPr>
                <w:sz w:val="20"/>
                <w:szCs w:val="20"/>
                <w:color w:val="auto"/>
              </w:rPr>
            </w:pPr>
            <w:r>
              <w:rPr>
                <w:rFonts w:ascii="Arial" w:cs="Arial" w:eastAsia="Arial" w:hAnsi="Arial"/>
                <w:sz w:val="14"/>
                <w:szCs w:val="14"/>
                <w:color w:val="auto"/>
                <w:w w:val="83"/>
              </w:rPr>
              <w:t>17,000</w:t>
            </w:r>
          </w:p>
        </w:tc>
        <w:tc>
          <w:tcPr>
            <w:tcW w:w="1140" w:type="dxa"/>
            <w:vAlign w:val="bottom"/>
          </w:tcPr>
          <w:p>
            <w:pPr>
              <w:jc w:val="right"/>
              <w:spacing w:after="0"/>
              <w:rPr>
                <w:sz w:val="20"/>
                <w:szCs w:val="20"/>
                <w:color w:val="auto"/>
              </w:rPr>
            </w:pPr>
            <w:r>
              <w:rPr>
                <w:rFonts w:ascii="Arial" w:cs="Arial" w:eastAsia="Arial" w:hAnsi="Arial"/>
                <w:sz w:val="14"/>
                <w:szCs w:val="14"/>
                <w:color w:val="auto"/>
              </w:rPr>
              <w:t>17,000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17,000</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7.8%</w:t>
            </w:r>
          </w:p>
        </w:tc>
      </w:tr>
      <w:tr>
        <w:trPr>
          <w:trHeight w:val="485"/>
        </w:trPr>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19,000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19,000</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8.7%</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3"/>
        </w:trPr>
        <w:tc>
          <w:tcPr>
            <w:tcW w:w="600" w:type="dxa"/>
            <w:vAlign w:val="bottom"/>
          </w:tcPr>
          <w:p>
            <w:pPr>
              <w:jc w:val="right"/>
              <w:ind w:right="148"/>
              <w:spacing w:after="0"/>
              <w:rPr>
                <w:sz w:val="20"/>
                <w:szCs w:val="20"/>
                <w:color w:val="auto"/>
              </w:rPr>
            </w:pPr>
            <w:r>
              <w:rPr>
                <w:rFonts w:ascii="Arial" w:cs="Arial" w:eastAsia="Arial" w:hAnsi="Arial"/>
                <w:sz w:val="14"/>
                <w:szCs w:val="14"/>
                <w:color w:val="auto"/>
              </w:rPr>
              <w:t>6,600</w:t>
            </w:r>
          </w:p>
        </w:tc>
        <w:tc>
          <w:tcPr>
            <w:tcW w:w="1140" w:type="dxa"/>
            <w:vAlign w:val="bottom"/>
          </w:tcPr>
          <w:p>
            <w:pPr>
              <w:jc w:val="right"/>
              <w:spacing w:after="0"/>
              <w:rPr>
                <w:sz w:val="20"/>
                <w:szCs w:val="20"/>
                <w:color w:val="auto"/>
              </w:rPr>
            </w:pPr>
            <w:r>
              <w:rPr>
                <w:rFonts w:ascii="Arial" w:cs="Arial" w:eastAsia="Arial" w:hAnsi="Arial"/>
                <w:sz w:val="14"/>
                <w:szCs w:val="14"/>
                <w:color w:val="auto"/>
              </w:rPr>
              <w:t>6,503</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6,023</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2.8%</w:t>
            </w:r>
          </w:p>
        </w:tc>
      </w:tr>
      <w:tr>
        <w:trPr>
          <w:trHeight w:val="593"/>
        </w:trPr>
        <w:tc>
          <w:tcPr>
            <w:tcW w:w="600" w:type="dxa"/>
            <w:vAlign w:val="bottom"/>
          </w:tcPr>
          <w:p>
            <w:pPr>
              <w:jc w:val="right"/>
              <w:ind w:right="148"/>
              <w:spacing w:after="0"/>
              <w:rPr>
                <w:sz w:val="20"/>
                <w:szCs w:val="20"/>
                <w:color w:val="auto"/>
              </w:rPr>
            </w:pPr>
            <w:r>
              <w:rPr>
                <w:rFonts w:ascii="Arial" w:cs="Arial" w:eastAsia="Arial" w:hAnsi="Arial"/>
                <w:sz w:val="14"/>
                <w:szCs w:val="14"/>
                <w:color w:val="auto"/>
                <w:w w:val="83"/>
              </w:rPr>
              <w:t>12,000</w:t>
            </w:r>
          </w:p>
        </w:tc>
        <w:tc>
          <w:tcPr>
            <w:tcW w:w="1140" w:type="dxa"/>
            <w:vAlign w:val="bottom"/>
          </w:tcPr>
          <w:p>
            <w:pPr>
              <w:jc w:val="right"/>
              <w:spacing w:after="0"/>
              <w:rPr>
                <w:sz w:val="20"/>
                <w:szCs w:val="20"/>
                <w:color w:val="auto"/>
              </w:rPr>
            </w:pPr>
            <w:r>
              <w:rPr>
                <w:rFonts w:ascii="Arial" w:cs="Arial" w:eastAsia="Arial" w:hAnsi="Arial"/>
                <w:sz w:val="14"/>
                <w:szCs w:val="14"/>
                <w:color w:val="auto"/>
              </w:rPr>
              <w:t>11,757</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10,923</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5.0%</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18,260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16,946</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7.8%</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2">
            <w:col w:w="6140" w:space="720"/>
            <w:col w:w="456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MC Sign Lessor Corp.</w:t>
            </w:r>
          </w:p>
        </w:tc>
        <w:tc>
          <w:tcPr>
            <w:tcW w:w="21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Advertising &amp; Marketing</w:t>
            </w:r>
          </w:p>
        </w:tc>
        <w:tc>
          <w:tcPr>
            <w:tcW w:w="2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First Lien Debt (8.66% Cash (1</w:t>
            </w:r>
          </w:p>
        </w:tc>
        <w:tc>
          <w:tcPr>
            <w:tcW w:w="13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8"/>
        </w:trPr>
        <w:tc>
          <w:tcPr>
            <w:tcW w:w="1760" w:type="dxa"/>
            <w:vAlign w:val="bottom"/>
            <w:shd w:val="clear" w:color="auto" w:fill="CCEEFF"/>
          </w:tcPr>
          <w:p>
            <w:pPr>
              <w:spacing w:after="0"/>
              <w:rPr>
                <w:sz w:val="13"/>
                <w:szCs w:val="13"/>
                <w:color w:val="auto"/>
              </w:rPr>
            </w:pPr>
          </w:p>
        </w:tc>
        <w:tc>
          <w:tcPr>
            <w:tcW w:w="214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Services</w:t>
            </w:r>
          </w:p>
        </w:tc>
        <w:tc>
          <w:tcPr>
            <w:tcW w:w="254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month LIBOR + 7.0%, 1%</w:t>
            </w:r>
          </w:p>
        </w:tc>
        <w:tc>
          <w:tcPr>
            <w:tcW w:w="13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98"/>
        </w:trPr>
        <w:tc>
          <w:tcPr>
            <w:tcW w:w="17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540" w:type="dxa"/>
            <w:vAlign w:val="bottom"/>
            <w:shd w:val="clear" w:color="auto" w:fill="CCEEFF"/>
          </w:tcPr>
          <w:p>
            <w:pPr>
              <w:ind w:left="260"/>
              <w:spacing w:after="0" w:line="198" w:lineRule="exact"/>
              <w:rPr>
                <w:sz w:val="20"/>
                <w:szCs w:val="20"/>
                <w:color w:val="auto"/>
              </w:rPr>
            </w:pPr>
            <w:r>
              <w:rPr>
                <w:rFonts w:ascii="Arial" w:cs="Arial" w:eastAsia="Arial" w:hAnsi="Arial"/>
                <w:sz w:val="14"/>
                <w:szCs w:val="14"/>
                <w:color w:val="auto"/>
              </w:rPr>
              <w:t>Floor), Due 12/22/22)</w:t>
            </w:r>
            <w:r>
              <w:rPr>
                <w:rFonts w:ascii="Arial" w:cs="Arial" w:eastAsia="Arial" w:hAnsi="Arial"/>
                <w:sz w:val="22"/>
                <w:szCs w:val="22"/>
                <w:color w:val="auto"/>
                <w:vertAlign w:val="superscript"/>
              </w:rPr>
              <w:t>(12)</w:t>
            </w:r>
          </w:p>
        </w:tc>
        <w:tc>
          <w:tcPr>
            <w:tcW w:w="13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3,935</w:t>
            </w:r>
          </w:p>
        </w:tc>
        <w:tc>
          <w:tcPr>
            <w:tcW w:w="13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3,935</w:t>
            </w:r>
          </w:p>
        </w:tc>
        <w:tc>
          <w:tcPr>
            <w:tcW w:w="142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3,935</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 xml:space="preserve">Portfolio Company, Country </w:t>
            </w:r>
            <w:r>
              <w:rPr>
                <w:rFonts w:ascii="Arial" w:cs="Arial" w:eastAsia="Arial" w:hAnsi="Arial"/>
                <w:sz w:val="23"/>
                <w:szCs w:val="23"/>
                <w:b w:val="1"/>
                <w:bCs w:val="1"/>
                <w:color w:val="auto"/>
                <w:w w:val="89"/>
                <w:vertAlign w:val="superscript"/>
              </w:rPr>
              <w:t>(1)</w:t>
            </w:r>
            <w:r>
              <w:rPr>
                <w:rFonts w:ascii="Arial" w:cs="Arial" w:eastAsia="Arial" w:hAnsi="Arial"/>
                <w:sz w:val="23"/>
                <w:szCs w:val="23"/>
                <w:b w:val="1"/>
                <w:bCs w:val="1"/>
                <w:u w:val="single" w:color="auto"/>
                <w:color w:val="auto"/>
                <w:w w:val="89"/>
                <w:vertAlign w:val="superscript"/>
              </w:rPr>
              <w:t>,</w:t>
            </w:r>
            <w:r>
              <w:rPr>
                <w:rFonts w:ascii="Arial" w:cs="Arial" w:eastAsia="Arial" w:hAnsi="Arial"/>
                <w:sz w:val="14"/>
                <w:szCs w:val="14"/>
                <w:b w:val="1"/>
                <w:bCs w:val="1"/>
                <w:color w:val="auto"/>
                <w:w w:val="89"/>
              </w:rPr>
              <w:t xml:space="preserve"> </w:t>
            </w:r>
            <w:r>
              <w:rPr>
                <w:rFonts w:ascii="Arial" w:cs="Arial" w:eastAsia="Arial" w:hAnsi="Arial"/>
                <w:sz w:val="23"/>
                <w:szCs w:val="23"/>
                <w:b w:val="1"/>
                <w:bCs w:val="1"/>
                <w:color w:val="auto"/>
                <w:w w:val="89"/>
                <w:vertAlign w:val="superscript"/>
              </w:rPr>
              <w:t>(2), (3), (4)</w:t>
            </w:r>
          </w:p>
        </w:tc>
        <w:tc>
          <w:tcPr>
            <w:tcW w:w="16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4"/>
                <w:szCs w:val="14"/>
                <w:color w:val="auto"/>
              </w:rPr>
            </w:pPr>
          </w:p>
        </w:tc>
        <w:tc>
          <w:tcPr>
            <w:tcW w:w="18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Type of Investment</w:t>
            </w: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3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MC Sign Lessor Corp.</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 Marketing</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(8.66% Cash</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Services</w:t>
            </w:r>
          </w:p>
        </w:tc>
        <w:tc>
          <w:tcPr>
            <w:tcW w:w="196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(1 month LIBOR + 7.0%, 1%</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ind w:left="100"/>
              <w:spacing w:after="0" w:line="211" w:lineRule="exact"/>
              <w:rPr>
                <w:sz w:val="20"/>
                <w:szCs w:val="20"/>
                <w:color w:val="auto"/>
              </w:rPr>
            </w:pPr>
            <w:r>
              <w:rPr>
                <w:rFonts w:ascii="Arial" w:cs="Arial" w:eastAsia="Arial" w:hAnsi="Arial"/>
                <w:sz w:val="14"/>
                <w:szCs w:val="14"/>
                <w:color w:val="auto"/>
              </w:rPr>
              <w:t>Floor), Due 12/22/22)</w:t>
            </w:r>
            <w:r>
              <w:rPr>
                <w:rFonts w:ascii="Arial" w:cs="Arial" w:eastAsia="Arial" w:hAnsi="Arial"/>
                <w:sz w:val="23"/>
                <w:szCs w:val="23"/>
                <w:color w:val="auto"/>
                <w:vertAlign w:val="superscript"/>
              </w:rPr>
              <w:t>(13)</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3,935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3,935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Nth Degree, Inc.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(13.19% Cash</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9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 month LIBOR + 11.5%,</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9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 Floor), 2% PIK, Due</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12/14/20)</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7,236</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7,236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7,236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Nth Degree, Inc.</w:t>
            </w:r>
          </w:p>
        </w:tc>
        <w:tc>
          <w:tcPr>
            <w:tcW w:w="16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Business Services</w:t>
            </w:r>
          </w:p>
        </w:tc>
        <w:tc>
          <w:tcPr>
            <w:tcW w:w="196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rPr>
              <w:t>Preferred Stock (2,400 Units,</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ind w:left="100"/>
              <w:spacing w:after="0" w:line="211" w:lineRule="exact"/>
              <w:rPr>
                <w:sz w:val="20"/>
                <w:szCs w:val="20"/>
                <w:color w:val="auto"/>
              </w:rPr>
            </w:pPr>
            <w:r>
              <w:rPr>
                <w:rFonts w:ascii="Arial" w:cs="Arial" w:eastAsia="Arial" w:hAnsi="Arial"/>
                <w:sz w:val="14"/>
                <w:szCs w:val="14"/>
                <w:color w:val="auto"/>
              </w:rPr>
              <w:t xml:space="preserve">10% PIK dividend) </w:t>
            </w:r>
            <w:r>
              <w:rPr>
                <w:rFonts w:ascii="Arial" w:cs="Arial" w:eastAsia="Arial" w:hAnsi="Arial"/>
                <w:sz w:val="23"/>
                <w:szCs w:val="23"/>
                <w:color w:val="auto"/>
                <w:vertAlign w:val="superscript"/>
              </w:rPr>
              <w:t>(5)</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3,011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10,247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18,637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Sequoia Healthcare Management,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 Management</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(12% Cash,</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4% PIK, Due 7/17/19)</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8,706</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8,668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8,706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8,668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8,706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Spectra Services Holdings,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Refrigeration / HVAC</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(10% Cash,</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4% PIK, Due 12/27/22)</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7,525</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7,525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Spectra Services Holdings,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Refrigeration / HVAC</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Class A Units (1,283,824</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services</w:t>
            </w:r>
          </w:p>
        </w:tc>
        <w:tc>
          <w:tcPr>
            <w:tcW w:w="196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w w:val="98"/>
              </w:rPr>
              <w:t>units, 4% Cash dividend, 11%</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2"/>
                <w:szCs w:val="22"/>
                <w:color w:val="auto"/>
                <w:vertAlign w:val="superscript"/>
              </w:rPr>
              <w:t>(5)</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1,560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20"/>
                <w:szCs w:val="20"/>
                <w:color w:val="auto"/>
              </w:rPr>
            </w:pPr>
            <w:r>
              <w:rPr>
                <w:rFonts w:ascii="Arial" w:cs="Arial" w:eastAsia="Arial" w:hAnsi="Arial"/>
                <w:sz w:val="14"/>
                <w:szCs w:val="14"/>
                <w:color w:val="auto"/>
              </w:rPr>
              <w:t>Spectra Services Holdings, LLC</w:t>
            </w:r>
          </w:p>
        </w:tc>
        <w:tc>
          <w:tcPr>
            <w:tcW w:w="1960" w:type="dxa"/>
            <w:vAlign w:val="bottom"/>
          </w:tcPr>
          <w:p>
            <w:pPr>
              <w:ind w:left="360"/>
              <w:spacing w:after="0"/>
              <w:rPr>
                <w:sz w:val="20"/>
                <w:szCs w:val="20"/>
                <w:color w:val="auto"/>
              </w:rPr>
            </w:pPr>
            <w:r>
              <w:rPr>
                <w:rFonts w:ascii="Arial" w:cs="Arial" w:eastAsia="Arial" w:hAnsi="Arial"/>
                <w:sz w:val="14"/>
                <w:szCs w:val="14"/>
                <w:color w:val="auto"/>
              </w:rPr>
              <w:t>Refrigeration / HVAC</w:t>
            </w:r>
          </w:p>
        </w:tc>
        <w:tc>
          <w:tcPr>
            <w:tcW w:w="1940" w:type="dxa"/>
            <w:vAlign w:val="bottom"/>
          </w:tcPr>
          <w:p>
            <w:pPr>
              <w:ind w:left="180"/>
              <w:spacing w:after="0"/>
              <w:rPr>
                <w:sz w:val="20"/>
                <w:szCs w:val="20"/>
                <w:color w:val="auto"/>
              </w:rPr>
            </w:pPr>
            <w:r>
              <w:rPr>
                <w:rFonts w:ascii="Arial" w:cs="Arial" w:eastAsia="Arial" w:hAnsi="Arial"/>
                <w:sz w:val="14"/>
                <w:szCs w:val="14"/>
                <w:color w:val="auto"/>
              </w:rPr>
              <w:t>Class B Units (257 units)</w:t>
            </w:r>
          </w:p>
        </w:tc>
      </w:tr>
      <w:tr>
        <w:trPr>
          <w:trHeight w:val="182"/>
        </w:trPr>
        <w:tc>
          <w:tcPr>
            <w:tcW w:w="2280" w:type="dxa"/>
            <w:vAlign w:val="bottom"/>
          </w:tcPr>
          <w:p>
            <w:pPr>
              <w:spacing w:after="0"/>
              <w:rPr>
                <w:sz w:val="15"/>
                <w:szCs w:val="15"/>
                <w:color w:val="auto"/>
              </w:rPr>
            </w:pPr>
          </w:p>
        </w:tc>
        <w:tc>
          <w:tcPr>
            <w:tcW w:w="1960" w:type="dxa"/>
            <w:vAlign w:val="bottom"/>
          </w:tcPr>
          <w:p>
            <w:pPr>
              <w:ind w:left="360"/>
              <w:spacing w:after="0"/>
              <w:rPr>
                <w:sz w:val="20"/>
                <w:szCs w:val="20"/>
                <w:color w:val="auto"/>
              </w:rPr>
            </w:pPr>
            <w:r>
              <w:rPr>
                <w:rFonts w:ascii="Arial" w:cs="Arial" w:eastAsia="Arial" w:hAnsi="Arial"/>
                <w:sz w:val="14"/>
                <w:szCs w:val="14"/>
                <w:color w:val="auto"/>
              </w:rPr>
              <w:t>services</w:t>
            </w:r>
          </w:p>
        </w:tc>
        <w:tc>
          <w:tcPr>
            <w:tcW w:w="1940" w:type="dxa"/>
            <w:vAlign w:val="bottom"/>
          </w:tcPr>
          <w:p>
            <w:pPr>
              <w:spacing w:after="0"/>
              <w:rPr>
                <w:sz w:val="15"/>
                <w:szCs w:val="15"/>
                <w:color w:val="auto"/>
              </w:rPr>
            </w:pPr>
          </w:p>
        </w:tc>
      </w:tr>
      <w:tr>
        <w:trPr>
          <w:trHeight w:val="615"/>
        </w:trPr>
        <w:tc>
          <w:tcPr>
            <w:tcW w:w="2280" w:type="dxa"/>
            <w:vAlign w:val="bottom"/>
          </w:tcPr>
          <w:p>
            <w:pPr>
              <w:spacing w:after="0"/>
              <w:rPr>
                <w:sz w:val="20"/>
                <w:szCs w:val="20"/>
                <w:color w:val="auto"/>
              </w:rPr>
            </w:pPr>
            <w:r>
              <w:rPr>
                <w:rFonts w:ascii="Arial" w:cs="Arial" w:eastAsia="Arial" w:hAnsi="Arial"/>
                <w:sz w:val="14"/>
                <w:szCs w:val="14"/>
                <w:color w:val="auto"/>
              </w:rPr>
              <w:t>Sur La Table, Inc.</w:t>
            </w:r>
          </w:p>
        </w:tc>
        <w:tc>
          <w:tcPr>
            <w:tcW w:w="1960" w:type="dxa"/>
            <w:vAlign w:val="bottom"/>
          </w:tcPr>
          <w:p>
            <w:pPr>
              <w:ind w:left="360"/>
              <w:spacing w:after="0"/>
              <w:rPr>
                <w:sz w:val="20"/>
                <w:szCs w:val="20"/>
                <w:color w:val="auto"/>
              </w:rPr>
            </w:pPr>
            <w:r>
              <w:rPr>
                <w:rFonts w:ascii="Arial" w:cs="Arial" w:eastAsia="Arial" w:hAnsi="Arial"/>
                <w:sz w:val="14"/>
                <w:szCs w:val="14"/>
                <w:color w:val="auto"/>
              </w:rPr>
              <w:t>Retail</w:t>
            </w:r>
          </w:p>
        </w:tc>
        <w:tc>
          <w:tcPr>
            <w:tcW w:w="1940" w:type="dxa"/>
            <w:vAlign w:val="bottom"/>
          </w:tcPr>
          <w:p>
            <w:pPr>
              <w:ind w:left="180"/>
              <w:spacing w:after="0"/>
              <w:rPr>
                <w:sz w:val="20"/>
                <w:szCs w:val="20"/>
                <w:color w:val="auto"/>
              </w:rPr>
            </w:pPr>
            <w:r>
              <w:rPr>
                <w:rFonts w:ascii="Arial" w:cs="Arial" w:eastAsia="Arial" w:hAnsi="Arial"/>
                <w:sz w:val="14"/>
                <w:szCs w:val="14"/>
                <w:color w:val="auto"/>
              </w:rPr>
              <w:t>First Lien Debt (12% Cash,</w:t>
            </w:r>
          </w:p>
        </w:tc>
      </w:tr>
      <w:tr>
        <w:trPr>
          <w:trHeight w:val="182"/>
        </w:trPr>
        <w:tc>
          <w:tcPr>
            <w:tcW w:w="2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40" w:type="dxa"/>
            <w:vAlign w:val="bottom"/>
          </w:tcPr>
          <w:p>
            <w:pPr>
              <w:ind w:left="180"/>
              <w:spacing w:after="0"/>
              <w:rPr>
                <w:sz w:val="20"/>
                <w:szCs w:val="20"/>
                <w:color w:val="auto"/>
              </w:rPr>
            </w:pPr>
            <w:r>
              <w:rPr>
                <w:rFonts w:ascii="Arial" w:cs="Arial" w:eastAsia="Arial" w:hAnsi="Arial"/>
                <w:sz w:val="14"/>
                <w:szCs w:val="14"/>
                <w:color w:val="auto"/>
              </w:rPr>
              <w:t>Due 7/28/20)</w:t>
            </w:r>
          </w:p>
        </w:tc>
      </w:tr>
      <w:tr>
        <w:trPr>
          <w:trHeight w:val="615"/>
        </w:trPr>
        <w:tc>
          <w:tcPr>
            <w:tcW w:w="2280" w:type="dxa"/>
            <w:vAlign w:val="bottom"/>
          </w:tcPr>
          <w:p>
            <w:pPr>
              <w:spacing w:after="0"/>
              <w:rPr>
                <w:sz w:val="20"/>
                <w:szCs w:val="20"/>
                <w:color w:val="auto"/>
              </w:rPr>
            </w:pPr>
            <w:r>
              <w:rPr>
                <w:rFonts w:ascii="Arial" w:cs="Arial" w:eastAsia="Arial" w:hAnsi="Arial"/>
                <w:sz w:val="14"/>
                <w:szCs w:val="14"/>
                <w:color w:val="auto"/>
              </w:rPr>
              <w:t>Taylor Precision Products, Inc.</w:t>
            </w:r>
          </w:p>
        </w:tc>
        <w:tc>
          <w:tcPr>
            <w:tcW w:w="1960" w:type="dxa"/>
            <w:vAlign w:val="bottom"/>
          </w:tcPr>
          <w:p>
            <w:pPr>
              <w:ind w:left="360"/>
              <w:spacing w:after="0"/>
              <w:rPr>
                <w:sz w:val="20"/>
                <w:szCs w:val="20"/>
                <w:color w:val="auto"/>
              </w:rPr>
            </w:pPr>
            <w:r>
              <w:rPr>
                <w:rFonts w:ascii="Arial" w:cs="Arial" w:eastAsia="Arial" w:hAnsi="Arial"/>
                <w:sz w:val="14"/>
                <w:szCs w:val="14"/>
                <w:color w:val="auto"/>
              </w:rPr>
              <w:t>Household Product</w:t>
            </w:r>
          </w:p>
        </w:tc>
        <w:tc>
          <w:tcPr>
            <w:tcW w:w="1940" w:type="dxa"/>
            <w:vAlign w:val="bottom"/>
          </w:tcPr>
          <w:p>
            <w:pPr>
              <w:ind w:left="180"/>
              <w:spacing w:after="0"/>
              <w:rPr>
                <w:sz w:val="20"/>
                <w:szCs w:val="20"/>
                <w:color w:val="auto"/>
              </w:rPr>
            </w:pPr>
            <w:r>
              <w:rPr>
                <w:rFonts w:ascii="Arial" w:cs="Arial" w:eastAsia="Arial" w:hAnsi="Arial"/>
                <w:sz w:val="14"/>
                <w:szCs w:val="14"/>
                <w:color w:val="auto"/>
                <w:w w:val="93"/>
              </w:rPr>
              <w:t>Series C Preferred Stock (379</w:t>
            </w:r>
          </w:p>
        </w:tc>
      </w:tr>
      <w:tr>
        <w:trPr>
          <w:trHeight w:val="182"/>
        </w:trPr>
        <w:tc>
          <w:tcPr>
            <w:tcW w:w="2280" w:type="dxa"/>
            <w:vAlign w:val="bottom"/>
          </w:tcPr>
          <w:p>
            <w:pPr>
              <w:spacing w:after="0"/>
              <w:rPr>
                <w:sz w:val="15"/>
                <w:szCs w:val="15"/>
                <w:color w:val="auto"/>
              </w:rPr>
            </w:pPr>
          </w:p>
        </w:tc>
        <w:tc>
          <w:tcPr>
            <w:tcW w:w="1960" w:type="dxa"/>
            <w:vAlign w:val="bottom"/>
          </w:tcPr>
          <w:p>
            <w:pPr>
              <w:ind w:left="360"/>
              <w:spacing w:after="0"/>
              <w:rPr>
                <w:sz w:val="20"/>
                <w:szCs w:val="20"/>
                <w:color w:val="auto"/>
              </w:rPr>
            </w:pPr>
            <w:r>
              <w:rPr>
                <w:rFonts w:ascii="Arial" w:cs="Arial" w:eastAsia="Arial" w:hAnsi="Arial"/>
                <w:sz w:val="14"/>
                <w:szCs w:val="14"/>
                <w:color w:val="auto"/>
              </w:rPr>
              <w:t>Manufacturer</w:t>
            </w:r>
          </w:p>
        </w:tc>
        <w:tc>
          <w:tcPr>
            <w:tcW w:w="1940" w:type="dxa"/>
            <w:vAlign w:val="bottom"/>
          </w:tcPr>
          <w:p>
            <w:pPr>
              <w:ind w:left="180"/>
              <w:spacing w:after="0"/>
              <w:rPr>
                <w:sz w:val="20"/>
                <w:szCs w:val="20"/>
                <w:color w:val="auto"/>
              </w:rPr>
            </w:pPr>
            <w:r>
              <w:rPr>
                <w:rFonts w:ascii="Arial" w:cs="Arial" w:eastAsia="Arial" w:hAnsi="Arial"/>
                <w:sz w:val="14"/>
                <w:szCs w:val="14"/>
                <w:color w:val="auto"/>
              </w:rPr>
              <w:t>shares)</w:t>
            </w:r>
          </w:p>
        </w:tc>
      </w:tr>
      <w:tr>
        <w:trPr>
          <w:trHeight w:val="615"/>
        </w:trPr>
        <w:tc>
          <w:tcPr>
            <w:tcW w:w="2280" w:type="dxa"/>
            <w:vAlign w:val="bottom"/>
          </w:tcPr>
          <w:p>
            <w:pPr>
              <w:spacing w:after="0"/>
              <w:rPr>
                <w:sz w:val="20"/>
                <w:szCs w:val="20"/>
                <w:color w:val="auto"/>
              </w:rPr>
            </w:pPr>
            <w:r>
              <w:rPr>
                <w:rFonts w:ascii="Arial" w:cs="Arial" w:eastAsia="Arial" w:hAnsi="Arial"/>
                <w:sz w:val="14"/>
                <w:szCs w:val="14"/>
                <w:color w:val="auto"/>
              </w:rPr>
              <w:t>Vintage Stock, Inc.</w:t>
            </w:r>
          </w:p>
        </w:tc>
        <w:tc>
          <w:tcPr>
            <w:tcW w:w="1960" w:type="dxa"/>
            <w:vAlign w:val="bottom"/>
          </w:tcPr>
          <w:p>
            <w:pPr>
              <w:ind w:left="360"/>
              <w:spacing w:after="0"/>
              <w:rPr>
                <w:sz w:val="20"/>
                <w:szCs w:val="20"/>
                <w:color w:val="auto"/>
              </w:rPr>
            </w:pPr>
            <w:r>
              <w:rPr>
                <w:rFonts w:ascii="Arial" w:cs="Arial" w:eastAsia="Arial" w:hAnsi="Arial"/>
                <w:sz w:val="14"/>
                <w:szCs w:val="14"/>
                <w:color w:val="auto"/>
              </w:rPr>
              <w:t>Specialty Retail</w:t>
            </w:r>
          </w:p>
        </w:tc>
        <w:tc>
          <w:tcPr>
            <w:tcW w:w="1940" w:type="dxa"/>
            <w:vAlign w:val="bottom"/>
          </w:tcPr>
          <w:p>
            <w:pPr>
              <w:ind w:left="180"/>
              <w:spacing w:after="0"/>
              <w:rPr>
                <w:sz w:val="20"/>
                <w:szCs w:val="20"/>
                <w:color w:val="auto"/>
              </w:rPr>
            </w:pPr>
            <w:r>
              <w:rPr>
                <w:rFonts w:ascii="Arial" w:cs="Arial" w:eastAsia="Arial" w:hAnsi="Arial"/>
                <w:sz w:val="14"/>
                <w:szCs w:val="14"/>
                <w:color w:val="auto"/>
                <w:w w:val="94"/>
              </w:rPr>
              <w:t>First Lien Debt (14.16% Cash</w:t>
            </w:r>
          </w:p>
        </w:tc>
      </w:tr>
      <w:tr>
        <w:trPr>
          <w:trHeight w:val="149"/>
        </w:trPr>
        <w:tc>
          <w:tcPr>
            <w:tcW w:w="2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940" w:type="dxa"/>
            <w:vAlign w:val="bottom"/>
          </w:tcPr>
          <w:p>
            <w:pPr>
              <w:ind w:left="180"/>
              <w:spacing w:after="0" w:line="149" w:lineRule="exact"/>
              <w:rPr>
                <w:sz w:val="20"/>
                <w:szCs w:val="20"/>
                <w:color w:val="auto"/>
              </w:rPr>
            </w:pPr>
            <w:r>
              <w:rPr>
                <w:rFonts w:ascii="Arial" w:cs="Arial" w:eastAsia="Arial" w:hAnsi="Arial"/>
                <w:sz w:val="14"/>
                <w:szCs w:val="14"/>
                <w:color w:val="auto"/>
              </w:rPr>
              <w:t>(1 month LIBOR + 12.5%,</w:t>
            </w:r>
          </w:p>
        </w:tc>
      </w:tr>
      <w:tr>
        <w:trPr>
          <w:trHeight w:val="149"/>
        </w:trPr>
        <w:tc>
          <w:tcPr>
            <w:tcW w:w="2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940" w:type="dxa"/>
            <w:vAlign w:val="bottom"/>
          </w:tcPr>
          <w:p>
            <w:pPr>
              <w:ind w:left="180"/>
              <w:spacing w:after="0" w:line="149" w:lineRule="exact"/>
              <w:rPr>
                <w:sz w:val="20"/>
                <w:szCs w:val="20"/>
                <w:color w:val="auto"/>
              </w:rPr>
            </w:pPr>
            <w:r>
              <w:rPr>
                <w:rFonts w:ascii="Arial" w:cs="Arial" w:eastAsia="Arial" w:hAnsi="Arial"/>
                <w:sz w:val="14"/>
                <w:szCs w:val="14"/>
                <w:color w:val="auto"/>
              </w:rPr>
              <w:t>0.5% floor), 3% PIK, Due</w:t>
            </w:r>
          </w:p>
        </w:tc>
      </w:tr>
      <w:tr>
        <w:trPr>
          <w:trHeight w:val="182"/>
        </w:trPr>
        <w:tc>
          <w:tcPr>
            <w:tcW w:w="2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40" w:type="dxa"/>
            <w:vAlign w:val="bottom"/>
          </w:tcPr>
          <w:p>
            <w:pPr>
              <w:ind w:left="180"/>
              <w:spacing w:after="0"/>
              <w:rPr>
                <w:sz w:val="20"/>
                <w:szCs w:val="20"/>
                <w:color w:val="auto"/>
              </w:rPr>
            </w:pPr>
            <w:r>
              <w:rPr>
                <w:rFonts w:ascii="Arial" w:cs="Arial" w:eastAsia="Arial" w:hAnsi="Arial"/>
                <w:sz w:val="14"/>
                <w:szCs w:val="14"/>
                <w:color w:val="auto"/>
              </w:rPr>
              <w:t>11/3/21)</w:t>
            </w:r>
          </w:p>
        </w:tc>
      </w:tr>
      <w:tr>
        <w:trPr>
          <w:trHeight w:val="615"/>
        </w:trPr>
        <w:tc>
          <w:tcPr>
            <w:tcW w:w="2280" w:type="dxa"/>
            <w:vAlign w:val="bottom"/>
          </w:tcPr>
          <w:p>
            <w:pPr>
              <w:spacing w:after="0"/>
              <w:rPr>
                <w:sz w:val="20"/>
                <w:szCs w:val="20"/>
                <w:color w:val="auto"/>
              </w:rPr>
            </w:pPr>
            <w:r>
              <w:rPr>
                <w:rFonts w:ascii="Arial" w:cs="Arial" w:eastAsia="Arial" w:hAnsi="Arial"/>
                <w:sz w:val="14"/>
                <w:szCs w:val="14"/>
                <w:color w:val="auto"/>
              </w:rPr>
              <w:t>Vology, Inc.</w:t>
            </w:r>
          </w:p>
        </w:tc>
        <w:tc>
          <w:tcPr>
            <w:tcW w:w="1960" w:type="dxa"/>
            <w:vAlign w:val="bottom"/>
          </w:tcPr>
          <w:p>
            <w:pPr>
              <w:ind w:left="360"/>
              <w:spacing w:after="0"/>
              <w:rPr>
                <w:sz w:val="20"/>
                <w:szCs w:val="20"/>
                <w:color w:val="auto"/>
              </w:rPr>
            </w:pPr>
            <w:r>
              <w:rPr>
                <w:rFonts w:ascii="Arial" w:cs="Arial" w:eastAsia="Arial" w:hAnsi="Arial"/>
                <w:sz w:val="14"/>
                <w:szCs w:val="14"/>
                <w:color w:val="auto"/>
              </w:rPr>
              <w:t>Information Technology</w:t>
            </w:r>
          </w:p>
        </w:tc>
        <w:tc>
          <w:tcPr>
            <w:tcW w:w="1940" w:type="dxa"/>
            <w:vAlign w:val="bottom"/>
          </w:tcPr>
          <w:p>
            <w:pPr>
              <w:ind w:left="180"/>
              <w:spacing w:after="0"/>
              <w:rPr>
                <w:sz w:val="20"/>
                <w:szCs w:val="20"/>
                <w:color w:val="auto"/>
              </w:rPr>
            </w:pPr>
            <w:r>
              <w:rPr>
                <w:rFonts w:ascii="Arial" w:cs="Arial" w:eastAsia="Arial" w:hAnsi="Arial"/>
                <w:sz w:val="14"/>
                <w:szCs w:val="14"/>
                <w:color w:val="auto"/>
                <w:w w:val="91"/>
              </w:rPr>
              <w:t>Subordinated Debt (15% Cash</w:t>
            </w:r>
          </w:p>
        </w:tc>
      </w:tr>
      <w:tr>
        <w:trPr>
          <w:trHeight w:val="149"/>
        </w:trPr>
        <w:tc>
          <w:tcPr>
            <w:tcW w:w="2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940" w:type="dxa"/>
            <w:vAlign w:val="bottom"/>
          </w:tcPr>
          <w:p>
            <w:pPr>
              <w:ind w:left="180"/>
              <w:spacing w:after="0" w:line="149" w:lineRule="exact"/>
              <w:rPr>
                <w:sz w:val="20"/>
                <w:szCs w:val="20"/>
                <w:color w:val="auto"/>
              </w:rPr>
            </w:pPr>
            <w:r>
              <w:rPr>
                <w:rFonts w:ascii="Arial" w:cs="Arial" w:eastAsia="Arial" w:hAnsi="Arial"/>
                <w:sz w:val="14"/>
                <w:szCs w:val="14"/>
                <w:color w:val="auto"/>
              </w:rPr>
              <w:t>(3 month LIBOR + 14%, 1%</w:t>
            </w:r>
          </w:p>
        </w:tc>
      </w:tr>
      <w:tr>
        <w:trPr>
          <w:trHeight w:val="149"/>
        </w:trPr>
        <w:tc>
          <w:tcPr>
            <w:tcW w:w="2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940" w:type="dxa"/>
            <w:vAlign w:val="bottom"/>
          </w:tcPr>
          <w:p>
            <w:pPr>
              <w:ind w:left="180"/>
              <w:spacing w:after="0" w:line="149" w:lineRule="exact"/>
              <w:rPr>
                <w:sz w:val="20"/>
                <w:szCs w:val="20"/>
                <w:color w:val="auto"/>
              </w:rPr>
            </w:pPr>
            <w:r>
              <w:rPr>
                <w:rFonts w:ascii="Arial" w:cs="Arial" w:eastAsia="Arial" w:hAnsi="Arial"/>
                <w:sz w:val="14"/>
                <w:szCs w:val="14"/>
                <w:color w:val="auto"/>
              </w:rPr>
              <w:t>Ceiling), 4% PIK Due</w:t>
            </w:r>
          </w:p>
        </w:tc>
      </w:tr>
      <w:tr>
        <w:trPr>
          <w:trHeight w:val="182"/>
        </w:trPr>
        <w:tc>
          <w:tcPr>
            <w:tcW w:w="2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40" w:type="dxa"/>
            <w:vAlign w:val="bottom"/>
          </w:tcPr>
          <w:p>
            <w:pPr>
              <w:ind w:left="180"/>
              <w:spacing w:after="0"/>
              <w:rPr>
                <w:sz w:val="20"/>
                <w:szCs w:val="20"/>
                <w:color w:val="auto"/>
              </w:rPr>
            </w:pPr>
            <w:r>
              <w:rPr>
                <w:rFonts w:ascii="Arial" w:cs="Arial" w:eastAsia="Arial" w:hAnsi="Arial"/>
                <w:sz w:val="14"/>
                <w:szCs w:val="14"/>
                <w:color w:val="auto"/>
              </w:rPr>
              <w:t>6/30/20)</w:t>
            </w:r>
          </w:p>
        </w:tc>
      </w:tr>
      <w:tr>
        <w:trPr>
          <w:trHeight w:val="624"/>
        </w:trPr>
        <w:tc>
          <w:tcPr>
            <w:tcW w:w="2280" w:type="dxa"/>
            <w:vAlign w:val="bottom"/>
          </w:tcPr>
          <w:p>
            <w:pPr>
              <w:spacing w:after="0"/>
              <w:rPr>
                <w:sz w:val="20"/>
                <w:szCs w:val="20"/>
                <w:color w:val="auto"/>
              </w:rPr>
            </w:pPr>
            <w:r>
              <w:rPr>
                <w:rFonts w:ascii="Arial" w:cs="Arial" w:eastAsia="Arial" w:hAnsi="Arial"/>
                <w:sz w:val="14"/>
                <w:szCs w:val="14"/>
                <w:color w:val="auto"/>
              </w:rPr>
              <w:t>Western Windows Systems, LLC</w:t>
            </w:r>
          </w:p>
        </w:tc>
        <w:tc>
          <w:tcPr>
            <w:tcW w:w="1960" w:type="dxa"/>
            <w:vAlign w:val="bottom"/>
          </w:tcPr>
          <w:p>
            <w:pPr>
              <w:ind w:left="360"/>
              <w:spacing w:after="0"/>
              <w:rPr>
                <w:sz w:val="20"/>
                <w:szCs w:val="20"/>
                <w:color w:val="auto"/>
              </w:rPr>
            </w:pPr>
            <w:r>
              <w:rPr>
                <w:rFonts w:ascii="Arial" w:cs="Arial" w:eastAsia="Arial" w:hAnsi="Arial"/>
                <w:sz w:val="14"/>
                <w:szCs w:val="14"/>
                <w:color w:val="auto"/>
              </w:rPr>
              <w:t>Building Products</w:t>
            </w:r>
          </w:p>
        </w:tc>
        <w:tc>
          <w:tcPr>
            <w:tcW w:w="1940" w:type="dxa"/>
            <w:vAlign w:val="bottom"/>
          </w:tcPr>
          <w:p>
            <w:pPr>
              <w:ind w:left="180"/>
              <w:spacing w:after="0"/>
              <w:rPr>
                <w:sz w:val="20"/>
                <w:szCs w:val="20"/>
                <w:color w:val="auto"/>
              </w:rPr>
            </w:pPr>
            <w:r>
              <w:rPr>
                <w:rFonts w:ascii="Arial" w:cs="Arial" w:eastAsia="Arial" w:hAnsi="Arial"/>
                <w:sz w:val="14"/>
                <w:szCs w:val="14"/>
                <w:color w:val="auto"/>
                <w:w w:val="96"/>
              </w:rPr>
              <w:t>First Lien Debt (12.5% Cash,</w:t>
            </w:r>
          </w:p>
        </w:tc>
      </w:tr>
      <w:tr>
        <w:trPr>
          <w:trHeight w:val="313"/>
        </w:trPr>
        <w:tc>
          <w:tcPr>
            <w:tcW w:w="2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ind w:left="180"/>
              <w:spacing w:after="0"/>
              <w:rPr>
                <w:sz w:val="20"/>
                <w:szCs w:val="20"/>
                <w:color w:val="auto"/>
              </w:rPr>
            </w:pPr>
            <w:r>
              <w:rPr>
                <w:rFonts w:ascii="Arial" w:cs="Arial" w:eastAsia="Arial" w:hAnsi="Arial"/>
                <w:sz w:val="14"/>
                <w:szCs w:val="14"/>
                <w:color w:val="auto"/>
              </w:rPr>
              <w:t xml:space="preserve">Due 7/31/20) </w:t>
            </w:r>
            <w:r>
              <w:rPr>
                <w:rFonts w:ascii="Arial" w:cs="Arial" w:eastAsia="Arial" w:hAnsi="Arial"/>
                <w:sz w:val="23"/>
                <w:szCs w:val="23"/>
                <w:color w:val="auto"/>
                <w:vertAlign w:val="superscript"/>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-3194050</wp:posOffset>
            </wp:positionV>
            <wp:extent cx="7246620" cy="197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-2893695</wp:posOffset>
            </wp:positionV>
            <wp:extent cx="724662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-2687955</wp:posOffset>
            </wp:positionV>
            <wp:extent cx="7246620" cy="1974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-2388235</wp:posOffset>
            </wp:positionV>
            <wp:extent cx="724662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-2182495</wp:posOffset>
            </wp:positionV>
            <wp:extent cx="7246620" cy="197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-1882140</wp:posOffset>
            </wp:positionV>
            <wp:extent cx="724662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-1676400</wp:posOffset>
            </wp:positionV>
            <wp:extent cx="7246620" cy="3860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-1187450</wp:posOffset>
            </wp:positionV>
            <wp:extent cx="724662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-981710</wp:posOffset>
            </wp:positionV>
            <wp:extent cx="7246620" cy="3860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24662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8,846</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9,085</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4.1%</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00" w:type="dxa"/>
            <w:vAlign w:val="bottom"/>
          </w:tcPr>
          <w:p>
            <w:pPr>
              <w:jc w:val="right"/>
              <w:ind w:right="148"/>
              <w:spacing w:after="0"/>
              <w:rPr>
                <w:sz w:val="20"/>
                <w:szCs w:val="20"/>
                <w:color w:val="auto"/>
              </w:rPr>
            </w:pPr>
            <w:r>
              <w:rPr>
                <w:rFonts w:ascii="Arial" w:cs="Arial" w:eastAsia="Arial" w:hAnsi="Arial"/>
                <w:sz w:val="14"/>
                <w:szCs w:val="14"/>
                <w:color w:val="auto"/>
                <w:w w:val="83"/>
              </w:rPr>
              <w:t>15,000</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6.9%</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6.9%</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758</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758</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758</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758</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0"/>
        </w:trPr>
        <w:tc>
          <w:tcPr>
            <w:tcW w:w="600" w:type="dxa"/>
            <w:vAlign w:val="bottom"/>
          </w:tcPr>
          <w:p>
            <w:pPr>
              <w:jc w:val="right"/>
              <w:ind w:right="148"/>
              <w:spacing w:after="0"/>
              <w:rPr>
                <w:sz w:val="20"/>
                <w:szCs w:val="20"/>
                <w:color w:val="auto"/>
              </w:rPr>
            </w:pPr>
            <w:r>
              <w:rPr>
                <w:rFonts w:ascii="Arial" w:cs="Arial" w:eastAsia="Arial" w:hAnsi="Arial"/>
                <w:sz w:val="14"/>
                <w:szCs w:val="14"/>
                <w:color w:val="auto"/>
                <w:w w:val="83"/>
              </w:rPr>
              <w:t>19,494</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19,494</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19,494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8.9%</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19,494</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19,494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8.9%</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0"/>
        </w:trPr>
        <w:tc>
          <w:tcPr>
            <w:tcW w:w="600" w:type="dxa"/>
            <w:vAlign w:val="bottom"/>
          </w:tcPr>
          <w:p>
            <w:pPr>
              <w:jc w:val="right"/>
              <w:ind w:right="148"/>
              <w:spacing w:after="0"/>
              <w:rPr>
                <w:sz w:val="20"/>
                <w:szCs w:val="20"/>
                <w:color w:val="auto"/>
              </w:rPr>
            </w:pPr>
            <w:r>
              <w:rPr>
                <w:rFonts w:ascii="Arial" w:cs="Arial" w:eastAsia="Arial" w:hAnsi="Arial"/>
                <w:sz w:val="14"/>
                <w:szCs w:val="14"/>
                <w:color w:val="auto"/>
              </w:rPr>
              <w:t>8,458</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8,458</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8,458</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3.9%</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8,458</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8,458</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3.9%</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5"/>
        </w:trPr>
        <w:tc>
          <w:tcPr>
            <w:tcW w:w="600" w:type="dxa"/>
            <w:vAlign w:val="bottom"/>
          </w:tcPr>
          <w:p>
            <w:pPr>
              <w:jc w:val="right"/>
              <w:ind w:right="148"/>
              <w:spacing w:after="0"/>
              <w:rPr>
                <w:sz w:val="20"/>
                <w:szCs w:val="20"/>
                <w:color w:val="auto"/>
              </w:rPr>
            </w:pPr>
            <w:r>
              <w:rPr>
                <w:rFonts w:ascii="Arial" w:cs="Arial" w:eastAsia="Arial" w:hAnsi="Arial"/>
                <w:sz w:val="14"/>
                <w:szCs w:val="14"/>
                <w:color w:val="auto"/>
                <w:w w:val="83"/>
              </w:rPr>
              <w:t>10,500</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10,500</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10,500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4.8%</w:t>
            </w:r>
          </w:p>
        </w:tc>
      </w:tr>
    </w:tbl>
    <w:p>
      <w:pPr>
        <w:spacing w:after="0" w:line="300" w:lineRule="exact"/>
        <w:rPr>
          <w:sz w:val="20"/>
          <w:szCs w:val="20"/>
          <w:color w:val="auto"/>
        </w:rPr>
      </w:pPr>
    </w:p>
    <w:p>
      <w:pPr>
        <w:sectPr>
          <w:pgSz w:w="11900" w:h="16838" w:orient="portrait"/>
          <w:cols w:equalWidth="0" w:num="2">
            <w:col w:w="6260" w:space="720"/>
            <w:col w:w="4440"/>
          </w:cols>
          <w:pgMar w:left="240" w:top="904" w:right="239" w:bottom="1440" w:gutter="0" w:footer="0" w:header="0"/>
          <w:type w:val="continuous"/>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 xml:space="preserve">Portfolio Company, Country </w:t>
            </w:r>
            <w:r>
              <w:rPr>
                <w:rFonts w:ascii="Arial" w:cs="Arial" w:eastAsia="Arial" w:hAnsi="Arial"/>
                <w:sz w:val="23"/>
                <w:szCs w:val="23"/>
                <w:b w:val="1"/>
                <w:bCs w:val="1"/>
                <w:color w:val="auto"/>
                <w:w w:val="89"/>
                <w:vertAlign w:val="superscript"/>
              </w:rPr>
              <w:t>(1)</w:t>
            </w:r>
            <w:r>
              <w:rPr>
                <w:rFonts w:ascii="Arial" w:cs="Arial" w:eastAsia="Arial" w:hAnsi="Arial"/>
                <w:sz w:val="23"/>
                <w:szCs w:val="23"/>
                <w:b w:val="1"/>
                <w:bCs w:val="1"/>
                <w:u w:val="single" w:color="auto"/>
                <w:color w:val="auto"/>
                <w:w w:val="89"/>
                <w:vertAlign w:val="superscript"/>
              </w:rPr>
              <w:t>,</w:t>
            </w:r>
            <w:r>
              <w:rPr>
                <w:rFonts w:ascii="Arial" w:cs="Arial" w:eastAsia="Arial" w:hAnsi="Arial"/>
                <w:sz w:val="14"/>
                <w:szCs w:val="14"/>
                <w:b w:val="1"/>
                <w:bCs w:val="1"/>
                <w:color w:val="auto"/>
                <w:w w:val="89"/>
              </w:rPr>
              <w:t xml:space="preserve"> </w:t>
            </w:r>
            <w:r>
              <w:rPr>
                <w:rFonts w:ascii="Arial" w:cs="Arial" w:eastAsia="Arial" w:hAnsi="Arial"/>
                <w:sz w:val="23"/>
                <w:szCs w:val="23"/>
                <w:b w:val="1"/>
                <w:bCs w:val="1"/>
                <w:color w:val="auto"/>
                <w:w w:val="89"/>
                <w:vertAlign w:val="superscript"/>
              </w:rPr>
              <w:t>(2), (3), (4)</w:t>
            </w:r>
          </w:p>
        </w:tc>
        <w:tc>
          <w:tcPr>
            <w:tcW w:w="18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Industry</w:t>
            </w:r>
          </w:p>
        </w:tc>
        <w:tc>
          <w:tcPr>
            <w:tcW w:w="17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Type of Investment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Western Windows Systems,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Building Products</w:t>
            </w:r>
          </w:p>
        </w:tc>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Membership Units (39,860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units)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8,209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18,709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Xirgo Technologies,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Information Technology</w:t>
            </w:r>
          </w:p>
        </w:tc>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 (11.5%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Cash, Due 3/1/22)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15,750</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15,750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Xirgo Technologies,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Information Technology</w:t>
            </w:r>
          </w:p>
        </w:tc>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Membership Units (600,000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units)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16,350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1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investments - United States</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266,900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263,518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8"/>
              </w:rPr>
              <w:t>Non-control/non-affiliated investments -</w:t>
            </w:r>
          </w:p>
        </w:tc>
        <w:tc>
          <w:tcPr>
            <w:tcW w:w="1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Brazil</w:t>
            </w: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20" w:type="dxa"/>
            <w:vAlign w:val="bottom"/>
            <w:gridSpan w:val="2"/>
          </w:tcPr>
          <w:p>
            <w:pPr>
              <w:spacing w:after="0" w:line="140" w:lineRule="exact"/>
              <w:rPr>
                <w:sz w:val="20"/>
                <w:szCs w:val="20"/>
                <w:color w:val="auto"/>
              </w:rPr>
            </w:pPr>
            <w:r>
              <w:rPr>
                <w:rFonts w:ascii="Arial" w:cs="Arial" w:eastAsia="Arial" w:hAnsi="Arial"/>
                <w:sz w:val="14"/>
                <w:szCs w:val="14"/>
                <w:color w:val="auto"/>
              </w:rPr>
              <w:t>Velum Global Credit Management, LLC</w:t>
            </w:r>
          </w:p>
        </w:tc>
        <w:tc>
          <w:tcPr>
            <w:tcW w:w="1800" w:type="dxa"/>
            <w:vAlign w:val="bottom"/>
            <w:gridSpan w:val="2"/>
          </w:tcPr>
          <w:p>
            <w:pPr>
              <w:spacing w:after="0" w:line="140" w:lineRule="exact"/>
              <w:rPr>
                <w:sz w:val="20"/>
                <w:szCs w:val="20"/>
                <w:color w:val="auto"/>
              </w:rPr>
            </w:pPr>
            <w:r>
              <w:rPr>
                <w:rFonts w:ascii="Arial" w:cs="Arial" w:eastAsia="Arial" w:hAnsi="Arial"/>
                <w:sz w:val="14"/>
                <w:szCs w:val="14"/>
                <w:color w:val="auto"/>
              </w:rPr>
              <w:t>Financial Services</w:t>
            </w:r>
          </w:p>
        </w:tc>
        <w:tc>
          <w:tcPr>
            <w:tcW w:w="1760" w:type="dxa"/>
            <w:vAlign w:val="bottom"/>
          </w:tcPr>
          <w:p>
            <w:pPr>
              <w:spacing w:after="0" w:line="140" w:lineRule="exact"/>
              <w:rPr>
                <w:sz w:val="20"/>
                <w:szCs w:val="20"/>
                <w:color w:val="auto"/>
              </w:rPr>
            </w:pPr>
            <w:r>
              <w:rPr>
                <w:rFonts w:ascii="Arial" w:cs="Arial" w:eastAsia="Arial" w:hAnsi="Arial"/>
                <w:sz w:val="14"/>
                <w:szCs w:val="14"/>
                <w:color w:val="auto"/>
              </w:rPr>
              <w:t>First Lien Debt (15% PIK,</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line="211" w:lineRule="exact"/>
              <w:rPr>
                <w:sz w:val="20"/>
                <w:szCs w:val="20"/>
                <w:color w:val="auto"/>
              </w:rPr>
            </w:pPr>
            <w:r>
              <w:rPr>
                <w:rFonts w:ascii="Arial" w:cs="Arial" w:eastAsia="Arial" w:hAnsi="Arial"/>
                <w:sz w:val="24"/>
                <w:szCs w:val="24"/>
                <w:color w:val="auto"/>
                <w:w w:val="93"/>
                <w:vertAlign w:val="subscript"/>
              </w:rPr>
              <w:t>Due 12/31/17)</w:t>
            </w:r>
            <w:r>
              <w:rPr>
                <w:rFonts w:ascii="Arial" w:cs="Arial" w:eastAsia="Arial" w:hAnsi="Arial"/>
                <w:sz w:val="11"/>
                <w:szCs w:val="11"/>
                <w:color w:val="auto"/>
                <w:w w:val="93"/>
              </w:rPr>
              <w:t xml:space="preserve"> (8) (11) (14) (15)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12,741</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11,816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7,574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11,816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7,574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investments - Brazil</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11,816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7,574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278,716</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271,092</w:t>
            </w:r>
          </w:p>
        </w:tc>
        <w:tc>
          <w:tcPr>
            <w:tcW w:w="1220" w:type="dxa"/>
            <w:vAlign w:val="bottom"/>
            <w:gridSpan w:val="2"/>
          </w:tcPr>
          <w:p>
            <w:pPr>
              <w:jc w:val="right"/>
              <w:spacing w:after="0" w:line="199" w:lineRule="exact"/>
              <w:rPr>
                <w:sz w:val="20"/>
                <w:szCs w:val="20"/>
                <w:color w:val="auto"/>
              </w:rPr>
            </w:pPr>
            <w:r>
              <w:rPr>
                <w:rFonts w:ascii="Arial" w:cs="Arial" w:eastAsia="Arial" w:hAnsi="Arial"/>
                <w:sz w:val="12"/>
                <w:szCs w:val="12"/>
                <w:color w:val="auto"/>
              </w:rPr>
              <w:t>124.2</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Affiliate investments - 57.3%</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Affiliate investments - United States</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AAE Acquisition, LLC</w:t>
            </w:r>
          </w:p>
        </w:tc>
        <w:tc>
          <w:tcPr>
            <w:tcW w:w="18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Industrial Equipment Rental</w:t>
            </w:r>
          </w:p>
        </w:tc>
        <w:tc>
          <w:tcPr>
            <w:tcW w:w="17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6"/>
              </w:rPr>
              <w:t>Second Lien Debt (8% Cash,</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4% PIK, Due 8/24/19) </w:t>
            </w:r>
            <w:r>
              <w:rPr>
                <w:rFonts w:ascii="Arial" w:cs="Arial" w:eastAsia="Arial" w:hAnsi="Arial"/>
                <w:sz w:val="22"/>
                <w:szCs w:val="22"/>
                <w:color w:val="auto"/>
                <w:vertAlign w:val="superscript"/>
              </w:rPr>
              <w:t>(14)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16,004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16,004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15,952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Industrial Equipment Rental</w:t>
            </w:r>
          </w:p>
        </w:tc>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Membership Units (2.19%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fully diluted)</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Industrial Equipment Rental</w:t>
            </w:r>
          </w:p>
        </w:tc>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Warrants (37.78% fully</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15,952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Lien Debt (12% Cash,</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1% PIK, Due 3/23/21)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14,688</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14,688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14,688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Class A</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(1,253,198 shares)</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Class B</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(900,000 shares)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16,492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14,988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City Gear, LLC</w:t>
            </w:r>
          </w:p>
        </w:tc>
        <w:tc>
          <w:tcPr>
            <w:tcW w:w="18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Footwear Retail</w:t>
            </w:r>
          </w:p>
        </w:tc>
        <w:tc>
          <w:tcPr>
            <w:tcW w:w="17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Subordinated Debt (13%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Cash, Due 10/20/19) </w:t>
            </w:r>
            <w:r>
              <w:rPr>
                <w:rFonts w:ascii="Arial" w:cs="Arial" w:eastAsia="Arial" w:hAnsi="Arial"/>
                <w:sz w:val="22"/>
                <w:szCs w:val="22"/>
                <w:color w:val="auto"/>
                <w:vertAlign w:val="superscript"/>
              </w:rPr>
              <w:t>(14)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 xml:space="preserve">Portfolio Company, Country </w:t>
            </w:r>
            <w:r>
              <w:rPr>
                <w:rFonts w:ascii="Arial" w:cs="Arial" w:eastAsia="Arial" w:hAnsi="Arial"/>
                <w:sz w:val="23"/>
                <w:szCs w:val="23"/>
                <w:b w:val="1"/>
                <w:bCs w:val="1"/>
                <w:color w:val="auto"/>
                <w:w w:val="89"/>
                <w:vertAlign w:val="superscript"/>
              </w:rPr>
              <w:t>(1)</w:t>
            </w:r>
            <w:r>
              <w:rPr>
                <w:rFonts w:ascii="Arial" w:cs="Arial" w:eastAsia="Arial" w:hAnsi="Arial"/>
                <w:sz w:val="23"/>
                <w:szCs w:val="23"/>
                <w:b w:val="1"/>
                <w:bCs w:val="1"/>
                <w:u w:val="single" w:color="auto"/>
                <w:color w:val="auto"/>
                <w:w w:val="89"/>
                <w:vertAlign w:val="superscript"/>
              </w:rPr>
              <w:t>,</w:t>
            </w:r>
            <w:r>
              <w:rPr>
                <w:rFonts w:ascii="Arial" w:cs="Arial" w:eastAsia="Arial" w:hAnsi="Arial"/>
                <w:sz w:val="14"/>
                <w:szCs w:val="14"/>
                <w:b w:val="1"/>
                <w:bCs w:val="1"/>
                <w:color w:val="auto"/>
                <w:w w:val="89"/>
              </w:rPr>
              <w:t xml:space="preserve"> </w:t>
            </w:r>
            <w:r>
              <w:rPr>
                <w:rFonts w:ascii="Arial" w:cs="Arial" w:eastAsia="Arial" w:hAnsi="Arial"/>
                <w:sz w:val="23"/>
                <w:szCs w:val="23"/>
                <w:b w:val="1"/>
                <w:bCs w:val="1"/>
                <w:color w:val="auto"/>
                <w:w w:val="89"/>
                <w:vertAlign w:val="superscript"/>
              </w:rPr>
              <w:t>(2), (3), (4)</w:t>
            </w:r>
          </w:p>
        </w:tc>
        <w:tc>
          <w:tcPr>
            <w:tcW w:w="18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Industry</w:t>
            </w:r>
          </w:p>
        </w:tc>
        <w:tc>
          <w:tcPr>
            <w:tcW w:w="18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Type of Investment</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Principal</w:t>
            </w: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Cost</w:t>
            </w: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2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Footwear Retail</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Preferred Membership Units</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(2.78% fully diluted, 9% Cash</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2"/>
                <w:szCs w:val="22"/>
                <w:color w:val="auto"/>
                <w:vertAlign w:val="superscript"/>
              </w:rPr>
              <w:t>(5)</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Footwear Retail</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Membership Unit Warrants</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(11.38% fully diluted)</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7,631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17,131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Advertising &amp; Marketing</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Series A-1 Preferred Stock</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Services</w:t>
            </w: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(1,998 shares, 8% PIK</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2"/>
                <w:szCs w:val="22"/>
                <w:color w:val="auto"/>
                <w:vertAlign w:val="superscript"/>
              </w:rPr>
              <w:t>(5)</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2,968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3,286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Advertising &amp; Marketing</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Series B-1 Common Stock</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Services</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(200,000 shares)</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1,678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2,970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4,964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J&amp;J Produce Holdings, Inc.</w:t>
            </w:r>
          </w:p>
        </w:tc>
        <w:tc>
          <w:tcPr>
            <w:tcW w:w="18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Produce Distribution</w:t>
            </w:r>
          </w:p>
        </w:tc>
        <w:tc>
          <w:tcPr>
            <w:tcW w:w="186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Subordinated Debt (13%</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Cash, Due 6/16/19) </w:t>
            </w:r>
            <w:r>
              <w:rPr>
                <w:rFonts w:ascii="Arial" w:cs="Arial" w:eastAsia="Arial" w:hAnsi="Arial"/>
                <w:sz w:val="22"/>
                <w:szCs w:val="22"/>
                <w:color w:val="auto"/>
                <w:vertAlign w:val="superscript"/>
              </w:rPr>
              <w:t>(14)</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6,406</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6,406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Produce Distribution</w:t>
            </w: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Common Stock (8,182 shares)</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818</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Produce Distribution</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Warrants</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(6,369 shares)</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7,224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LJS Partners,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QSR Franchisor</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(1,500,000</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7,662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7,662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18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Medical Device Distributor</w:t>
            </w:r>
          </w:p>
        </w:tc>
        <w:tc>
          <w:tcPr>
            <w:tcW w:w="186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First Lien Debt (12% Cash,</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Due 1/31/19) </w:t>
            </w:r>
            <w:r>
              <w:rPr>
                <w:rFonts w:ascii="Arial" w:cs="Arial" w:eastAsia="Arial" w:hAnsi="Arial"/>
                <w:sz w:val="22"/>
                <w:szCs w:val="22"/>
                <w:color w:val="auto"/>
                <w:vertAlign w:val="superscript"/>
              </w:rPr>
              <w:t>(14)</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18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Medical Device Distributor</w:t>
            </w:r>
          </w:p>
        </w:tc>
        <w:tc>
          <w:tcPr>
            <w:tcW w:w="186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w w:val="98"/>
              </w:rPr>
              <w:t>Subordinated Debt (6% Cash,</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Due 1/31/19) </w:t>
            </w:r>
            <w:r>
              <w:rPr>
                <w:rFonts w:ascii="Arial" w:cs="Arial" w:eastAsia="Arial" w:hAnsi="Arial"/>
                <w:sz w:val="22"/>
                <w:szCs w:val="22"/>
                <w:color w:val="auto"/>
                <w:vertAlign w:val="superscript"/>
              </w:rPr>
              <w:t>(14)</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18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Medical Device Distributor</w:t>
            </w:r>
          </w:p>
        </w:tc>
        <w:tc>
          <w:tcPr>
            <w:tcW w:w="186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Preferred Units (1,000 units,</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6% PIK Dividend) </w:t>
            </w:r>
            <w:r>
              <w:rPr>
                <w:rFonts w:ascii="Arial" w:cs="Arial" w:eastAsia="Arial" w:hAnsi="Arial"/>
                <w:sz w:val="22"/>
                <w:szCs w:val="22"/>
                <w:color w:val="auto"/>
                <w:vertAlign w:val="superscript"/>
              </w:rPr>
              <w:t>(5)</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Medical Device Distributor</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Membership Units</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(45 units)</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4,393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MTI Holdings,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Retail Display &amp; Security</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Membership Units (2,000,000</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Services</w:t>
            </w:r>
          </w:p>
        </w:tc>
        <w:tc>
          <w:tcPr>
            <w:tcW w:w="1860" w:type="dxa"/>
            <w:vAlign w:val="bottom"/>
            <w:gridSpan w:val="2"/>
            <w:shd w:val="clear" w:color="auto" w:fill="CCEEFF"/>
          </w:tcPr>
          <w:p>
            <w:pPr>
              <w:spacing w:after="0" w:line="221" w:lineRule="exact"/>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(16)</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Sierra Hamilton Holdings Corporation</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Oil &amp; Gas Engineering and</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(15,068,000</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Consulting Services</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8,891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8,891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 xml:space="preserve">Portfolio Company, Country </w:t>
            </w:r>
            <w:r>
              <w:rPr>
                <w:rFonts w:ascii="Arial" w:cs="Arial" w:eastAsia="Arial" w:hAnsi="Arial"/>
                <w:sz w:val="23"/>
                <w:szCs w:val="23"/>
                <w:b w:val="1"/>
                <w:bCs w:val="1"/>
                <w:color w:val="auto"/>
                <w:w w:val="89"/>
                <w:vertAlign w:val="superscript"/>
              </w:rPr>
              <w:t>(1)</w:t>
            </w:r>
            <w:r>
              <w:rPr>
                <w:rFonts w:ascii="Arial" w:cs="Arial" w:eastAsia="Arial" w:hAnsi="Arial"/>
                <w:sz w:val="23"/>
                <w:szCs w:val="23"/>
                <w:b w:val="1"/>
                <w:bCs w:val="1"/>
                <w:u w:val="single" w:color="auto"/>
                <w:color w:val="auto"/>
                <w:w w:val="89"/>
                <w:vertAlign w:val="superscript"/>
              </w:rPr>
              <w:t>,</w:t>
            </w:r>
            <w:r>
              <w:rPr>
                <w:rFonts w:ascii="Arial" w:cs="Arial" w:eastAsia="Arial" w:hAnsi="Arial"/>
                <w:sz w:val="14"/>
                <w:szCs w:val="14"/>
                <w:b w:val="1"/>
                <w:bCs w:val="1"/>
                <w:color w:val="auto"/>
                <w:w w:val="89"/>
              </w:rPr>
              <w:t xml:space="preserve"> </w:t>
            </w:r>
            <w:r>
              <w:rPr>
                <w:rFonts w:ascii="Arial" w:cs="Arial" w:eastAsia="Arial" w:hAnsi="Arial"/>
                <w:sz w:val="23"/>
                <w:szCs w:val="23"/>
                <w:b w:val="1"/>
                <w:bCs w:val="1"/>
                <w:color w:val="auto"/>
                <w:w w:val="89"/>
                <w:vertAlign w:val="superscript"/>
              </w:rPr>
              <w:t>(2), (3), (4)</w:t>
            </w:r>
          </w:p>
        </w:tc>
        <w:tc>
          <w:tcPr>
            <w:tcW w:w="16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4"/>
                <w:szCs w:val="14"/>
                <w:color w:val="auto"/>
              </w:rPr>
            </w:pPr>
          </w:p>
        </w:tc>
        <w:tc>
          <w:tcPr>
            <w:tcW w:w="18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Type of Investment</w:t>
            </w:r>
          </w:p>
        </w:tc>
        <w:tc>
          <w:tcPr>
            <w:tcW w:w="18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Automotive Chemicals &amp;</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Membership Units (11.3%</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rPr>
              <w:t>Lubricants</w:t>
            </w:r>
          </w:p>
        </w:tc>
        <w:tc>
          <w:tcPr>
            <w:tcW w:w="1960" w:type="dxa"/>
            <w:vAlign w:val="bottom"/>
            <w:gridSpan w:val="3"/>
            <w:shd w:val="clear" w:color="auto" w:fill="CCEEFF"/>
          </w:tcPr>
          <w:p>
            <w:pPr>
              <w:ind w:left="100"/>
              <w:spacing w:after="0" w:line="221" w:lineRule="exact"/>
              <w:rPr>
                <w:sz w:val="20"/>
                <w:szCs w:val="20"/>
                <w:color w:val="auto"/>
              </w:rPr>
            </w:pPr>
            <w:r>
              <w:rPr>
                <w:rFonts w:ascii="Arial" w:cs="Arial" w:eastAsia="Arial" w:hAnsi="Arial"/>
                <w:sz w:val="14"/>
                <w:szCs w:val="14"/>
                <w:color w:val="auto"/>
              </w:rPr>
              <w:t xml:space="preserve">ownership) </w:t>
            </w:r>
            <w:r>
              <w:rPr>
                <w:rFonts w:ascii="Arial" w:cs="Arial" w:eastAsia="Arial" w:hAnsi="Arial"/>
                <w:sz w:val="23"/>
                <w:szCs w:val="23"/>
                <w:color w:val="auto"/>
                <w:vertAlign w:val="superscript"/>
              </w:rPr>
              <w:t>(16)</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Bath Group,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Building Products</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(10.67% Cash</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9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 month LIBOR + 9.0%, 1%</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Due 1/2/23)</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14,688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14,688</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14,688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Bath Group,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Building Products</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Membership Units (500,000</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units)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15,188</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15,188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 Services</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(7.65% Cash</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96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(1 month LIBOR + 6%, 1%</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floor), Due 2/2/22) </w:t>
            </w:r>
            <w:r>
              <w:rPr>
                <w:rFonts w:ascii="Arial" w:cs="Arial" w:eastAsia="Arial" w:hAnsi="Arial"/>
                <w:sz w:val="22"/>
                <w:szCs w:val="22"/>
                <w:color w:val="auto"/>
                <w:vertAlign w:val="superscript"/>
              </w:rPr>
              <w:t>(17)</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 Services</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(10.65% Cash</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9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 month LIBOR + 9%, 1%</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Due 2/2/22)</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9,713</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 Services</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Class A Units (5,680,688</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Units)</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6,259</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 Services</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Class B Units (2,076,298</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Units)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441</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18,712</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27,971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rPr>
              <w:t>Data Processing &amp; Digital</w:t>
            </w:r>
          </w:p>
        </w:tc>
        <w:tc>
          <w:tcPr>
            <w:tcW w:w="1960" w:type="dxa"/>
            <w:vAlign w:val="bottom"/>
            <w:gridSpan w:val="3"/>
            <w:shd w:val="clear" w:color="auto" w:fill="CCEEFF"/>
          </w:tcPr>
          <w:p>
            <w:pPr>
              <w:ind w:left="100"/>
              <w:spacing w:after="0" w:line="162"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8"/>
                <w:szCs w:val="18"/>
                <w:color w:val="auto"/>
                <w:vertAlign w:val="superscript"/>
              </w:rPr>
              <w:t>(18)</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813</w:t>
            </w:r>
          </w:p>
        </w:tc>
        <w:tc>
          <w:tcPr>
            <w:tcW w:w="1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1,035</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Marketing</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2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813</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9"/>
              </w:rPr>
              <w:t>Sub Total Affiliate investments - United</w:t>
            </w: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States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99,167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125,012</w:t>
            </w:r>
          </w:p>
        </w:tc>
        <w:tc>
          <w:tcPr>
            <w:tcW w:w="122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57.3</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investments- 49.3%</w:t>
            </w: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United States</w:t>
            </w: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80" w:type="dxa"/>
            <w:vAlign w:val="bottom"/>
          </w:tcPr>
          <w:p>
            <w:pPr>
              <w:spacing w:after="0" w:line="130" w:lineRule="exact"/>
              <w:rPr>
                <w:sz w:val="20"/>
                <w:szCs w:val="20"/>
                <w:color w:val="auto"/>
              </w:rPr>
            </w:pPr>
            <w:r>
              <w:rPr>
                <w:rFonts w:ascii="Arial" w:cs="Arial" w:eastAsia="Arial" w:hAnsi="Arial"/>
                <w:sz w:val="14"/>
                <w:szCs w:val="14"/>
                <w:color w:val="auto"/>
              </w:rPr>
              <w:t>Computer Supply Retail</w:t>
            </w:r>
          </w:p>
        </w:tc>
        <w:tc>
          <w:tcPr>
            <w:tcW w:w="19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First Lien Debt (12% Cash,</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gridSpan w:val="3"/>
          </w:tcPr>
          <w:p>
            <w:pPr>
              <w:ind w:left="100"/>
              <w:spacing w:after="0"/>
              <w:rPr>
                <w:sz w:val="20"/>
                <w:szCs w:val="20"/>
                <w:color w:val="auto"/>
              </w:rPr>
            </w:pPr>
            <w:r>
              <w:rPr>
                <w:rFonts w:ascii="Arial" w:cs="Arial" w:eastAsia="Arial" w:hAnsi="Arial"/>
                <w:sz w:val="14"/>
                <w:szCs w:val="14"/>
                <w:color w:val="auto"/>
              </w:rPr>
              <w:t>4% PIK, Due 5/24/18)</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12,497</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12,497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11,306</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80" w:type="dxa"/>
            <w:vAlign w:val="bottom"/>
          </w:tcPr>
          <w:p>
            <w:pPr>
              <w:spacing w:after="0" w:line="130" w:lineRule="exact"/>
              <w:rPr>
                <w:sz w:val="20"/>
                <w:szCs w:val="20"/>
                <w:color w:val="auto"/>
              </w:rPr>
            </w:pPr>
            <w:r>
              <w:rPr>
                <w:rFonts w:ascii="Arial" w:cs="Arial" w:eastAsia="Arial" w:hAnsi="Arial"/>
                <w:sz w:val="14"/>
                <w:szCs w:val="14"/>
                <w:color w:val="auto"/>
              </w:rPr>
              <w:t>Computer Supply Retail</w:t>
            </w:r>
          </w:p>
        </w:tc>
        <w:tc>
          <w:tcPr>
            <w:tcW w:w="19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Common Stock (21.3% fully</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gridSpan w:val="3"/>
          </w:tcPr>
          <w:p>
            <w:pPr>
              <w:ind w:left="100"/>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1,394</w:t>
            </w:r>
          </w:p>
        </w:tc>
        <w:tc>
          <w:tcPr>
            <w:tcW w:w="1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80" w:type="dxa"/>
            <w:vAlign w:val="bottom"/>
          </w:tcPr>
          <w:p>
            <w:pPr>
              <w:spacing w:after="0" w:line="130" w:lineRule="exact"/>
              <w:rPr>
                <w:sz w:val="20"/>
                <w:szCs w:val="20"/>
                <w:color w:val="auto"/>
              </w:rPr>
            </w:pPr>
            <w:r>
              <w:rPr>
                <w:rFonts w:ascii="Arial" w:cs="Arial" w:eastAsia="Arial" w:hAnsi="Arial"/>
                <w:sz w:val="14"/>
                <w:szCs w:val="14"/>
                <w:color w:val="auto"/>
              </w:rPr>
              <w:t>Computer Supply Retail</w:t>
            </w:r>
          </w:p>
        </w:tc>
        <w:tc>
          <w:tcPr>
            <w:tcW w:w="19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Common Stock Warrants</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60" w:type="dxa"/>
            <w:vAlign w:val="bottom"/>
            <w:gridSpan w:val="3"/>
          </w:tcPr>
          <w:p>
            <w:pPr>
              <w:ind w:left="100"/>
              <w:spacing w:after="0"/>
              <w:rPr>
                <w:sz w:val="20"/>
                <w:szCs w:val="20"/>
                <w:color w:val="auto"/>
              </w:rPr>
            </w:pPr>
            <w:r>
              <w:rPr>
                <w:rFonts w:ascii="Arial" w:cs="Arial" w:eastAsia="Arial" w:hAnsi="Arial"/>
                <w:sz w:val="14"/>
                <w:szCs w:val="14"/>
                <w:color w:val="auto"/>
              </w:rPr>
              <w:t>(10% fully diluted )</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13,891</w:t>
            </w:r>
          </w:p>
        </w:tc>
        <w:tc>
          <w:tcPr>
            <w:tcW w:w="1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11,306</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Eastport Holdings, LLC</w:t>
            </w:r>
          </w:p>
        </w:tc>
        <w:tc>
          <w:tcPr>
            <w:tcW w:w="168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19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Subordinated Debt (15.02%</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Cash (3 month LIBOR +</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13%, 0.5% Floor), Due</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4/29/20)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16,500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14,926</w:t>
            </w:r>
          </w:p>
        </w:tc>
        <w:tc>
          <w:tcPr>
            <w:tcW w:w="14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16,500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 xml:space="preserve">Portfolio Company, Country </w:t>
            </w:r>
            <w:r>
              <w:rPr>
                <w:rFonts w:ascii="Arial" w:cs="Arial" w:eastAsia="Arial" w:hAnsi="Arial"/>
                <w:sz w:val="23"/>
                <w:szCs w:val="23"/>
                <w:b w:val="1"/>
                <w:bCs w:val="1"/>
                <w:color w:val="auto"/>
                <w:w w:val="89"/>
                <w:vertAlign w:val="superscript"/>
              </w:rPr>
              <w:t>(1)</w:t>
            </w:r>
            <w:r>
              <w:rPr>
                <w:rFonts w:ascii="Arial" w:cs="Arial" w:eastAsia="Arial" w:hAnsi="Arial"/>
                <w:sz w:val="23"/>
                <w:szCs w:val="23"/>
                <w:b w:val="1"/>
                <w:bCs w:val="1"/>
                <w:u w:val="single" w:color="auto"/>
                <w:color w:val="auto"/>
                <w:w w:val="89"/>
                <w:vertAlign w:val="superscript"/>
              </w:rPr>
              <w:t>,</w:t>
            </w:r>
            <w:r>
              <w:rPr>
                <w:rFonts w:ascii="Arial" w:cs="Arial" w:eastAsia="Arial" w:hAnsi="Arial"/>
                <w:sz w:val="14"/>
                <w:szCs w:val="14"/>
                <w:b w:val="1"/>
                <w:bCs w:val="1"/>
                <w:color w:val="auto"/>
                <w:w w:val="89"/>
              </w:rPr>
              <w:t xml:space="preserve"> </w:t>
            </w:r>
            <w:r>
              <w:rPr>
                <w:rFonts w:ascii="Arial" w:cs="Arial" w:eastAsia="Arial" w:hAnsi="Arial"/>
                <w:sz w:val="23"/>
                <w:szCs w:val="23"/>
                <w:b w:val="1"/>
                <w:bCs w:val="1"/>
                <w:color w:val="auto"/>
                <w:w w:val="89"/>
                <w:vertAlign w:val="superscript"/>
              </w:rPr>
              <w:t>(2), (3), (4)</w:t>
            </w:r>
          </w:p>
        </w:tc>
        <w:tc>
          <w:tcPr>
            <w:tcW w:w="18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Industry</w:t>
            </w:r>
          </w:p>
        </w:tc>
        <w:tc>
          <w:tcPr>
            <w:tcW w:w="18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Type of Investment</w:t>
            </w: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3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Eastport Holdings, LLC</w:t>
            </w:r>
          </w:p>
        </w:tc>
        <w:tc>
          <w:tcPr>
            <w:tcW w:w="18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Business Services</w:t>
            </w:r>
          </w:p>
        </w:tc>
        <w:tc>
          <w:tcPr>
            <w:tcW w:w="18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Membership Units (33.3%</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line="211" w:lineRule="exact"/>
              <w:rPr>
                <w:sz w:val="20"/>
                <w:szCs w:val="20"/>
                <w:color w:val="auto"/>
              </w:rPr>
            </w:pPr>
            <w:r>
              <w:rPr>
                <w:rFonts w:ascii="Arial" w:cs="Arial" w:eastAsia="Arial" w:hAnsi="Arial"/>
                <w:sz w:val="14"/>
                <w:szCs w:val="14"/>
                <w:color w:val="auto"/>
              </w:rPr>
              <w:t xml:space="preserve">ownership) </w:t>
            </w:r>
            <w:r>
              <w:rPr>
                <w:rFonts w:ascii="Arial" w:cs="Arial" w:eastAsia="Arial" w:hAnsi="Arial"/>
                <w:sz w:val="23"/>
                <w:szCs w:val="23"/>
                <w:color w:val="auto"/>
                <w:vertAlign w:val="superscript"/>
              </w:rPr>
              <w:t>(19)</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4,733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26,449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19,659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42,949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Kelle's Transport Service, LLC</w:t>
            </w:r>
          </w:p>
        </w:tc>
        <w:tc>
          <w:tcPr>
            <w:tcW w:w="18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Transportation</w:t>
            </w:r>
          </w:p>
        </w:tc>
        <w:tc>
          <w:tcPr>
            <w:tcW w:w="18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First Lien Debt (4% Cash,</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Due 2/15/20) </w:t>
            </w:r>
            <w:r>
              <w:rPr>
                <w:rFonts w:ascii="Arial" w:cs="Arial" w:eastAsia="Arial" w:hAnsi="Arial"/>
                <w:sz w:val="22"/>
                <w:szCs w:val="22"/>
                <w:color w:val="auto"/>
                <w:vertAlign w:val="superscript"/>
              </w:rPr>
              <w:t>(20)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2,227</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2,227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2,227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Kelle's Transport Service, LLC</w:t>
            </w:r>
          </w:p>
        </w:tc>
        <w:tc>
          <w:tcPr>
            <w:tcW w:w="18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Transportation</w:t>
            </w:r>
          </w:p>
        </w:tc>
        <w:tc>
          <w:tcPr>
            <w:tcW w:w="18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First Lien Debt (1.46% Cash,</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Due 2/15/20) </w:t>
            </w:r>
            <w:r>
              <w:rPr>
                <w:rFonts w:ascii="Arial" w:cs="Arial" w:eastAsia="Arial" w:hAnsi="Arial"/>
                <w:sz w:val="22"/>
                <w:szCs w:val="22"/>
                <w:color w:val="auto"/>
                <w:vertAlign w:val="superscript"/>
              </w:rPr>
              <w:t>(14)</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13,674</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13,669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9,933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Kelle's Transport Service,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Transportation</w:t>
            </w:r>
          </w:p>
        </w:tc>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Membership Units (27.5%</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fully diluted)</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12,160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Micro Precision, LLC</w:t>
            </w:r>
          </w:p>
        </w:tc>
        <w:tc>
          <w:tcPr>
            <w:tcW w:w="18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Conglomerate</w:t>
            </w:r>
          </w:p>
        </w:tc>
        <w:tc>
          <w:tcPr>
            <w:tcW w:w="18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Subordinated Debt (10%</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Cash, Due 9/15/18) </w:t>
            </w:r>
            <w:r>
              <w:rPr>
                <w:rFonts w:ascii="Arial" w:cs="Arial" w:eastAsia="Arial" w:hAnsi="Arial"/>
                <w:sz w:val="22"/>
                <w:szCs w:val="22"/>
                <w:color w:val="auto"/>
                <w:vertAlign w:val="superscript"/>
              </w:rPr>
              <w:t>(14)</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Conglomerate</w:t>
            </w:r>
          </w:p>
        </w:tc>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Subordinated Debt (14%</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Cash, 4% PIK, Due 9/15/18)</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4,195</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4,195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4,195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Conglomerate</w:t>
            </w:r>
          </w:p>
        </w:tc>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Series A Preferred Units (47</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units)</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7,686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7,234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Textile Equipment</w:t>
            </w:r>
          </w:p>
        </w:tc>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(15% Cash,</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1840" w:type="dxa"/>
            <w:vAlign w:val="bottom"/>
            <w:gridSpan w:val="2"/>
            <w:shd w:val="clear" w:color="auto" w:fill="CCEEFF"/>
          </w:tcPr>
          <w:p>
            <w:pPr>
              <w:spacing w:after="0" w:line="208" w:lineRule="exact"/>
              <w:rPr>
                <w:sz w:val="20"/>
                <w:szCs w:val="20"/>
                <w:color w:val="auto"/>
              </w:rPr>
            </w:pPr>
            <w:r>
              <w:rPr>
                <w:rFonts w:ascii="Arial" w:cs="Arial" w:eastAsia="Arial" w:hAnsi="Arial"/>
                <w:sz w:val="14"/>
                <w:szCs w:val="14"/>
                <w:color w:val="auto"/>
              </w:rPr>
              <w:t xml:space="preserve">Due 10/30/20) </w:t>
            </w:r>
            <w:r>
              <w:rPr>
                <w:rFonts w:ascii="Arial" w:cs="Arial" w:eastAsia="Arial" w:hAnsi="Arial"/>
                <w:sz w:val="23"/>
                <w:szCs w:val="23"/>
                <w:color w:val="auto"/>
                <w:vertAlign w:val="superscript"/>
              </w:rPr>
              <w:t>(14)</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Textile Equipment</w:t>
            </w:r>
          </w:p>
        </w:tc>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Class A Preferred Stock</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Manufacturer</w:t>
            </w:r>
          </w:p>
        </w:tc>
        <w:tc>
          <w:tcPr>
            <w:tcW w:w="18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(1,000 shares, 10% Cash</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2"/>
                <w:szCs w:val="22"/>
                <w:color w:val="auto"/>
                <w:vertAlign w:val="superscript"/>
              </w:rPr>
              <w:t>(5)</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Textile Equipment</w:t>
            </w:r>
          </w:p>
        </w:tc>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(300,000</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5,258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8,501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13,758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On-Site Fuel Services, Inc.</w:t>
            </w:r>
          </w:p>
        </w:tc>
        <w:tc>
          <w:tcPr>
            <w:tcW w:w="18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w w:val="99"/>
              </w:rPr>
              <w:t>Fuel Transportation Services</w:t>
            </w:r>
          </w:p>
        </w:tc>
        <w:tc>
          <w:tcPr>
            <w:tcW w:w="18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Subordinated Debt (18%</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Cash, Due 12/19/18) </w:t>
            </w:r>
            <w:r>
              <w:rPr>
                <w:rFonts w:ascii="Arial" w:cs="Arial" w:eastAsia="Arial" w:hAnsi="Arial"/>
                <w:sz w:val="22"/>
                <w:szCs w:val="22"/>
                <w:color w:val="auto"/>
                <w:vertAlign w:val="superscript"/>
              </w:rPr>
              <w:t>(8) (14)</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14,778</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11,020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11,647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Fuel Transportation Services</w:t>
            </w:r>
          </w:p>
        </w:tc>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Series A Preferred Stock</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(32,782 shares)</w:t>
            </w: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3,278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Fuel Transportation Services</w:t>
            </w:r>
          </w:p>
        </w:tc>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Series B Preferred Stock</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(23,648 shares)</w:t>
            </w: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2,365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Fuel Transportation Services</w:t>
            </w:r>
          </w:p>
        </w:tc>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(33,058</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11,647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Professional and Personal</w:t>
            </w:r>
          </w:p>
        </w:tc>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(8.69% Cash</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Digital Imaging</w:t>
            </w:r>
          </w:p>
        </w:tc>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 month LIBOR + 7%, 1%</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floor, 2% ceiling), Due</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12/31/22) </w:t>
            </w:r>
            <w:r>
              <w:rPr>
                <w:rFonts w:ascii="Arial" w:cs="Arial" w:eastAsia="Arial" w:hAnsi="Arial"/>
                <w:sz w:val="22"/>
                <w:szCs w:val="22"/>
                <w:color w:val="auto"/>
                <w:vertAlign w:val="superscript"/>
              </w:rPr>
              <w:t>(21)</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2,040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2,040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2,040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 xml:space="preserve">Portfolio Company, Country </w:t>
            </w:r>
            <w:r>
              <w:rPr>
                <w:rFonts w:ascii="Arial" w:cs="Arial" w:eastAsia="Arial" w:hAnsi="Arial"/>
                <w:sz w:val="23"/>
                <w:szCs w:val="23"/>
                <w:b w:val="1"/>
                <w:bCs w:val="1"/>
                <w:color w:val="auto"/>
                <w:w w:val="89"/>
                <w:vertAlign w:val="superscript"/>
              </w:rPr>
              <w:t>(1)</w:t>
            </w:r>
            <w:r>
              <w:rPr>
                <w:rFonts w:ascii="Arial" w:cs="Arial" w:eastAsia="Arial" w:hAnsi="Arial"/>
                <w:sz w:val="23"/>
                <w:szCs w:val="23"/>
                <w:b w:val="1"/>
                <w:bCs w:val="1"/>
                <w:u w:val="single" w:color="auto"/>
                <w:color w:val="auto"/>
                <w:w w:val="89"/>
                <w:vertAlign w:val="superscript"/>
              </w:rPr>
              <w:t>,</w:t>
            </w:r>
            <w:r>
              <w:rPr>
                <w:rFonts w:ascii="Arial" w:cs="Arial" w:eastAsia="Arial" w:hAnsi="Arial"/>
                <w:sz w:val="14"/>
                <w:szCs w:val="14"/>
                <w:b w:val="1"/>
                <w:bCs w:val="1"/>
                <w:color w:val="auto"/>
                <w:w w:val="89"/>
              </w:rPr>
              <w:t xml:space="preserve"> </w:t>
            </w:r>
            <w:r>
              <w:rPr>
                <w:rFonts w:ascii="Arial" w:cs="Arial" w:eastAsia="Arial" w:hAnsi="Arial"/>
                <w:sz w:val="23"/>
                <w:szCs w:val="23"/>
                <w:b w:val="1"/>
                <w:bCs w:val="1"/>
                <w:color w:val="auto"/>
                <w:w w:val="89"/>
                <w:vertAlign w:val="superscript"/>
              </w:rPr>
              <w:t>(2), (3), (4)</w:t>
            </w:r>
          </w:p>
        </w:tc>
        <w:tc>
          <w:tcPr>
            <w:tcW w:w="16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18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Type of Investment</w:t>
            </w:r>
          </w:p>
        </w:tc>
        <w:tc>
          <w:tcPr>
            <w:tcW w:w="15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Principal</w:t>
            </w: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5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Professional and Personal</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(8.69% Cash</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Digital Imaging</w:t>
            </w:r>
          </w:p>
        </w:tc>
        <w:tc>
          <w:tcPr>
            <w:tcW w:w="19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 month LIBOR + 7%, 1%</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9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floor, 5% ceiling), Due</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12/31/22)</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4,500</w:t>
            </w: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4,500</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Professional and Personal</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Preferred Units (4,350,000</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Digital Imaging</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2,024</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Professional and Personal</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(150,000</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Digital Imaging</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8,990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8,564</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Control investments - United</w:t>
            </w:r>
          </w:p>
        </w:tc>
        <w:tc>
          <w:tcPr>
            <w:tcW w:w="1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States</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91,319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107,618</w:t>
            </w:r>
          </w:p>
        </w:tc>
        <w:tc>
          <w:tcPr>
            <w:tcW w:w="130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2"/>
                <w:szCs w:val="12"/>
                <w:color w:val="auto"/>
              </w:rPr>
              <w:t>49.3</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INVESTMENTS - 230.8%</w:t>
            </w: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469,202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503,722</w:t>
            </w:r>
          </w:p>
        </w:tc>
        <w:tc>
          <w:tcPr>
            <w:tcW w:w="13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2"/>
                <w:szCs w:val="12"/>
                <w:b w:val="1"/>
                <w:bCs w:val="1"/>
                <w:color w:val="auto"/>
              </w:rPr>
              <w:t>230.8</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Derivatives - (3.1)%</w:t>
            </w:r>
          </w:p>
        </w:tc>
        <w:tc>
          <w:tcPr>
            <w:tcW w:w="1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Derivatives - United States</w:t>
            </w:r>
          </w:p>
        </w:tc>
        <w:tc>
          <w:tcPr>
            <w:tcW w:w="1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Eastport Holdings, LLC</w:t>
            </w:r>
          </w:p>
        </w:tc>
        <w:tc>
          <w:tcPr>
            <w:tcW w:w="1640" w:type="dxa"/>
            <w:vAlign w:val="bottom"/>
          </w:tcPr>
          <w:p>
            <w:pPr>
              <w:spacing w:after="0"/>
              <w:rPr>
                <w:sz w:val="20"/>
                <w:szCs w:val="20"/>
                <w:color w:val="auto"/>
              </w:rPr>
            </w:pPr>
            <w:r>
              <w:rPr>
                <w:rFonts w:ascii="Arial" w:cs="Arial" w:eastAsia="Arial" w:hAnsi="Arial"/>
                <w:sz w:val="14"/>
                <w:szCs w:val="14"/>
                <w:color w:val="auto"/>
              </w:rPr>
              <w:t>Business Services</w:t>
            </w:r>
          </w:p>
        </w:tc>
        <w:tc>
          <w:tcPr>
            <w:tcW w:w="1960" w:type="dxa"/>
            <w:vAlign w:val="bottom"/>
            <w:gridSpan w:val="3"/>
          </w:tcPr>
          <w:p>
            <w:pPr>
              <w:ind w:left="120"/>
              <w:spacing w:after="0" w:line="202" w:lineRule="exact"/>
              <w:rPr>
                <w:sz w:val="20"/>
                <w:szCs w:val="20"/>
                <w:color w:val="auto"/>
              </w:rPr>
            </w:pPr>
            <w:r>
              <w:rPr>
                <w:rFonts w:ascii="Arial" w:cs="Arial" w:eastAsia="Arial" w:hAnsi="Arial"/>
                <w:sz w:val="14"/>
                <w:szCs w:val="14"/>
                <w:color w:val="auto"/>
              </w:rPr>
              <w:t xml:space="preserve">Written Call Option </w:t>
            </w:r>
            <w:r>
              <w:rPr>
                <w:rFonts w:ascii="Arial" w:cs="Arial" w:eastAsia="Arial" w:hAnsi="Arial"/>
                <w:sz w:val="23"/>
                <w:szCs w:val="23"/>
                <w:color w:val="auto"/>
                <w:vertAlign w:val="superscript"/>
              </w:rPr>
              <w:t>(19)</w:t>
            </w:r>
          </w:p>
        </w:tc>
        <w:tc>
          <w:tcPr>
            <w:tcW w:w="15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(6,815)</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Sub Total Derivatives - United States</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(6,815)</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TOTAL DERIVATIVES- (3.1)%</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76" w:lineRule="exact"/>
              <w:rPr>
                <w:sz w:val="20"/>
                <w:szCs w:val="20"/>
                <w:color w:val="auto"/>
              </w:rPr>
            </w:pPr>
            <w:r>
              <w:rPr>
                <w:rFonts w:ascii="Arial" w:cs="Arial" w:eastAsia="Arial" w:hAnsi="Arial"/>
                <w:sz w:val="12"/>
                <w:szCs w:val="12"/>
                <w:color w:val="auto"/>
              </w:rPr>
              <w:t>(20</w:t>
            </w:r>
            <w:r>
              <w:rPr>
                <w:rFonts w:ascii="Arial" w:cs="Arial" w:eastAsia="Arial" w:hAnsi="Arial"/>
                <w:sz w:val="20"/>
                <w:szCs w:val="20"/>
                <w:color w:val="auto"/>
                <w:vertAlign w:val="superscript"/>
              </w:rPr>
              <w:t>)</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160"/>
              <w:spacing w:after="0" w:line="176" w:lineRule="exact"/>
              <w:rPr>
                <w:sz w:val="20"/>
                <w:szCs w:val="20"/>
                <w:color w:val="auto"/>
              </w:rPr>
            </w:pPr>
            <w:r>
              <w:rPr>
                <w:rFonts w:ascii="Arial" w:cs="Arial" w:eastAsia="Arial" w:hAnsi="Arial"/>
                <w:sz w:val="12"/>
                <w:szCs w:val="12"/>
                <w:b w:val="1"/>
                <w:bCs w:val="1"/>
                <w:color w:val="auto"/>
              </w:rPr>
              <w:t>(6,815</w:t>
            </w:r>
            <w:r>
              <w:rPr>
                <w:rFonts w:ascii="Arial" w:cs="Arial" w:eastAsia="Arial" w:hAnsi="Arial"/>
                <w:sz w:val="20"/>
                <w:szCs w:val="20"/>
                <w:b w:val="1"/>
                <w:bCs w:val="1"/>
                <w:color w:val="auto"/>
                <w:vertAlign w:val="superscript"/>
              </w:rPr>
              <w:t>)</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2"/>
                <w:szCs w:val="12"/>
                <w:b w:val="1"/>
                <w:bCs w:val="1"/>
                <w:color w:val="auto"/>
              </w:rPr>
              <w:t>(3.1</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investments valued by the Board of Directors.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Percentages are based on net assets of $218,204 as of March 31, 2018.</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right="120" w:firstLine="8"/>
        <w:spacing w:after="0" w:line="250"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April 2, 2018, the debt investment was converted to equity as part of a restructuring. The investment was valued based on the new capital structure of the company.</w:t>
      </w: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$2.0 million unfunded commitment.</w:t>
      </w:r>
    </w:p>
    <w:p>
      <w:pPr>
        <w:spacing w:after="0" w:line="9" w:lineRule="exact"/>
        <w:rPr>
          <w:rFonts w:ascii="Arial" w:cs="Arial" w:eastAsia="Arial" w:hAnsi="Arial"/>
          <w:sz w:val="18"/>
          <w:szCs w:val="18"/>
          <w:color w:val="auto"/>
        </w:rPr>
      </w:pPr>
    </w:p>
    <w:p>
      <w:pPr>
        <w:ind w:right="100" w:firstLine="8"/>
        <w:spacing w:after="0" w:line="250" w:lineRule="auto"/>
        <w:tabs>
          <w:tab w:leader="none" w:pos="338"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March 31, 2018, 5.0% of the Company's total assets were non-qualifying assets.</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$0.5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headquartered in Brazil.</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has been exited. The residual value reflects estimated escrow to be settled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$0.7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and earnout to be settled post-closing.</w:t>
      </w:r>
    </w:p>
    <w:p>
      <w:pPr>
        <w:spacing w:after="0" w:line="9" w:lineRule="exact"/>
        <w:rPr>
          <w:rFonts w:ascii="Arial" w:cs="Arial" w:eastAsia="Arial" w:hAnsi="Arial"/>
          <w:sz w:val="18"/>
          <w:szCs w:val="18"/>
          <w:color w:val="auto"/>
        </w:rPr>
      </w:pPr>
    </w:p>
    <w:p>
      <w:pPr>
        <w:ind w:right="460" w:firstLine="8"/>
        <w:spacing w:after="0" w:line="250" w:lineRule="auto"/>
        <w:tabs>
          <w:tab w:leader="none" w:pos="34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has written a call option that enables CapitalSouth Partners Florida Sidecar Fund II, L.P. to purchase up to 31.25% of the Company's interest at a strike price of $1.5 million. As of March 31, 2018, the fair value of the written call option is approximately $6.8 million. See Note 4 to the consolidated financial statements for further detail on the written call option transaction.</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$0.8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$3.0 million unfunded commitment.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 xml:space="preserve">Portfolio Company, Country </w:t>
            </w:r>
            <w:r>
              <w:rPr>
                <w:rFonts w:ascii="Arial" w:cs="Arial" w:eastAsia="Arial" w:hAnsi="Arial"/>
                <w:sz w:val="23"/>
                <w:szCs w:val="23"/>
                <w:b w:val="1"/>
                <w:bCs w:val="1"/>
                <w:color w:val="auto"/>
                <w:w w:val="89"/>
                <w:vertAlign w:val="superscript"/>
              </w:rPr>
              <w:t>(1)</w:t>
            </w:r>
            <w:r>
              <w:rPr>
                <w:rFonts w:ascii="Arial" w:cs="Arial" w:eastAsia="Arial" w:hAnsi="Arial"/>
                <w:sz w:val="23"/>
                <w:szCs w:val="23"/>
                <w:b w:val="1"/>
                <w:bCs w:val="1"/>
                <w:u w:val="single" w:color="auto"/>
                <w:color w:val="auto"/>
                <w:w w:val="89"/>
                <w:vertAlign w:val="superscript"/>
              </w:rPr>
              <w:t>,</w:t>
            </w:r>
            <w:r>
              <w:rPr>
                <w:rFonts w:ascii="Arial" w:cs="Arial" w:eastAsia="Arial" w:hAnsi="Arial"/>
                <w:sz w:val="14"/>
                <w:szCs w:val="14"/>
                <w:b w:val="1"/>
                <w:bCs w:val="1"/>
                <w:color w:val="auto"/>
                <w:w w:val="89"/>
              </w:rPr>
              <w:t xml:space="preserve"> </w:t>
            </w:r>
            <w:r>
              <w:rPr>
                <w:rFonts w:ascii="Arial" w:cs="Arial" w:eastAsia="Arial" w:hAnsi="Arial"/>
                <w:sz w:val="23"/>
                <w:szCs w:val="23"/>
                <w:b w:val="1"/>
                <w:bCs w:val="1"/>
                <w:color w:val="auto"/>
                <w:w w:val="89"/>
                <w:vertAlign w:val="superscript"/>
              </w:rPr>
              <w:t>(2), (3), (4)</w:t>
            </w:r>
          </w:p>
        </w:tc>
        <w:tc>
          <w:tcPr>
            <w:tcW w:w="18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Industry</w:t>
            </w:r>
          </w:p>
        </w:tc>
        <w:tc>
          <w:tcPr>
            <w:tcW w:w="18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Type of Investment</w:t>
            </w:r>
          </w:p>
        </w:tc>
        <w:tc>
          <w:tcPr>
            <w:tcW w:w="18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8"/>
              </w:rPr>
              <w:t>Non-control/non-affiliated investments -</w:t>
            </w:r>
          </w:p>
        </w:tc>
        <w:tc>
          <w:tcPr>
            <w:tcW w:w="1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130.0%</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8"/>
              </w:rPr>
              <w:t>Non-control/non-affiliated investments -</w:t>
            </w:r>
          </w:p>
        </w:tc>
        <w:tc>
          <w:tcPr>
            <w:tcW w:w="1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United States</w:t>
            </w: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3 Bridge Solutions, LLC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IT Consulting</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(10.38%</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(1 month LIBOR +</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9.0%, 1% Floor), Due</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12/4/22)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11,250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11,250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11,250</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3 Bridge Solutions, LLC</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IT Consulting</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Preferred Units (965,250</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units, 8% PIK) </w:t>
            </w:r>
            <w:r>
              <w:rPr>
                <w:rFonts w:ascii="Arial" w:cs="Arial" w:eastAsia="Arial" w:hAnsi="Arial"/>
                <w:sz w:val="22"/>
                <w:szCs w:val="22"/>
                <w:color w:val="auto"/>
                <w:vertAlign w:val="superscript"/>
              </w:rPr>
              <w:t>(5)</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3 Bridge Solutions, LLC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IT Consulting</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Membership Units (39,000</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units)</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12,231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12,231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Alternative Biomedical Solutions, LLC</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Healthcare</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First Lien Debt (11.74%</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Cash, Due 12/18/22) </w:t>
            </w:r>
            <w:r>
              <w:rPr>
                <w:rFonts w:ascii="Arial" w:cs="Arial" w:eastAsia="Arial" w:hAnsi="Arial"/>
                <w:sz w:val="22"/>
                <w:szCs w:val="22"/>
                <w:color w:val="auto"/>
                <w:vertAlign w:val="superscript"/>
              </w:rPr>
              <w:t>(6)</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 Solutions, LLC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Membership Units (20,092</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units)</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 LLC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(10.5% Cash,</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 PIK, Due 6/11/20)</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9,068</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9,068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9,068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Replacement Window</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(10% PIK,</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1820" w:type="dxa"/>
            <w:vAlign w:val="bottom"/>
            <w:gridSpan w:val="2"/>
            <w:shd w:val="clear" w:color="auto" w:fill="CCEEFF"/>
          </w:tcPr>
          <w:p>
            <w:pPr>
              <w:spacing w:after="0" w:line="208" w:lineRule="exact"/>
              <w:rPr>
                <w:sz w:val="20"/>
                <w:szCs w:val="20"/>
                <w:color w:val="auto"/>
              </w:rPr>
            </w:pPr>
            <w:r>
              <w:rPr>
                <w:rFonts w:ascii="Arial" w:cs="Arial" w:eastAsia="Arial" w:hAnsi="Arial"/>
                <w:sz w:val="14"/>
                <w:szCs w:val="14"/>
                <w:color w:val="auto"/>
              </w:rPr>
              <w:t xml:space="preserve">Due 1/1/19) </w:t>
            </w:r>
            <w:r>
              <w:rPr>
                <w:rFonts w:ascii="Arial" w:cs="Arial" w:eastAsia="Arial" w:hAnsi="Arial"/>
                <w:sz w:val="23"/>
                <w:szCs w:val="23"/>
                <w:color w:val="auto"/>
                <w:vertAlign w:val="superscript"/>
              </w:rPr>
              <w:t>(7)(8)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8,287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Replacement Window</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Warrants</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 fully diluted)</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5,679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AmeriMark Direct, LLC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(12.75%</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Due 9/8/21)</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19,100</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18,713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19,100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18,713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19,100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B&amp;W Quality Growers, LLC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Farming</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Membership Unit Warrants</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(91,739 Units)</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5,581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5,581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BigMouth, Inc.</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Consumer Products</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First Lien Debt (13.3% Cash,</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Due 11/14/21) </w:t>
            </w:r>
            <w:r>
              <w:rPr>
                <w:rFonts w:ascii="Arial" w:cs="Arial" w:eastAsia="Arial" w:hAnsi="Arial"/>
                <w:sz w:val="22"/>
                <w:szCs w:val="22"/>
                <w:color w:val="auto"/>
                <w:vertAlign w:val="superscript"/>
              </w:rPr>
              <w:t>(6)</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9,790</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9,790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9,790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BigMouth, Inc.</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Consumer Products</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Series A Preferred Stock</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line="211" w:lineRule="exact"/>
              <w:rPr>
                <w:sz w:val="20"/>
                <w:szCs w:val="20"/>
                <w:color w:val="auto"/>
              </w:rPr>
            </w:pPr>
            <w:r>
              <w:rPr>
                <w:rFonts w:ascii="Arial" w:cs="Arial" w:eastAsia="Arial" w:hAnsi="Arial"/>
                <w:sz w:val="14"/>
                <w:szCs w:val="14"/>
                <w:color w:val="auto"/>
                <w:w w:val="98"/>
              </w:rPr>
              <w:t xml:space="preserve">(350,000 shares, 8% PIK) </w:t>
            </w:r>
            <w:r>
              <w:rPr>
                <w:rFonts w:ascii="Arial" w:cs="Arial" w:eastAsia="Arial" w:hAnsi="Arial"/>
                <w:sz w:val="23"/>
                <w:szCs w:val="23"/>
                <w:color w:val="auto"/>
                <w:w w:val="98"/>
                <w:vertAlign w:val="superscript"/>
              </w:rPr>
              <w:t>(5)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5" w:name="page16"/>
    <w:bookmarkEnd w:id="15"/>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ectPr>
          <w:pgSz w:w="11900" w:h="16838" w:orient="portrait"/>
          <w:cols w:equalWidth="0" w:num="1">
            <w:col w:w="11420"/>
          </w:cols>
          <w:pgMar w:left="240" w:top="904" w:right="239" w:bottom="1440" w:gutter="0" w:footer="0" w:header="0"/>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w w:val="90"/>
              </w:rPr>
              <w:t xml:space="preserve">Portfolio Company, Country </w:t>
            </w:r>
            <w:r>
              <w:rPr>
                <w:rFonts w:ascii="Arial" w:cs="Arial" w:eastAsia="Arial" w:hAnsi="Arial"/>
                <w:sz w:val="23"/>
                <w:szCs w:val="23"/>
                <w:b w:val="1"/>
                <w:bCs w:val="1"/>
                <w:color w:val="auto"/>
                <w:w w:val="90"/>
                <w:vertAlign w:val="superscript"/>
              </w:rPr>
              <w:t>(1)</w:t>
            </w:r>
            <w:r>
              <w:rPr>
                <w:rFonts w:ascii="Arial" w:cs="Arial" w:eastAsia="Arial" w:hAnsi="Arial"/>
                <w:sz w:val="23"/>
                <w:szCs w:val="23"/>
                <w:b w:val="1"/>
                <w:bCs w:val="1"/>
                <w:u w:val="single" w:color="auto"/>
                <w:color w:val="auto"/>
                <w:w w:val="90"/>
                <w:vertAlign w:val="superscript"/>
              </w:rPr>
              <w:t>,</w:t>
            </w:r>
            <w:r>
              <w:rPr>
                <w:rFonts w:ascii="Arial" w:cs="Arial" w:eastAsia="Arial" w:hAnsi="Arial"/>
                <w:sz w:val="14"/>
                <w:szCs w:val="14"/>
                <w:b w:val="1"/>
                <w:bCs w:val="1"/>
                <w:color w:val="auto"/>
                <w:w w:val="90"/>
              </w:rPr>
              <w:t xml:space="preserve"> </w:t>
            </w:r>
            <w:r>
              <w:rPr>
                <w:rFonts w:ascii="Arial" w:cs="Arial" w:eastAsia="Arial" w:hAnsi="Arial"/>
                <w:sz w:val="23"/>
                <w:szCs w:val="23"/>
                <w:b w:val="1"/>
                <w:bCs w:val="1"/>
                <w:color w:val="auto"/>
                <w:w w:val="90"/>
                <w:vertAlign w:val="superscript"/>
              </w:rPr>
              <w:t>(2), (3), (4)</w:t>
            </w:r>
          </w:p>
        </w:tc>
        <w:tc>
          <w:tcPr>
            <w:tcW w:w="1680" w:type="dxa"/>
            <w:vAlign w:val="bottom"/>
          </w:tcPr>
          <w:p>
            <w:pPr>
              <w:ind w:left="58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22"/>
                <w:szCs w:val="22"/>
                <w:color w:val="auto"/>
              </w:rPr>
            </w:pPr>
          </w:p>
        </w:tc>
        <w:tc>
          <w:tcPr>
            <w:tcW w:w="1760" w:type="dxa"/>
            <w:vAlign w:val="bottom"/>
          </w:tcPr>
          <w:p>
            <w:pPr>
              <w:ind w:left="300"/>
              <w:spacing w:after="0"/>
              <w:rPr>
                <w:sz w:val="20"/>
                <w:szCs w:val="20"/>
                <w:color w:val="auto"/>
              </w:rPr>
            </w:pPr>
            <w:r>
              <w:rPr>
                <w:rFonts w:ascii="Arial" w:cs="Arial" w:eastAsia="Arial" w:hAnsi="Arial"/>
                <w:sz w:val="14"/>
                <w:szCs w:val="14"/>
                <w:b w:val="1"/>
                <w:bCs w:val="1"/>
                <w:color w:val="auto"/>
              </w:rPr>
              <w:t>Type of Investment</w:t>
            </w:r>
          </w:p>
        </w:tc>
      </w:tr>
      <w:tr>
        <w:trPr>
          <w:trHeight w:val="272"/>
        </w:trPr>
        <w:tc>
          <w:tcPr>
            <w:tcW w:w="2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Bluestem Brands, Inc.</w:t>
            </w:r>
          </w:p>
        </w:tc>
        <w:tc>
          <w:tcPr>
            <w:tcW w:w="100" w:type="dxa"/>
            <w:vAlign w:val="bottom"/>
          </w:tcPr>
          <w:p>
            <w:pPr>
              <w:spacing w:after="0"/>
              <w:rPr>
                <w:sz w:val="23"/>
                <w:szCs w:val="23"/>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3"/>
              </w:rPr>
              <w:t>Online Merchandise Retailer</w:t>
            </w:r>
          </w:p>
        </w:tc>
        <w:tc>
          <w:tcPr>
            <w:tcW w:w="100" w:type="dxa"/>
            <w:vAlign w:val="bottom"/>
          </w:tcPr>
          <w:p>
            <w:pPr>
              <w:spacing w:after="0"/>
              <w:rPr>
                <w:sz w:val="23"/>
                <w:szCs w:val="23"/>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8"/>
              </w:rPr>
              <w:t>First Lien Debt (9.07% Cash</w:t>
            </w:r>
          </w:p>
        </w:tc>
      </w:tr>
      <w:tr>
        <w:trPr>
          <w:trHeight w:val="14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8"/>
              </w:rPr>
              <w:t>(1 month LIBOR + 7.5%, 1%</w:t>
            </w:r>
          </w:p>
        </w:tc>
      </w:tr>
      <w:tr>
        <w:trPr>
          <w:trHeight w:val="182"/>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Floor), Due 11/7/20)</w:t>
            </w:r>
          </w:p>
        </w:tc>
      </w:tr>
      <w:tr>
        <w:trPr>
          <w:trHeight w:val="615"/>
        </w:trPr>
        <w:tc>
          <w:tcPr>
            <w:tcW w:w="2640" w:type="dxa"/>
            <w:vAlign w:val="bottom"/>
            <w:gridSpan w:val="2"/>
          </w:tcPr>
          <w:p>
            <w:pPr>
              <w:spacing w:after="0"/>
              <w:rPr>
                <w:sz w:val="20"/>
                <w:szCs w:val="20"/>
                <w:color w:val="auto"/>
              </w:rPr>
            </w:pPr>
            <w:r>
              <w:rPr>
                <w:rFonts w:ascii="Arial" w:cs="Arial" w:eastAsia="Arial" w:hAnsi="Arial"/>
                <w:sz w:val="14"/>
                <w:szCs w:val="14"/>
                <w:color w:val="auto"/>
              </w:rPr>
              <w:t>Brunswick Bowling Products, Inc.</w:t>
            </w:r>
          </w:p>
        </w:tc>
        <w:tc>
          <w:tcPr>
            <w:tcW w:w="1680" w:type="dxa"/>
            <w:vAlign w:val="bottom"/>
          </w:tcPr>
          <w:p>
            <w:pPr>
              <w:spacing w:after="0"/>
              <w:rPr>
                <w:sz w:val="20"/>
                <w:szCs w:val="20"/>
                <w:color w:val="auto"/>
              </w:rPr>
            </w:pPr>
            <w:r>
              <w:rPr>
                <w:rFonts w:ascii="Arial" w:cs="Arial" w:eastAsia="Arial" w:hAnsi="Arial"/>
                <w:sz w:val="14"/>
                <w:szCs w:val="14"/>
                <w:color w:val="auto"/>
              </w:rPr>
              <w:t>Bowling Products</w:t>
            </w: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First Lien Debt (8% Cash (1</w:t>
            </w:r>
          </w:p>
        </w:tc>
      </w:tr>
      <w:tr>
        <w:trPr>
          <w:trHeight w:val="14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month LIBOR + 6%, 2%</w:t>
            </w:r>
          </w:p>
        </w:tc>
      </w:tr>
      <w:tr>
        <w:trPr>
          <w:trHeight w:val="182"/>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Floor), Due 5/22/20)</w:t>
            </w:r>
          </w:p>
        </w:tc>
      </w:tr>
      <w:tr>
        <w:trPr>
          <w:trHeight w:val="263"/>
        </w:trPr>
        <w:tc>
          <w:tcPr>
            <w:tcW w:w="2640" w:type="dxa"/>
            <w:vAlign w:val="bottom"/>
            <w:gridSpan w:val="2"/>
          </w:tcPr>
          <w:p>
            <w:pPr>
              <w:spacing w:after="0"/>
              <w:rPr>
                <w:sz w:val="20"/>
                <w:szCs w:val="20"/>
                <w:color w:val="auto"/>
              </w:rPr>
            </w:pPr>
            <w:r>
              <w:rPr>
                <w:rFonts w:ascii="Arial" w:cs="Arial" w:eastAsia="Arial" w:hAnsi="Arial"/>
                <w:sz w:val="14"/>
                <w:szCs w:val="14"/>
                <w:color w:val="auto"/>
              </w:rPr>
              <w:t>Brunswick Bowling Products, Inc.</w:t>
            </w:r>
          </w:p>
        </w:tc>
        <w:tc>
          <w:tcPr>
            <w:tcW w:w="1680" w:type="dxa"/>
            <w:vAlign w:val="bottom"/>
          </w:tcPr>
          <w:p>
            <w:pPr>
              <w:spacing w:after="0"/>
              <w:rPr>
                <w:sz w:val="20"/>
                <w:szCs w:val="20"/>
                <w:color w:val="auto"/>
              </w:rPr>
            </w:pPr>
            <w:r>
              <w:rPr>
                <w:rFonts w:ascii="Arial" w:cs="Arial" w:eastAsia="Arial" w:hAnsi="Arial"/>
                <w:sz w:val="14"/>
                <w:szCs w:val="14"/>
                <w:color w:val="auto"/>
              </w:rPr>
              <w:t>Bowling Products</w:t>
            </w: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w w:val="94"/>
              </w:rPr>
              <w:t>First Lien Debt (16.25% Cash</w:t>
            </w:r>
          </w:p>
        </w:tc>
      </w:tr>
      <w:tr>
        <w:trPr>
          <w:trHeight w:val="14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 month LIBOR + 14.25%,</w:t>
            </w:r>
          </w:p>
        </w:tc>
      </w:tr>
      <w:tr>
        <w:trPr>
          <w:trHeight w:val="182"/>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2% Floor), Due 5/22/20)</w:t>
            </w:r>
          </w:p>
        </w:tc>
      </w:tr>
      <w:tr>
        <w:trPr>
          <w:trHeight w:val="615"/>
        </w:trPr>
        <w:tc>
          <w:tcPr>
            <w:tcW w:w="2640" w:type="dxa"/>
            <w:vAlign w:val="bottom"/>
            <w:gridSpan w:val="2"/>
          </w:tcPr>
          <w:p>
            <w:pPr>
              <w:spacing w:after="0"/>
              <w:rPr>
                <w:sz w:val="20"/>
                <w:szCs w:val="20"/>
                <w:color w:val="auto"/>
              </w:rPr>
            </w:pPr>
            <w:r>
              <w:rPr>
                <w:rFonts w:ascii="Arial" w:cs="Arial" w:eastAsia="Arial" w:hAnsi="Arial"/>
                <w:sz w:val="14"/>
                <w:szCs w:val="14"/>
                <w:color w:val="auto"/>
              </w:rPr>
              <w:t>Burke America Parts Group, LLC</w:t>
            </w:r>
          </w:p>
        </w:tc>
        <w:tc>
          <w:tcPr>
            <w:tcW w:w="1680" w:type="dxa"/>
            <w:vAlign w:val="bottom"/>
          </w:tcPr>
          <w:p>
            <w:pPr>
              <w:spacing w:after="0"/>
              <w:rPr>
                <w:sz w:val="20"/>
                <w:szCs w:val="20"/>
                <w:color w:val="auto"/>
              </w:rPr>
            </w:pPr>
            <w:r>
              <w:rPr>
                <w:rFonts w:ascii="Arial" w:cs="Arial" w:eastAsia="Arial" w:hAnsi="Arial"/>
                <w:sz w:val="14"/>
                <w:szCs w:val="14"/>
                <w:color w:val="auto"/>
              </w:rPr>
              <w:t>Home Repair Parts</w:t>
            </w: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w w:val="99"/>
              </w:rPr>
              <w:t>Membership Units (14 units)</w:t>
            </w:r>
          </w:p>
        </w:tc>
      </w:tr>
      <w:tr>
        <w:trPr>
          <w:trHeight w:val="182"/>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4"/>
                <w:szCs w:val="14"/>
                <w:color w:val="auto"/>
              </w:rPr>
              <w:t>Manufacturer</w:t>
            </w: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615"/>
        </w:trPr>
        <w:tc>
          <w:tcPr>
            <w:tcW w:w="2640" w:type="dxa"/>
            <w:vAlign w:val="bottom"/>
            <w:gridSpan w:val="2"/>
          </w:tcPr>
          <w:p>
            <w:pPr>
              <w:spacing w:after="0"/>
              <w:rPr>
                <w:sz w:val="20"/>
                <w:szCs w:val="20"/>
                <w:color w:val="auto"/>
              </w:rPr>
            </w:pPr>
            <w:r>
              <w:rPr>
                <w:rFonts w:ascii="Arial" w:cs="Arial" w:eastAsia="Arial" w:hAnsi="Arial"/>
                <w:sz w:val="14"/>
                <w:szCs w:val="14"/>
                <w:color w:val="auto"/>
              </w:rPr>
              <w:t>California Pizza Kitchen, Inc.</w:t>
            </w:r>
          </w:p>
        </w:tc>
        <w:tc>
          <w:tcPr>
            <w:tcW w:w="1680" w:type="dxa"/>
            <w:vAlign w:val="bottom"/>
          </w:tcPr>
          <w:p>
            <w:pPr>
              <w:spacing w:after="0"/>
              <w:rPr>
                <w:sz w:val="20"/>
                <w:szCs w:val="20"/>
                <w:color w:val="auto"/>
              </w:rPr>
            </w:pPr>
            <w:r>
              <w:rPr>
                <w:rFonts w:ascii="Arial" w:cs="Arial" w:eastAsia="Arial" w:hAnsi="Arial"/>
                <w:sz w:val="14"/>
                <w:szCs w:val="14"/>
                <w:color w:val="auto"/>
              </w:rPr>
              <w:t>Restaurant</w:t>
            </w: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Second Lien Debt (11.57%</w:t>
            </w:r>
          </w:p>
        </w:tc>
      </w:tr>
      <w:tr>
        <w:trPr>
          <w:trHeight w:val="14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Cash (1 month LIBOR +</w:t>
            </w:r>
          </w:p>
        </w:tc>
      </w:tr>
      <w:tr>
        <w:trPr>
          <w:trHeight w:val="14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10%, 1% Floor), Due</w:t>
            </w:r>
          </w:p>
        </w:tc>
      </w:tr>
      <w:tr>
        <w:trPr>
          <w:trHeight w:val="182"/>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8/23/23)</w:t>
            </w:r>
          </w:p>
        </w:tc>
      </w:tr>
      <w:tr>
        <w:trPr>
          <w:trHeight w:val="615"/>
        </w:trPr>
        <w:tc>
          <w:tcPr>
            <w:tcW w:w="2640" w:type="dxa"/>
            <w:vAlign w:val="bottom"/>
            <w:gridSpan w:val="2"/>
          </w:tcPr>
          <w:p>
            <w:pPr>
              <w:spacing w:after="0"/>
              <w:rPr>
                <w:sz w:val="20"/>
                <w:szCs w:val="20"/>
                <w:color w:val="auto"/>
              </w:rPr>
            </w:pPr>
            <w:r>
              <w:rPr>
                <w:rFonts w:ascii="Arial" w:cs="Arial" w:eastAsia="Arial" w:hAnsi="Arial"/>
                <w:sz w:val="14"/>
                <w:szCs w:val="14"/>
                <w:color w:val="auto"/>
              </w:rPr>
              <w:t>Caregiver Services, Inc.</w:t>
            </w:r>
          </w:p>
        </w:tc>
        <w:tc>
          <w:tcPr>
            <w:tcW w:w="1680" w:type="dxa"/>
            <w:vAlign w:val="bottom"/>
          </w:tcPr>
          <w:p>
            <w:pPr>
              <w:spacing w:after="0"/>
              <w:rPr>
                <w:sz w:val="20"/>
                <w:szCs w:val="20"/>
                <w:color w:val="auto"/>
              </w:rPr>
            </w:pPr>
            <w:r>
              <w:rPr>
                <w:rFonts w:ascii="Arial" w:cs="Arial" w:eastAsia="Arial" w:hAnsi="Arial"/>
                <w:sz w:val="14"/>
                <w:szCs w:val="14"/>
                <w:color w:val="auto"/>
              </w:rPr>
              <w:t>In-Home Healthcare</w:t>
            </w: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Common Stock (293,186</w:t>
            </w:r>
          </w:p>
        </w:tc>
      </w:tr>
      <w:tr>
        <w:trPr>
          <w:trHeight w:val="182"/>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4"/>
                <w:szCs w:val="14"/>
                <w:color w:val="auto"/>
              </w:rPr>
              <w:t>Services</w:t>
            </w: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shares)</w:t>
            </w:r>
          </w:p>
        </w:tc>
      </w:tr>
      <w:tr>
        <w:trPr>
          <w:trHeight w:val="263"/>
        </w:trPr>
        <w:tc>
          <w:tcPr>
            <w:tcW w:w="2640" w:type="dxa"/>
            <w:vAlign w:val="bottom"/>
            <w:gridSpan w:val="2"/>
          </w:tcPr>
          <w:p>
            <w:pPr>
              <w:spacing w:after="0"/>
              <w:rPr>
                <w:sz w:val="20"/>
                <w:szCs w:val="20"/>
                <w:color w:val="auto"/>
              </w:rPr>
            </w:pPr>
            <w:r>
              <w:rPr>
                <w:rFonts w:ascii="Arial" w:cs="Arial" w:eastAsia="Arial" w:hAnsi="Arial"/>
                <w:sz w:val="14"/>
                <w:szCs w:val="14"/>
                <w:color w:val="auto"/>
              </w:rPr>
              <w:t>Caregiver Services, Inc.</w:t>
            </w:r>
          </w:p>
        </w:tc>
        <w:tc>
          <w:tcPr>
            <w:tcW w:w="1680" w:type="dxa"/>
            <w:vAlign w:val="bottom"/>
          </w:tcPr>
          <w:p>
            <w:pPr>
              <w:spacing w:after="0"/>
              <w:rPr>
                <w:sz w:val="20"/>
                <w:szCs w:val="20"/>
                <w:color w:val="auto"/>
              </w:rPr>
            </w:pPr>
            <w:r>
              <w:rPr>
                <w:rFonts w:ascii="Arial" w:cs="Arial" w:eastAsia="Arial" w:hAnsi="Arial"/>
                <w:sz w:val="14"/>
                <w:szCs w:val="14"/>
                <w:color w:val="auto"/>
              </w:rPr>
              <w:t>In-Home Healthcare</w:t>
            </w: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Common Stock Warrants</w:t>
            </w:r>
          </w:p>
        </w:tc>
      </w:tr>
      <w:tr>
        <w:trPr>
          <w:trHeight w:val="323"/>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4"/>
                <w:szCs w:val="14"/>
                <w:color w:val="auto"/>
              </w:rPr>
              <w:t>Services</w:t>
            </w: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 xml:space="preserve">(655,908 units) </w:t>
            </w:r>
            <w:r>
              <w:rPr>
                <w:rFonts w:ascii="Arial" w:cs="Arial" w:eastAsia="Arial" w:hAnsi="Arial"/>
                <w:sz w:val="23"/>
                <w:szCs w:val="23"/>
                <w:color w:val="auto"/>
                <w:vertAlign w:val="superscript"/>
              </w:rPr>
              <w:t>(9)</w:t>
            </w:r>
          </w:p>
        </w:tc>
      </w:tr>
      <w:tr>
        <w:trPr>
          <w:trHeight w:val="524"/>
        </w:trPr>
        <w:tc>
          <w:tcPr>
            <w:tcW w:w="2640" w:type="dxa"/>
            <w:vAlign w:val="bottom"/>
            <w:gridSpan w:val="2"/>
          </w:tcPr>
          <w:p>
            <w:pPr>
              <w:spacing w:after="0"/>
              <w:rPr>
                <w:sz w:val="20"/>
                <w:szCs w:val="20"/>
                <w:color w:val="auto"/>
              </w:rPr>
            </w:pPr>
            <w:r>
              <w:rPr>
                <w:rFonts w:ascii="Arial" w:cs="Arial" w:eastAsia="Arial" w:hAnsi="Arial"/>
                <w:sz w:val="14"/>
                <w:szCs w:val="14"/>
                <w:color w:val="auto"/>
              </w:rPr>
              <w:t>Cedar Electronics Holding Corp.</w:t>
            </w:r>
          </w:p>
        </w:tc>
        <w:tc>
          <w:tcPr>
            <w:tcW w:w="1680" w:type="dxa"/>
            <w:vAlign w:val="bottom"/>
          </w:tcPr>
          <w:p>
            <w:pPr>
              <w:spacing w:after="0"/>
              <w:rPr>
                <w:sz w:val="20"/>
                <w:szCs w:val="20"/>
                <w:color w:val="auto"/>
              </w:rPr>
            </w:pPr>
            <w:r>
              <w:rPr>
                <w:rFonts w:ascii="Arial" w:cs="Arial" w:eastAsia="Arial" w:hAnsi="Arial"/>
                <w:sz w:val="14"/>
                <w:szCs w:val="14"/>
                <w:color w:val="auto"/>
              </w:rPr>
              <w:t>Consumer Electronics</w:t>
            </w: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Subordinated Debt (12%</w:t>
            </w:r>
          </w:p>
        </w:tc>
      </w:tr>
      <w:tr>
        <w:trPr>
          <w:trHeight w:val="313"/>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 xml:space="preserve">Cash, Due 12/26/20) </w:t>
            </w:r>
            <w:r>
              <w:rPr>
                <w:rFonts w:ascii="Arial" w:cs="Arial" w:eastAsia="Arial" w:hAnsi="Arial"/>
                <w:sz w:val="23"/>
                <w:szCs w:val="23"/>
                <w:color w:val="auto"/>
                <w:vertAlign w:val="superscript"/>
              </w:rPr>
              <w:t>(7)</w:t>
            </w:r>
          </w:p>
        </w:tc>
      </w:tr>
      <w:tr>
        <w:trPr>
          <w:trHeight w:val="514"/>
        </w:trPr>
        <w:tc>
          <w:tcPr>
            <w:tcW w:w="2640" w:type="dxa"/>
            <w:vAlign w:val="bottom"/>
            <w:gridSpan w:val="2"/>
          </w:tcPr>
          <w:p>
            <w:pPr>
              <w:spacing w:after="0"/>
              <w:rPr>
                <w:sz w:val="20"/>
                <w:szCs w:val="20"/>
                <w:color w:val="auto"/>
              </w:rPr>
            </w:pPr>
            <w:r>
              <w:rPr>
                <w:rFonts w:ascii="Arial" w:cs="Arial" w:eastAsia="Arial" w:hAnsi="Arial"/>
                <w:sz w:val="14"/>
                <w:szCs w:val="14"/>
                <w:color w:val="auto"/>
              </w:rPr>
              <w:t>CIS Secure Computing, Inc.</w:t>
            </w:r>
          </w:p>
        </w:tc>
        <w:tc>
          <w:tcPr>
            <w:tcW w:w="1680" w:type="dxa"/>
            <w:vAlign w:val="bottom"/>
          </w:tcPr>
          <w:p>
            <w:pPr>
              <w:spacing w:after="0"/>
              <w:rPr>
                <w:sz w:val="20"/>
                <w:szCs w:val="20"/>
                <w:color w:val="auto"/>
              </w:rPr>
            </w:pPr>
            <w:r>
              <w:rPr>
                <w:rFonts w:ascii="Arial" w:cs="Arial" w:eastAsia="Arial" w:hAnsi="Arial"/>
                <w:sz w:val="14"/>
                <w:szCs w:val="14"/>
                <w:color w:val="auto"/>
              </w:rPr>
              <w:t>Government Services</w:t>
            </w: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w w:val="98"/>
              </w:rPr>
              <w:t>First Lien Debt (9.88% Cash</w:t>
            </w:r>
          </w:p>
        </w:tc>
      </w:tr>
      <w:tr>
        <w:trPr>
          <w:trHeight w:val="14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8"/>
              </w:rPr>
              <w:t>(1 month LIBOR + 8.5%, 1%</w:t>
            </w:r>
          </w:p>
        </w:tc>
      </w:tr>
      <w:tr>
        <w:trPr>
          <w:trHeight w:val="158"/>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gridSpan w:val="2"/>
          </w:tcPr>
          <w:p>
            <w:pPr>
              <w:ind w:left="100"/>
              <w:spacing w:after="0" w:line="159" w:lineRule="exact"/>
              <w:rPr>
                <w:sz w:val="20"/>
                <w:szCs w:val="20"/>
                <w:color w:val="auto"/>
              </w:rPr>
            </w:pPr>
            <w:r>
              <w:rPr>
                <w:rFonts w:ascii="Arial" w:cs="Arial" w:eastAsia="Arial" w:hAnsi="Arial"/>
                <w:sz w:val="14"/>
                <w:szCs w:val="14"/>
                <w:color w:val="auto"/>
                <w:w w:val="96"/>
              </w:rPr>
              <w:t>Floor), 1% PIK, Due 9/14/22)</w:t>
            </w:r>
          </w:p>
        </w:tc>
      </w:tr>
      <w:tr>
        <w:trPr>
          <w:trHeight w:val="153"/>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gridSpan w:val="2"/>
          </w:tcPr>
          <w:p>
            <w:pPr>
              <w:ind w:left="100"/>
              <w:spacing w:after="0"/>
              <w:rPr>
                <w:sz w:val="20"/>
                <w:szCs w:val="20"/>
                <w:color w:val="auto"/>
              </w:rPr>
            </w:pPr>
            <w:r>
              <w:rPr>
                <w:rFonts w:ascii="Arial" w:cs="Arial" w:eastAsia="Arial" w:hAnsi="Arial"/>
                <w:sz w:val="12"/>
                <w:szCs w:val="12"/>
                <w:color w:val="auto"/>
              </w:rPr>
              <w:t>(10)</w:t>
            </w:r>
          </w:p>
        </w:tc>
      </w:tr>
      <w:tr>
        <w:trPr>
          <w:trHeight w:val="296"/>
        </w:trPr>
        <w:tc>
          <w:tcPr>
            <w:tcW w:w="2640" w:type="dxa"/>
            <w:vAlign w:val="bottom"/>
            <w:gridSpan w:val="2"/>
          </w:tcPr>
          <w:p>
            <w:pPr>
              <w:spacing w:after="0"/>
              <w:rPr>
                <w:sz w:val="20"/>
                <w:szCs w:val="20"/>
                <w:color w:val="auto"/>
              </w:rPr>
            </w:pPr>
            <w:r>
              <w:rPr>
                <w:rFonts w:ascii="Arial" w:cs="Arial" w:eastAsia="Arial" w:hAnsi="Arial"/>
                <w:sz w:val="14"/>
                <w:szCs w:val="14"/>
                <w:color w:val="auto"/>
              </w:rPr>
              <w:t>CIS Secure Computing, Inc.</w:t>
            </w:r>
          </w:p>
        </w:tc>
        <w:tc>
          <w:tcPr>
            <w:tcW w:w="1680" w:type="dxa"/>
            <w:vAlign w:val="bottom"/>
          </w:tcPr>
          <w:p>
            <w:pPr>
              <w:spacing w:after="0"/>
              <w:rPr>
                <w:sz w:val="20"/>
                <w:szCs w:val="20"/>
                <w:color w:val="auto"/>
              </w:rPr>
            </w:pPr>
            <w:r>
              <w:rPr>
                <w:rFonts w:ascii="Arial" w:cs="Arial" w:eastAsia="Arial" w:hAnsi="Arial"/>
                <w:sz w:val="14"/>
                <w:szCs w:val="14"/>
                <w:color w:val="auto"/>
              </w:rPr>
              <w:t>Government Services</w:t>
            </w: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Common Stock (46,163</w:t>
            </w:r>
          </w:p>
        </w:tc>
      </w:tr>
      <w:tr>
        <w:trPr>
          <w:trHeight w:val="182"/>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shares)</w:t>
            </w:r>
          </w:p>
        </w:tc>
      </w:tr>
      <w:tr>
        <w:trPr>
          <w:trHeight w:val="615"/>
        </w:trPr>
        <w:tc>
          <w:tcPr>
            <w:tcW w:w="2640" w:type="dxa"/>
            <w:vAlign w:val="bottom"/>
            <w:gridSpan w:val="2"/>
          </w:tcPr>
          <w:p>
            <w:pPr>
              <w:spacing w:after="0"/>
              <w:rPr>
                <w:sz w:val="20"/>
                <w:szCs w:val="20"/>
                <w:color w:val="auto"/>
              </w:rPr>
            </w:pPr>
            <w:r>
              <w:rPr>
                <w:rFonts w:ascii="Arial" w:cs="Arial" w:eastAsia="Arial" w:hAnsi="Arial"/>
                <w:sz w:val="14"/>
                <w:szCs w:val="14"/>
                <w:color w:val="auto"/>
              </w:rPr>
              <w:t>Corporate Visions, Inc.</w:t>
            </w:r>
          </w:p>
        </w:tc>
        <w:tc>
          <w:tcPr>
            <w:tcW w:w="1680" w:type="dxa"/>
            <w:vAlign w:val="bottom"/>
          </w:tcPr>
          <w:p>
            <w:pPr>
              <w:spacing w:after="0"/>
              <w:rPr>
                <w:sz w:val="20"/>
                <w:szCs w:val="20"/>
                <w:color w:val="auto"/>
              </w:rPr>
            </w:pPr>
            <w:r>
              <w:rPr>
                <w:rFonts w:ascii="Arial" w:cs="Arial" w:eastAsia="Arial" w:hAnsi="Arial"/>
                <w:sz w:val="14"/>
                <w:szCs w:val="14"/>
                <w:color w:val="auto"/>
                <w:w w:val="96"/>
              </w:rPr>
              <w:t>Sales &amp; Marketing Services</w:t>
            </w: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w w:val="93"/>
              </w:rPr>
              <w:t>Subordinated Debt (9% Cash,</w:t>
            </w:r>
          </w:p>
        </w:tc>
      </w:tr>
      <w:tr>
        <w:trPr>
          <w:trHeight w:val="182"/>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2% PIK, Due 11/29/21)</w:t>
            </w:r>
          </w:p>
        </w:tc>
      </w:tr>
      <w:tr>
        <w:trPr>
          <w:trHeight w:val="263"/>
        </w:trPr>
        <w:tc>
          <w:tcPr>
            <w:tcW w:w="2640" w:type="dxa"/>
            <w:vAlign w:val="bottom"/>
            <w:gridSpan w:val="2"/>
          </w:tcPr>
          <w:p>
            <w:pPr>
              <w:spacing w:after="0"/>
              <w:rPr>
                <w:sz w:val="20"/>
                <w:szCs w:val="20"/>
                <w:color w:val="auto"/>
              </w:rPr>
            </w:pPr>
            <w:r>
              <w:rPr>
                <w:rFonts w:ascii="Arial" w:cs="Arial" w:eastAsia="Arial" w:hAnsi="Arial"/>
                <w:sz w:val="14"/>
                <w:szCs w:val="14"/>
                <w:color w:val="auto"/>
              </w:rPr>
              <w:t>Corporate Visions, Inc.</w:t>
            </w:r>
          </w:p>
        </w:tc>
        <w:tc>
          <w:tcPr>
            <w:tcW w:w="1680" w:type="dxa"/>
            <w:vAlign w:val="bottom"/>
          </w:tcPr>
          <w:p>
            <w:pPr>
              <w:spacing w:after="0"/>
              <w:rPr>
                <w:sz w:val="20"/>
                <w:szCs w:val="20"/>
                <w:color w:val="auto"/>
              </w:rPr>
            </w:pPr>
            <w:r>
              <w:rPr>
                <w:rFonts w:ascii="Arial" w:cs="Arial" w:eastAsia="Arial" w:hAnsi="Arial"/>
                <w:sz w:val="14"/>
                <w:szCs w:val="14"/>
                <w:color w:val="auto"/>
                <w:w w:val="96"/>
              </w:rPr>
              <w:t>Sales &amp; Marketing Services</w:t>
            </w: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Common Stock (15,750</w:t>
            </w:r>
          </w:p>
        </w:tc>
      </w:tr>
      <w:tr>
        <w:trPr>
          <w:trHeight w:val="182"/>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shares)</w:t>
            </w:r>
          </w:p>
        </w:tc>
      </w:tr>
      <w:tr>
        <w:trPr>
          <w:trHeight w:val="615"/>
        </w:trPr>
        <w:tc>
          <w:tcPr>
            <w:tcW w:w="2640" w:type="dxa"/>
            <w:vAlign w:val="bottom"/>
            <w:gridSpan w:val="2"/>
          </w:tcPr>
          <w:p>
            <w:pPr>
              <w:spacing w:after="0"/>
              <w:rPr>
                <w:sz w:val="20"/>
                <w:szCs w:val="20"/>
                <w:color w:val="auto"/>
              </w:rPr>
            </w:pPr>
            <w:r>
              <w:rPr>
                <w:rFonts w:ascii="Arial" w:cs="Arial" w:eastAsia="Arial" w:hAnsi="Arial"/>
                <w:sz w:val="14"/>
                <w:szCs w:val="14"/>
                <w:color w:val="auto"/>
              </w:rPr>
              <w:t>Currency Capital, LLC</w:t>
            </w:r>
          </w:p>
        </w:tc>
        <w:tc>
          <w:tcPr>
            <w:tcW w:w="1680" w:type="dxa"/>
            <w:vAlign w:val="bottom"/>
          </w:tcPr>
          <w:p>
            <w:pPr>
              <w:spacing w:after="0"/>
              <w:rPr>
                <w:sz w:val="20"/>
                <w:szCs w:val="20"/>
                <w:color w:val="auto"/>
              </w:rPr>
            </w:pPr>
            <w:r>
              <w:rPr>
                <w:rFonts w:ascii="Arial" w:cs="Arial" w:eastAsia="Arial" w:hAnsi="Arial"/>
                <w:sz w:val="14"/>
                <w:szCs w:val="14"/>
                <w:color w:val="auto"/>
              </w:rPr>
              <w:t>Financial Services</w:t>
            </w: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w w:val="94"/>
              </w:rPr>
              <w:t>First Lien Debt (12.38% Cash</w:t>
            </w:r>
          </w:p>
        </w:tc>
      </w:tr>
      <w:tr>
        <w:trPr>
          <w:trHeight w:val="14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 month LIBOR + 11%,</w:t>
            </w:r>
          </w:p>
        </w:tc>
      </w:tr>
      <w:tr>
        <w:trPr>
          <w:trHeight w:val="158"/>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0.50% Floor) Due 1/20/22)</w:t>
            </w:r>
          </w:p>
        </w:tc>
      </w:tr>
      <w:tr>
        <w:trPr>
          <w:trHeight w:val="153"/>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gridSpan w:val="2"/>
          </w:tcPr>
          <w:p>
            <w:pPr>
              <w:ind w:left="100"/>
              <w:spacing w:after="0"/>
              <w:rPr>
                <w:sz w:val="20"/>
                <w:szCs w:val="20"/>
                <w:color w:val="auto"/>
              </w:rPr>
            </w:pPr>
            <w:r>
              <w:rPr>
                <w:rFonts w:ascii="Arial" w:cs="Arial" w:eastAsia="Arial" w:hAnsi="Arial"/>
                <w:sz w:val="12"/>
                <w:szCs w:val="12"/>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-6273800</wp:posOffset>
            </wp:positionV>
            <wp:extent cx="7246620" cy="291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-5879465</wp:posOffset>
            </wp:positionV>
            <wp:extent cx="724662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-5673725</wp:posOffset>
            </wp:positionV>
            <wp:extent cx="7246620" cy="283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-5296535</wp:posOffset>
            </wp:positionV>
            <wp:extent cx="7246620" cy="291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-4901565</wp:posOffset>
            </wp:positionV>
            <wp:extent cx="7246620"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-4695825</wp:posOffset>
            </wp:positionV>
            <wp:extent cx="7246620" cy="1974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-4396105</wp:posOffset>
            </wp:positionV>
            <wp:extent cx="7246620"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-4190365</wp:posOffset>
            </wp:positionV>
            <wp:extent cx="7246620" cy="3860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-3701415</wp:posOffset>
            </wp:positionV>
            <wp:extent cx="7246620" cy="1028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-3495675</wp:posOffset>
            </wp:positionV>
            <wp:extent cx="724662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-3212465</wp:posOffset>
            </wp:positionV>
            <wp:extent cx="7246620" cy="2228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-2886710</wp:posOffset>
            </wp:positionV>
            <wp:extent cx="7246620" cy="102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-2680970</wp:posOffset>
            </wp:positionV>
            <wp:extent cx="7246620" cy="2228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-2354580</wp:posOffset>
            </wp:positionV>
            <wp:extent cx="7246620" cy="1028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-2148840</wp:posOffset>
            </wp:positionV>
            <wp:extent cx="7246620" cy="386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-1668780</wp:posOffset>
            </wp:positionV>
            <wp:extent cx="7246620" cy="1974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-1368425</wp:posOffset>
            </wp:positionV>
            <wp:extent cx="7246620" cy="102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-1162685</wp:posOffset>
            </wp:positionV>
            <wp:extent cx="724662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-880110</wp:posOffset>
            </wp:positionV>
            <wp:extent cx="7246620" cy="1974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246620" cy="102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-374015</wp:posOffset>
            </wp:positionV>
            <wp:extent cx="7246620" cy="3860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Principal</w:t>
            </w:r>
          </w:p>
        </w:tc>
        <w:tc>
          <w:tcPr>
            <w:tcW w:w="10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1"/>
        </w:trPr>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4,029</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3,965</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3,755</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3,965</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3,755</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1,600</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1,600</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1,600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593"/>
        </w:trPr>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5,586</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5,586</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5,586</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7,186</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7,186</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5</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2,767</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5</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2,767</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5,000</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4,880</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4,880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4,880</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4,880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258</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54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485"/>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264</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120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522</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174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21,550</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21,550</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3,498</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21,550</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3,498</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9,116</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9,116</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9,116</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44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1,204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10,116</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10,320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18,159</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18,159</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16,995</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44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1,575</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393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19,734</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17,388</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17,000</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17,000</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17,000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180" w:space="100"/>
            <w:col w:w="5140"/>
          </w:cols>
          <w:pgMar w:left="240" w:top="904" w:right="239" w:bottom="1440" w:gutter="0" w:footer="0" w:header="0"/>
          <w:type w:val="continuous"/>
        </w:sect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6" w:name="page17"/>
    <w:bookmarkEnd w:id="16"/>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 xml:space="preserve">Portfolio Company, Country </w:t>
            </w:r>
            <w:r>
              <w:rPr>
                <w:rFonts w:ascii="Arial" w:cs="Arial" w:eastAsia="Arial" w:hAnsi="Arial"/>
                <w:sz w:val="23"/>
                <w:szCs w:val="23"/>
                <w:b w:val="1"/>
                <w:bCs w:val="1"/>
                <w:color w:val="auto"/>
                <w:w w:val="89"/>
                <w:vertAlign w:val="superscript"/>
              </w:rPr>
              <w:t>(1)</w:t>
            </w:r>
            <w:r>
              <w:rPr>
                <w:rFonts w:ascii="Arial" w:cs="Arial" w:eastAsia="Arial" w:hAnsi="Arial"/>
                <w:sz w:val="23"/>
                <w:szCs w:val="23"/>
                <w:b w:val="1"/>
                <w:bCs w:val="1"/>
                <w:u w:val="single" w:color="auto"/>
                <w:color w:val="auto"/>
                <w:w w:val="89"/>
                <w:vertAlign w:val="superscript"/>
              </w:rPr>
              <w:t>,</w:t>
            </w:r>
            <w:r>
              <w:rPr>
                <w:rFonts w:ascii="Arial" w:cs="Arial" w:eastAsia="Arial" w:hAnsi="Arial"/>
                <w:sz w:val="14"/>
                <w:szCs w:val="14"/>
                <w:b w:val="1"/>
                <w:bCs w:val="1"/>
                <w:color w:val="auto"/>
                <w:w w:val="89"/>
              </w:rPr>
              <w:t xml:space="preserve"> </w:t>
            </w:r>
            <w:r>
              <w:rPr>
                <w:rFonts w:ascii="Arial" w:cs="Arial" w:eastAsia="Arial" w:hAnsi="Arial"/>
                <w:sz w:val="23"/>
                <w:szCs w:val="23"/>
                <w:b w:val="1"/>
                <w:bCs w:val="1"/>
                <w:color w:val="auto"/>
                <w:w w:val="89"/>
                <w:vertAlign w:val="superscript"/>
              </w:rPr>
              <w:t>(2), (3), (4)</w:t>
            </w:r>
          </w:p>
        </w:tc>
        <w:tc>
          <w:tcPr>
            <w:tcW w:w="16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4"/>
                <w:szCs w:val="14"/>
                <w:color w:val="auto"/>
              </w:rPr>
            </w:pPr>
          </w:p>
        </w:tc>
        <w:tc>
          <w:tcPr>
            <w:tcW w:w="18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Type of Investment</w:t>
            </w: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3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Currency Capital, LLC</w:t>
            </w:r>
          </w:p>
        </w:tc>
        <w:tc>
          <w:tcPr>
            <w:tcW w:w="16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Financial Services</w:t>
            </w:r>
          </w:p>
        </w:tc>
        <w:tc>
          <w:tcPr>
            <w:tcW w:w="196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rPr>
              <w:t>Class A Preferred Units</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ind w:left="100"/>
              <w:spacing w:after="0" w:line="211" w:lineRule="exact"/>
              <w:rPr>
                <w:sz w:val="20"/>
                <w:szCs w:val="20"/>
                <w:color w:val="auto"/>
              </w:rPr>
            </w:pPr>
            <w:r>
              <w:rPr>
                <w:rFonts w:ascii="Arial" w:cs="Arial" w:eastAsia="Arial" w:hAnsi="Arial"/>
                <w:sz w:val="14"/>
                <w:szCs w:val="14"/>
                <w:color w:val="auto"/>
              </w:rPr>
              <w:t xml:space="preserve">(2,000,000 units) </w:t>
            </w:r>
            <w:r>
              <w:rPr>
                <w:rFonts w:ascii="Arial" w:cs="Arial" w:eastAsia="Arial" w:hAnsi="Arial"/>
                <w:sz w:val="23"/>
                <w:szCs w:val="23"/>
                <w:color w:val="auto"/>
                <w:vertAlign w:val="superscript"/>
              </w:rPr>
              <w:t>(11)</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18,905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Food Product Manufacturer</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(7.44% Cash</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9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(3 month LIBOR + 5.75%,</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 Floor), Due 4/3/20)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6,589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5,911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Food Product Manufacturer</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Second Lien Debt (11.69%</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9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Cash (3 month LIBOR +</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9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 1% Floor), Due</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10/3/21)</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11,740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10,311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18,329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Nth Degree, Inc.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(8.38% Cash</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9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 month LIBOR + 7%, 1%</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9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Floor), 1% PIK, Due</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12/14/20)</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8,833</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8,833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8,833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Nth Degree, Inc.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(12.88% Cash</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9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 month LIBOR + 11.5%,</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9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 Floor), 2% PIK, Due</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12/14/20)</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Nth Degree, Inc.</w:t>
            </w:r>
          </w:p>
        </w:tc>
        <w:tc>
          <w:tcPr>
            <w:tcW w:w="16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Business Services</w:t>
            </w:r>
          </w:p>
        </w:tc>
        <w:tc>
          <w:tcPr>
            <w:tcW w:w="196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rPr>
              <w:t>Preferred Stock (2,400 Units,</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ind w:left="100"/>
              <w:spacing w:after="0" w:line="211" w:lineRule="exact"/>
              <w:rPr>
                <w:sz w:val="20"/>
                <w:szCs w:val="20"/>
                <w:color w:val="auto"/>
              </w:rPr>
            </w:pPr>
            <w:r>
              <w:rPr>
                <w:rFonts w:ascii="Arial" w:cs="Arial" w:eastAsia="Arial" w:hAnsi="Arial"/>
                <w:sz w:val="14"/>
                <w:szCs w:val="14"/>
                <w:color w:val="auto"/>
              </w:rPr>
              <w:t xml:space="preserve">10% PIK dividend) </w:t>
            </w:r>
            <w:r>
              <w:rPr>
                <w:rFonts w:ascii="Arial" w:cs="Arial" w:eastAsia="Arial" w:hAnsi="Arial"/>
                <w:sz w:val="23"/>
                <w:szCs w:val="23"/>
                <w:color w:val="auto"/>
                <w:vertAlign w:val="superscript"/>
              </w:rPr>
              <w:t>(5)</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2,938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11,140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18,971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27,173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Sequoia Healthcare Management,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 Management</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(12% Cash,</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4% PIK, Due 7/17/19)</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9,014</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8,964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9,014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8,964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9,014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Spectra Services Holdings,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Refrigeration / HVAC</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(10% Cash,</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4% PIK, Due 12/27/22)</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7,450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Spectra Services Holdings,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Refrigeration / HVAC</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Class A Units (1,283,824</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services</w:t>
            </w:r>
          </w:p>
        </w:tc>
        <w:tc>
          <w:tcPr>
            <w:tcW w:w="196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w w:val="98"/>
              </w:rPr>
              <w:t>units, 4% Cash dividend, 11%</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2"/>
                <w:szCs w:val="22"/>
                <w:color w:val="auto"/>
                <w:vertAlign w:val="superscript"/>
              </w:rPr>
              <w:t>(5)</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1,286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1,286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20"/>
                <w:szCs w:val="20"/>
                <w:color w:val="auto"/>
              </w:rPr>
            </w:pPr>
            <w:r>
              <w:rPr>
                <w:rFonts w:ascii="Arial" w:cs="Arial" w:eastAsia="Arial" w:hAnsi="Arial"/>
                <w:sz w:val="14"/>
                <w:szCs w:val="14"/>
                <w:color w:val="auto"/>
              </w:rPr>
              <w:t>Spectra Services Holdings, LLC</w:t>
            </w:r>
          </w:p>
        </w:tc>
        <w:tc>
          <w:tcPr>
            <w:tcW w:w="1900" w:type="dxa"/>
            <w:vAlign w:val="bottom"/>
          </w:tcPr>
          <w:p>
            <w:pPr>
              <w:ind w:left="380"/>
              <w:spacing w:after="0"/>
              <w:rPr>
                <w:sz w:val="20"/>
                <w:szCs w:val="20"/>
                <w:color w:val="auto"/>
              </w:rPr>
            </w:pPr>
            <w:r>
              <w:rPr>
                <w:rFonts w:ascii="Arial" w:cs="Arial" w:eastAsia="Arial" w:hAnsi="Arial"/>
                <w:sz w:val="14"/>
                <w:szCs w:val="14"/>
                <w:color w:val="auto"/>
              </w:rPr>
              <w:t>Refrigeration / HVAC</w:t>
            </w:r>
          </w:p>
        </w:tc>
        <w:tc>
          <w:tcPr>
            <w:tcW w:w="2000" w:type="dxa"/>
            <w:vAlign w:val="bottom"/>
          </w:tcPr>
          <w:p>
            <w:pPr>
              <w:ind w:left="260"/>
              <w:spacing w:after="0"/>
              <w:rPr>
                <w:sz w:val="20"/>
                <w:szCs w:val="20"/>
                <w:color w:val="auto"/>
              </w:rPr>
            </w:pPr>
            <w:r>
              <w:rPr>
                <w:rFonts w:ascii="Arial" w:cs="Arial" w:eastAsia="Arial" w:hAnsi="Arial"/>
                <w:sz w:val="14"/>
                <w:szCs w:val="14"/>
                <w:color w:val="auto"/>
              </w:rPr>
              <w:t>Class B Units (257 units)</w:t>
            </w:r>
          </w:p>
        </w:tc>
      </w:tr>
      <w:tr>
        <w:trPr>
          <w:trHeight w:val="182"/>
        </w:trPr>
        <w:tc>
          <w:tcPr>
            <w:tcW w:w="2260" w:type="dxa"/>
            <w:vAlign w:val="bottom"/>
          </w:tcPr>
          <w:p>
            <w:pPr>
              <w:spacing w:after="0"/>
              <w:rPr>
                <w:sz w:val="15"/>
                <w:szCs w:val="15"/>
                <w:color w:val="auto"/>
              </w:rPr>
            </w:pPr>
          </w:p>
        </w:tc>
        <w:tc>
          <w:tcPr>
            <w:tcW w:w="1900" w:type="dxa"/>
            <w:vAlign w:val="bottom"/>
          </w:tcPr>
          <w:p>
            <w:pPr>
              <w:ind w:left="380"/>
              <w:spacing w:after="0"/>
              <w:rPr>
                <w:sz w:val="20"/>
                <w:szCs w:val="20"/>
                <w:color w:val="auto"/>
              </w:rPr>
            </w:pPr>
            <w:r>
              <w:rPr>
                <w:rFonts w:ascii="Arial" w:cs="Arial" w:eastAsia="Arial" w:hAnsi="Arial"/>
                <w:sz w:val="14"/>
                <w:szCs w:val="14"/>
                <w:color w:val="auto"/>
              </w:rPr>
              <w:t>services</w:t>
            </w:r>
          </w:p>
        </w:tc>
        <w:tc>
          <w:tcPr>
            <w:tcW w:w="2000" w:type="dxa"/>
            <w:vAlign w:val="bottom"/>
          </w:tcPr>
          <w:p>
            <w:pPr>
              <w:spacing w:after="0"/>
              <w:rPr>
                <w:sz w:val="15"/>
                <w:szCs w:val="15"/>
                <w:color w:val="auto"/>
              </w:rPr>
            </w:pPr>
          </w:p>
        </w:tc>
      </w:tr>
      <w:tr>
        <w:trPr>
          <w:trHeight w:val="615"/>
        </w:trPr>
        <w:tc>
          <w:tcPr>
            <w:tcW w:w="2260" w:type="dxa"/>
            <w:vAlign w:val="bottom"/>
          </w:tcPr>
          <w:p>
            <w:pPr>
              <w:spacing w:after="0"/>
              <w:rPr>
                <w:sz w:val="20"/>
                <w:szCs w:val="20"/>
                <w:color w:val="auto"/>
              </w:rPr>
            </w:pPr>
            <w:r>
              <w:rPr>
                <w:rFonts w:ascii="Arial" w:cs="Arial" w:eastAsia="Arial" w:hAnsi="Arial"/>
                <w:sz w:val="14"/>
                <w:szCs w:val="14"/>
                <w:color w:val="auto"/>
              </w:rPr>
              <w:t>Sur La Table, Inc.</w:t>
            </w:r>
          </w:p>
        </w:tc>
        <w:tc>
          <w:tcPr>
            <w:tcW w:w="1900" w:type="dxa"/>
            <w:vAlign w:val="bottom"/>
          </w:tcPr>
          <w:p>
            <w:pPr>
              <w:ind w:left="380"/>
              <w:spacing w:after="0"/>
              <w:rPr>
                <w:sz w:val="20"/>
                <w:szCs w:val="20"/>
                <w:color w:val="auto"/>
              </w:rPr>
            </w:pPr>
            <w:r>
              <w:rPr>
                <w:rFonts w:ascii="Arial" w:cs="Arial" w:eastAsia="Arial" w:hAnsi="Arial"/>
                <w:sz w:val="14"/>
                <w:szCs w:val="14"/>
                <w:color w:val="auto"/>
              </w:rPr>
              <w:t>Retail</w:t>
            </w:r>
          </w:p>
        </w:tc>
        <w:tc>
          <w:tcPr>
            <w:tcW w:w="2000" w:type="dxa"/>
            <w:vAlign w:val="bottom"/>
          </w:tcPr>
          <w:p>
            <w:pPr>
              <w:ind w:left="260"/>
              <w:spacing w:after="0"/>
              <w:rPr>
                <w:sz w:val="20"/>
                <w:szCs w:val="20"/>
                <w:color w:val="auto"/>
              </w:rPr>
            </w:pPr>
            <w:r>
              <w:rPr>
                <w:rFonts w:ascii="Arial" w:cs="Arial" w:eastAsia="Arial" w:hAnsi="Arial"/>
                <w:sz w:val="14"/>
                <w:szCs w:val="14"/>
                <w:color w:val="auto"/>
              </w:rPr>
              <w:t>First Lien Debt (12% Cash,</w:t>
            </w:r>
          </w:p>
        </w:tc>
      </w:tr>
      <w:tr>
        <w:trPr>
          <w:trHeight w:val="182"/>
        </w:trPr>
        <w:tc>
          <w:tcPr>
            <w:tcW w:w="2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0" w:type="dxa"/>
            <w:vAlign w:val="bottom"/>
          </w:tcPr>
          <w:p>
            <w:pPr>
              <w:ind w:left="260"/>
              <w:spacing w:after="0"/>
              <w:rPr>
                <w:sz w:val="20"/>
                <w:szCs w:val="20"/>
                <w:color w:val="auto"/>
              </w:rPr>
            </w:pPr>
            <w:r>
              <w:rPr>
                <w:rFonts w:ascii="Arial" w:cs="Arial" w:eastAsia="Arial" w:hAnsi="Arial"/>
                <w:sz w:val="14"/>
                <w:szCs w:val="14"/>
                <w:color w:val="auto"/>
              </w:rPr>
              <w:t>Due 7/28/20)</w:t>
            </w:r>
          </w:p>
        </w:tc>
      </w:tr>
      <w:tr>
        <w:trPr>
          <w:trHeight w:val="615"/>
        </w:trPr>
        <w:tc>
          <w:tcPr>
            <w:tcW w:w="2260" w:type="dxa"/>
            <w:vAlign w:val="bottom"/>
          </w:tcPr>
          <w:p>
            <w:pPr>
              <w:spacing w:after="0"/>
              <w:rPr>
                <w:sz w:val="20"/>
                <w:szCs w:val="20"/>
                <w:color w:val="auto"/>
              </w:rPr>
            </w:pPr>
            <w:r>
              <w:rPr>
                <w:rFonts w:ascii="Arial" w:cs="Arial" w:eastAsia="Arial" w:hAnsi="Arial"/>
                <w:sz w:val="14"/>
                <w:szCs w:val="14"/>
                <w:color w:val="auto"/>
              </w:rPr>
              <w:t>Taylor Precision Products, Inc.</w:t>
            </w:r>
          </w:p>
        </w:tc>
        <w:tc>
          <w:tcPr>
            <w:tcW w:w="1900" w:type="dxa"/>
            <w:vAlign w:val="bottom"/>
          </w:tcPr>
          <w:p>
            <w:pPr>
              <w:ind w:left="380"/>
              <w:spacing w:after="0"/>
              <w:rPr>
                <w:sz w:val="20"/>
                <w:szCs w:val="20"/>
                <w:color w:val="auto"/>
              </w:rPr>
            </w:pPr>
            <w:r>
              <w:rPr>
                <w:rFonts w:ascii="Arial" w:cs="Arial" w:eastAsia="Arial" w:hAnsi="Arial"/>
                <w:sz w:val="14"/>
                <w:szCs w:val="14"/>
                <w:color w:val="auto"/>
              </w:rPr>
              <w:t>Household Product</w:t>
            </w:r>
          </w:p>
        </w:tc>
        <w:tc>
          <w:tcPr>
            <w:tcW w:w="2000" w:type="dxa"/>
            <w:vAlign w:val="bottom"/>
          </w:tcPr>
          <w:p>
            <w:pPr>
              <w:ind w:left="260"/>
              <w:spacing w:after="0"/>
              <w:rPr>
                <w:sz w:val="20"/>
                <w:szCs w:val="20"/>
                <w:color w:val="auto"/>
              </w:rPr>
            </w:pPr>
            <w:r>
              <w:rPr>
                <w:rFonts w:ascii="Arial" w:cs="Arial" w:eastAsia="Arial" w:hAnsi="Arial"/>
                <w:sz w:val="14"/>
                <w:szCs w:val="14"/>
                <w:color w:val="auto"/>
                <w:w w:val="92"/>
              </w:rPr>
              <w:t>Series C Preferred Stock (379</w:t>
            </w:r>
          </w:p>
        </w:tc>
      </w:tr>
      <w:tr>
        <w:trPr>
          <w:trHeight w:val="182"/>
        </w:trPr>
        <w:tc>
          <w:tcPr>
            <w:tcW w:w="2260" w:type="dxa"/>
            <w:vAlign w:val="bottom"/>
          </w:tcPr>
          <w:p>
            <w:pPr>
              <w:spacing w:after="0"/>
              <w:rPr>
                <w:sz w:val="15"/>
                <w:szCs w:val="15"/>
                <w:color w:val="auto"/>
              </w:rPr>
            </w:pPr>
          </w:p>
        </w:tc>
        <w:tc>
          <w:tcPr>
            <w:tcW w:w="1900" w:type="dxa"/>
            <w:vAlign w:val="bottom"/>
          </w:tcPr>
          <w:p>
            <w:pPr>
              <w:ind w:left="380"/>
              <w:spacing w:after="0"/>
              <w:rPr>
                <w:sz w:val="20"/>
                <w:szCs w:val="20"/>
                <w:color w:val="auto"/>
              </w:rPr>
            </w:pPr>
            <w:r>
              <w:rPr>
                <w:rFonts w:ascii="Arial" w:cs="Arial" w:eastAsia="Arial" w:hAnsi="Arial"/>
                <w:sz w:val="14"/>
                <w:szCs w:val="14"/>
                <w:color w:val="auto"/>
              </w:rPr>
              <w:t>Manufacturer</w:t>
            </w:r>
          </w:p>
        </w:tc>
        <w:tc>
          <w:tcPr>
            <w:tcW w:w="2000" w:type="dxa"/>
            <w:vAlign w:val="bottom"/>
          </w:tcPr>
          <w:p>
            <w:pPr>
              <w:ind w:left="260"/>
              <w:spacing w:after="0"/>
              <w:rPr>
                <w:sz w:val="20"/>
                <w:szCs w:val="20"/>
                <w:color w:val="auto"/>
              </w:rPr>
            </w:pPr>
            <w:r>
              <w:rPr>
                <w:rFonts w:ascii="Arial" w:cs="Arial" w:eastAsia="Arial" w:hAnsi="Arial"/>
                <w:sz w:val="14"/>
                <w:szCs w:val="14"/>
                <w:color w:val="auto"/>
              </w:rPr>
              <w:t>shares)</w:t>
            </w:r>
          </w:p>
        </w:tc>
      </w:tr>
      <w:tr>
        <w:trPr>
          <w:trHeight w:val="615"/>
        </w:trPr>
        <w:tc>
          <w:tcPr>
            <w:tcW w:w="2260" w:type="dxa"/>
            <w:vAlign w:val="bottom"/>
          </w:tcPr>
          <w:p>
            <w:pPr>
              <w:spacing w:after="0"/>
              <w:rPr>
                <w:sz w:val="20"/>
                <w:szCs w:val="20"/>
                <w:color w:val="auto"/>
              </w:rPr>
            </w:pPr>
            <w:r>
              <w:rPr>
                <w:rFonts w:ascii="Arial" w:cs="Arial" w:eastAsia="Arial" w:hAnsi="Arial"/>
                <w:sz w:val="14"/>
                <w:szCs w:val="14"/>
                <w:color w:val="auto"/>
              </w:rPr>
              <w:t>Vintage Stock, Inc.</w:t>
            </w:r>
          </w:p>
        </w:tc>
        <w:tc>
          <w:tcPr>
            <w:tcW w:w="1900" w:type="dxa"/>
            <w:vAlign w:val="bottom"/>
          </w:tcPr>
          <w:p>
            <w:pPr>
              <w:ind w:left="380"/>
              <w:spacing w:after="0"/>
              <w:rPr>
                <w:sz w:val="20"/>
                <w:szCs w:val="20"/>
                <w:color w:val="auto"/>
              </w:rPr>
            </w:pPr>
            <w:r>
              <w:rPr>
                <w:rFonts w:ascii="Arial" w:cs="Arial" w:eastAsia="Arial" w:hAnsi="Arial"/>
                <w:sz w:val="14"/>
                <w:szCs w:val="14"/>
                <w:color w:val="auto"/>
              </w:rPr>
              <w:t>Specialty Retail</w:t>
            </w:r>
          </w:p>
        </w:tc>
        <w:tc>
          <w:tcPr>
            <w:tcW w:w="2000" w:type="dxa"/>
            <w:vAlign w:val="bottom"/>
          </w:tcPr>
          <w:p>
            <w:pPr>
              <w:ind w:left="260"/>
              <w:spacing w:after="0"/>
              <w:rPr>
                <w:sz w:val="20"/>
                <w:szCs w:val="20"/>
                <w:color w:val="auto"/>
              </w:rPr>
            </w:pPr>
            <w:r>
              <w:rPr>
                <w:rFonts w:ascii="Arial" w:cs="Arial" w:eastAsia="Arial" w:hAnsi="Arial"/>
                <w:sz w:val="14"/>
                <w:szCs w:val="14"/>
                <w:color w:val="auto"/>
                <w:w w:val="93"/>
              </w:rPr>
              <w:t>First Lien Debt (13.86% Cash</w:t>
            </w:r>
          </w:p>
        </w:tc>
      </w:tr>
      <w:tr>
        <w:trPr>
          <w:trHeight w:val="149"/>
        </w:trPr>
        <w:tc>
          <w:tcPr>
            <w:tcW w:w="2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0" w:type="dxa"/>
            <w:vAlign w:val="bottom"/>
          </w:tcPr>
          <w:p>
            <w:pPr>
              <w:ind w:left="260"/>
              <w:spacing w:after="0" w:line="149" w:lineRule="exact"/>
              <w:rPr>
                <w:sz w:val="20"/>
                <w:szCs w:val="20"/>
                <w:color w:val="auto"/>
              </w:rPr>
            </w:pPr>
            <w:r>
              <w:rPr>
                <w:rFonts w:ascii="Arial" w:cs="Arial" w:eastAsia="Arial" w:hAnsi="Arial"/>
                <w:sz w:val="14"/>
                <w:szCs w:val="14"/>
                <w:color w:val="auto"/>
              </w:rPr>
              <w:t>(1 month LIBOR + 12.5%,</w:t>
            </w:r>
          </w:p>
        </w:tc>
      </w:tr>
      <w:tr>
        <w:trPr>
          <w:trHeight w:val="149"/>
        </w:trPr>
        <w:tc>
          <w:tcPr>
            <w:tcW w:w="2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0" w:type="dxa"/>
            <w:vAlign w:val="bottom"/>
          </w:tcPr>
          <w:p>
            <w:pPr>
              <w:ind w:left="260"/>
              <w:spacing w:after="0" w:line="149" w:lineRule="exact"/>
              <w:rPr>
                <w:sz w:val="20"/>
                <w:szCs w:val="20"/>
                <w:color w:val="auto"/>
              </w:rPr>
            </w:pPr>
            <w:r>
              <w:rPr>
                <w:rFonts w:ascii="Arial" w:cs="Arial" w:eastAsia="Arial" w:hAnsi="Arial"/>
                <w:sz w:val="14"/>
                <w:szCs w:val="14"/>
                <w:color w:val="auto"/>
              </w:rPr>
              <w:t>0.5% floor), 3% PIK, Due</w:t>
            </w:r>
          </w:p>
        </w:tc>
      </w:tr>
      <w:tr>
        <w:trPr>
          <w:trHeight w:val="182"/>
        </w:trPr>
        <w:tc>
          <w:tcPr>
            <w:tcW w:w="2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0" w:type="dxa"/>
            <w:vAlign w:val="bottom"/>
          </w:tcPr>
          <w:p>
            <w:pPr>
              <w:ind w:left="260"/>
              <w:spacing w:after="0"/>
              <w:rPr>
                <w:sz w:val="20"/>
                <w:szCs w:val="20"/>
                <w:color w:val="auto"/>
              </w:rPr>
            </w:pPr>
            <w:r>
              <w:rPr>
                <w:rFonts w:ascii="Arial" w:cs="Arial" w:eastAsia="Arial" w:hAnsi="Arial"/>
                <w:sz w:val="14"/>
                <w:szCs w:val="14"/>
                <w:color w:val="auto"/>
              </w:rPr>
              <w:t>11/3/21)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-1904365</wp:posOffset>
            </wp:positionV>
            <wp:extent cx="7246620" cy="1974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-1604010</wp:posOffset>
            </wp:positionV>
            <wp:extent cx="7246620"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-1398270</wp:posOffset>
            </wp:positionV>
            <wp:extent cx="7246620" cy="1974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-1097915</wp:posOffset>
            </wp:positionV>
            <wp:extent cx="7246620"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-892175</wp:posOffset>
            </wp:positionV>
            <wp:extent cx="7246620" cy="1974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246620" cy="1028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3860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8,736</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8,736</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00" w:type="dxa"/>
            <w:vAlign w:val="bottom"/>
          </w:tcPr>
          <w:p>
            <w:pPr>
              <w:jc w:val="right"/>
              <w:ind w:right="148"/>
              <w:spacing w:after="0"/>
              <w:rPr>
                <w:sz w:val="20"/>
                <w:szCs w:val="20"/>
                <w:color w:val="auto"/>
              </w:rPr>
            </w:pPr>
            <w:r>
              <w:rPr>
                <w:rFonts w:ascii="Arial" w:cs="Arial" w:eastAsia="Arial" w:hAnsi="Arial"/>
                <w:sz w:val="14"/>
                <w:szCs w:val="14"/>
                <w:color w:val="auto"/>
                <w:w w:val="83"/>
              </w:rPr>
              <w:t>15,000</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6.8%</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6.8%</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758</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1,316</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758</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1,316</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0"/>
        </w:trPr>
        <w:tc>
          <w:tcPr>
            <w:tcW w:w="600" w:type="dxa"/>
            <w:vAlign w:val="bottom"/>
          </w:tcPr>
          <w:p>
            <w:pPr>
              <w:jc w:val="right"/>
              <w:ind w:right="148"/>
              <w:spacing w:after="0"/>
              <w:rPr>
                <w:sz w:val="20"/>
                <w:szCs w:val="20"/>
                <w:color w:val="auto"/>
              </w:rPr>
            </w:pPr>
            <w:r>
              <w:rPr>
                <w:rFonts w:ascii="Arial" w:cs="Arial" w:eastAsia="Arial" w:hAnsi="Arial"/>
                <w:sz w:val="14"/>
                <w:szCs w:val="14"/>
                <w:color w:val="auto"/>
                <w:w w:val="83"/>
              </w:rPr>
              <w:t>20,713</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20,713</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20,713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9.3%</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20,713</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20,713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9.3%</w:t>
            </w:r>
          </w:p>
        </w:tc>
      </w:tr>
      <w:tr>
        <w:trPr>
          <w:trHeight w:val="20"/>
        </w:trPr>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4440"/>
          </w:cols>
          <w:pgMar w:left="240" w:top="904" w:right="23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7" w:name="page18"/>
    <w:bookmarkEnd w:id="17"/>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 xml:space="preserve">Portfolio Company, Country </w:t>
            </w:r>
            <w:r>
              <w:rPr>
                <w:rFonts w:ascii="Arial" w:cs="Arial" w:eastAsia="Arial" w:hAnsi="Arial"/>
                <w:sz w:val="23"/>
                <w:szCs w:val="23"/>
                <w:b w:val="1"/>
                <w:bCs w:val="1"/>
                <w:color w:val="auto"/>
                <w:w w:val="90"/>
                <w:vertAlign w:val="superscript"/>
              </w:rPr>
              <w:t>(1)</w:t>
            </w:r>
            <w:r>
              <w:rPr>
                <w:rFonts w:ascii="Arial" w:cs="Arial" w:eastAsia="Arial" w:hAnsi="Arial"/>
                <w:sz w:val="23"/>
                <w:szCs w:val="23"/>
                <w:b w:val="1"/>
                <w:bCs w:val="1"/>
                <w:u w:val="single" w:color="auto"/>
                <w:color w:val="auto"/>
                <w:w w:val="90"/>
                <w:vertAlign w:val="superscript"/>
              </w:rPr>
              <w:t>,</w:t>
            </w:r>
            <w:r>
              <w:rPr>
                <w:rFonts w:ascii="Arial" w:cs="Arial" w:eastAsia="Arial" w:hAnsi="Arial"/>
                <w:sz w:val="14"/>
                <w:szCs w:val="14"/>
                <w:b w:val="1"/>
                <w:bCs w:val="1"/>
                <w:color w:val="auto"/>
                <w:w w:val="90"/>
              </w:rPr>
              <w:t xml:space="preserve"> </w:t>
            </w:r>
            <w:r>
              <w:rPr>
                <w:rFonts w:ascii="Arial" w:cs="Arial" w:eastAsia="Arial" w:hAnsi="Arial"/>
                <w:sz w:val="23"/>
                <w:szCs w:val="23"/>
                <w:b w:val="1"/>
                <w:bCs w:val="1"/>
                <w:color w:val="auto"/>
                <w:w w:val="90"/>
                <w:vertAlign w:val="superscript"/>
              </w:rPr>
              <w:t>(2), (3), (4)</w:t>
            </w:r>
          </w:p>
        </w:tc>
        <w:tc>
          <w:tcPr>
            <w:tcW w:w="18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Industry</w:t>
            </w:r>
          </w:p>
        </w:tc>
        <w:tc>
          <w:tcPr>
            <w:tcW w:w="18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Type of Investment</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Cost</w:t>
            </w: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64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130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20"/>
        </w:trPr>
        <w:tc>
          <w:tcPr>
            <w:tcW w:w="2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20"/>
                <w:szCs w:val="20"/>
                <w:color w:val="auto"/>
              </w:rPr>
            </w:pPr>
            <w:r>
              <w:rPr>
                <w:rFonts w:ascii="Arial" w:cs="Arial" w:eastAsia="Arial" w:hAnsi="Arial"/>
                <w:sz w:val="14"/>
                <w:szCs w:val="14"/>
                <w:color w:val="auto"/>
              </w:rPr>
              <w:t>Vology, Inc.</w:t>
            </w:r>
          </w:p>
        </w:tc>
        <w:tc>
          <w:tcPr>
            <w:tcW w:w="1800" w:type="dxa"/>
            <w:vAlign w:val="bottom"/>
          </w:tcPr>
          <w:p>
            <w:pPr>
              <w:ind w:left="80"/>
              <w:spacing w:after="0"/>
              <w:rPr>
                <w:sz w:val="20"/>
                <w:szCs w:val="20"/>
                <w:color w:val="auto"/>
              </w:rPr>
            </w:pPr>
            <w:r>
              <w:rPr>
                <w:rFonts w:ascii="Arial" w:cs="Arial" w:eastAsia="Arial" w:hAnsi="Arial"/>
                <w:sz w:val="14"/>
                <w:szCs w:val="14"/>
                <w:color w:val="auto"/>
              </w:rPr>
              <w:t>Information Technology</w:t>
            </w:r>
          </w:p>
        </w:tc>
        <w:tc>
          <w:tcPr>
            <w:tcW w:w="1880" w:type="dxa"/>
            <w:vAlign w:val="bottom"/>
          </w:tcPr>
          <w:p>
            <w:pPr>
              <w:ind w:left="80"/>
              <w:spacing w:after="0"/>
              <w:rPr>
                <w:sz w:val="20"/>
                <w:szCs w:val="20"/>
                <w:color w:val="auto"/>
              </w:rPr>
            </w:pPr>
            <w:r>
              <w:rPr>
                <w:rFonts w:ascii="Arial" w:cs="Arial" w:eastAsia="Arial" w:hAnsi="Arial"/>
                <w:sz w:val="14"/>
                <w:szCs w:val="14"/>
                <w:color w:val="auto"/>
                <w:w w:val="93"/>
              </w:rPr>
              <w:t>Subordinated Debt (15% Cash</w:t>
            </w:r>
          </w:p>
        </w:tc>
        <w:tc>
          <w:tcPr>
            <w:tcW w:w="140" w:type="dxa"/>
            <w:vAlign w:val="bottom"/>
          </w:tcPr>
          <w:p>
            <w:pPr>
              <w:spacing w:after="0"/>
              <w:rPr>
                <w:sz w:val="14"/>
                <w:szCs w:val="14"/>
                <w:color w:val="auto"/>
              </w:rPr>
            </w:pPr>
          </w:p>
        </w:tc>
      </w:tr>
      <w:tr>
        <w:trPr>
          <w:trHeight w:val="149"/>
        </w:trPr>
        <w:tc>
          <w:tcPr>
            <w:tcW w:w="2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80" w:type="dxa"/>
            <w:vAlign w:val="bottom"/>
          </w:tcPr>
          <w:p>
            <w:pPr>
              <w:ind w:left="80"/>
              <w:spacing w:after="0" w:line="149" w:lineRule="exact"/>
              <w:rPr>
                <w:sz w:val="20"/>
                <w:szCs w:val="20"/>
                <w:color w:val="auto"/>
              </w:rPr>
            </w:pPr>
            <w:r>
              <w:rPr>
                <w:rFonts w:ascii="Arial" w:cs="Arial" w:eastAsia="Arial" w:hAnsi="Arial"/>
                <w:sz w:val="14"/>
                <w:szCs w:val="14"/>
                <w:color w:val="auto"/>
              </w:rPr>
              <w:t>(3 month LIBOR + 14%, 1%</w:t>
            </w:r>
          </w:p>
        </w:tc>
        <w:tc>
          <w:tcPr>
            <w:tcW w:w="140" w:type="dxa"/>
            <w:vAlign w:val="bottom"/>
          </w:tcPr>
          <w:p>
            <w:pPr>
              <w:spacing w:after="0"/>
              <w:rPr>
                <w:sz w:val="12"/>
                <w:szCs w:val="12"/>
                <w:color w:val="auto"/>
              </w:rPr>
            </w:pPr>
          </w:p>
        </w:tc>
      </w:tr>
      <w:tr>
        <w:trPr>
          <w:trHeight w:val="149"/>
        </w:trPr>
        <w:tc>
          <w:tcPr>
            <w:tcW w:w="2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80" w:type="dxa"/>
            <w:vAlign w:val="bottom"/>
          </w:tcPr>
          <w:p>
            <w:pPr>
              <w:ind w:left="80"/>
              <w:spacing w:after="0" w:line="149" w:lineRule="exact"/>
              <w:rPr>
                <w:sz w:val="20"/>
                <w:szCs w:val="20"/>
                <w:color w:val="auto"/>
              </w:rPr>
            </w:pPr>
            <w:r>
              <w:rPr>
                <w:rFonts w:ascii="Arial" w:cs="Arial" w:eastAsia="Arial" w:hAnsi="Arial"/>
                <w:sz w:val="14"/>
                <w:szCs w:val="14"/>
                <w:color w:val="auto"/>
              </w:rPr>
              <w:t>Ceiling), 4% PIK Due</w:t>
            </w:r>
          </w:p>
        </w:tc>
        <w:tc>
          <w:tcPr>
            <w:tcW w:w="140" w:type="dxa"/>
            <w:vAlign w:val="bottom"/>
          </w:tcPr>
          <w:p>
            <w:pPr>
              <w:spacing w:after="0"/>
              <w:rPr>
                <w:sz w:val="12"/>
                <w:szCs w:val="12"/>
                <w:color w:val="auto"/>
              </w:rPr>
            </w:pPr>
          </w:p>
        </w:tc>
      </w:tr>
      <w:tr>
        <w:trPr>
          <w:trHeight w:val="182"/>
        </w:trPr>
        <w:tc>
          <w:tcPr>
            <w:tcW w:w="2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80" w:type="dxa"/>
            <w:vAlign w:val="bottom"/>
          </w:tcPr>
          <w:p>
            <w:pPr>
              <w:ind w:left="80"/>
              <w:spacing w:after="0"/>
              <w:rPr>
                <w:sz w:val="20"/>
                <w:szCs w:val="20"/>
                <w:color w:val="auto"/>
              </w:rPr>
            </w:pPr>
            <w:r>
              <w:rPr>
                <w:rFonts w:ascii="Arial" w:cs="Arial" w:eastAsia="Arial" w:hAnsi="Arial"/>
                <w:sz w:val="14"/>
                <w:szCs w:val="14"/>
                <w:color w:val="auto"/>
              </w:rPr>
              <w:t>6/30/20)</w:t>
            </w:r>
          </w:p>
        </w:tc>
        <w:tc>
          <w:tcPr>
            <w:tcW w:w="140" w:type="dxa"/>
            <w:vAlign w:val="bottom"/>
          </w:tcPr>
          <w:p>
            <w:pPr>
              <w:spacing w:after="0"/>
              <w:rPr>
                <w:sz w:val="15"/>
                <w:szCs w:val="15"/>
                <w:color w:val="auto"/>
              </w:rPr>
            </w:pPr>
          </w:p>
        </w:tc>
      </w:tr>
      <w:tr>
        <w:trPr>
          <w:trHeight w:val="624"/>
        </w:trPr>
        <w:tc>
          <w:tcPr>
            <w:tcW w:w="2560" w:type="dxa"/>
            <w:vAlign w:val="bottom"/>
          </w:tcPr>
          <w:p>
            <w:pPr>
              <w:spacing w:after="0"/>
              <w:rPr>
                <w:sz w:val="20"/>
                <w:szCs w:val="20"/>
                <w:color w:val="auto"/>
              </w:rPr>
            </w:pPr>
            <w:r>
              <w:rPr>
                <w:rFonts w:ascii="Arial" w:cs="Arial" w:eastAsia="Arial" w:hAnsi="Arial"/>
                <w:sz w:val="14"/>
                <w:szCs w:val="14"/>
                <w:color w:val="auto"/>
              </w:rPr>
              <w:t>Western Windows Systems, LLC</w:t>
            </w:r>
          </w:p>
        </w:tc>
        <w:tc>
          <w:tcPr>
            <w:tcW w:w="1800" w:type="dxa"/>
            <w:vAlign w:val="bottom"/>
          </w:tcPr>
          <w:p>
            <w:pPr>
              <w:ind w:left="80"/>
              <w:spacing w:after="0"/>
              <w:rPr>
                <w:sz w:val="20"/>
                <w:szCs w:val="20"/>
                <w:color w:val="auto"/>
              </w:rPr>
            </w:pPr>
            <w:r>
              <w:rPr>
                <w:rFonts w:ascii="Arial" w:cs="Arial" w:eastAsia="Arial" w:hAnsi="Arial"/>
                <w:sz w:val="14"/>
                <w:szCs w:val="14"/>
                <w:color w:val="auto"/>
              </w:rPr>
              <w:t>Building Products</w:t>
            </w:r>
          </w:p>
        </w:tc>
        <w:tc>
          <w:tcPr>
            <w:tcW w:w="1880" w:type="dxa"/>
            <w:vAlign w:val="bottom"/>
          </w:tcPr>
          <w:p>
            <w:pPr>
              <w:ind w:left="80"/>
              <w:spacing w:after="0"/>
              <w:rPr>
                <w:sz w:val="20"/>
                <w:szCs w:val="20"/>
                <w:color w:val="auto"/>
              </w:rPr>
            </w:pPr>
            <w:r>
              <w:rPr>
                <w:rFonts w:ascii="Arial" w:cs="Arial" w:eastAsia="Arial" w:hAnsi="Arial"/>
                <w:sz w:val="14"/>
                <w:szCs w:val="14"/>
                <w:color w:val="auto"/>
                <w:w w:val="99"/>
              </w:rPr>
              <w:t>First Lien Debt (11.9% Cash,</w:t>
            </w:r>
          </w:p>
        </w:tc>
        <w:tc>
          <w:tcPr>
            <w:tcW w:w="140" w:type="dxa"/>
            <w:vAlign w:val="bottom"/>
          </w:tcPr>
          <w:p>
            <w:pPr>
              <w:spacing w:after="0"/>
              <w:rPr>
                <w:sz w:val="24"/>
                <w:szCs w:val="24"/>
                <w:color w:val="auto"/>
              </w:rPr>
            </w:pPr>
          </w:p>
        </w:tc>
      </w:tr>
      <w:tr>
        <w:trPr>
          <w:trHeight w:val="313"/>
        </w:trPr>
        <w:tc>
          <w:tcPr>
            <w:tcW w:w="2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80" w:type="dxa"/>
            <w:vAlign w:val="bottom"/>
          </w:tcPr>
          <w:p>
            <w:pPr>
              <w:ind w:left="80"/>
              <w:spacing w:after="0"/>
              <w:rPr>
                <w:sz w:val="20"/>
                <w:szCs w:val="20"/>
                <w:color w:val="auto"/>
              </w:rPr>
            </w:pPr>
            <w:r>
              <w:rPr>
                <w:rFonts w:ascii="Arial" w:cs="Arial" w:eastAsia="Arial" w:hAnsi="Arial"/>
                <w:sz w:val="14"/>
                <w:szCs w:val="14"/>
                <w:color w:val="auto"/>
              </w:rPr>
              <w:t xml:space="preserve">Due 7/31/20) </w:t>
            </w:r>
            <w:r>
              <w:rPr>
                <w:rFonts w:ascii="Arial" w:cs="Arial" w:eastAsia="Arial" w:hAnsi="Arial"/>
                <w:sz w:val="23"/>
                <w:szCs w:val="23"/>
                <w:color w:val="auto"/>
                <w:vertAlign w:val="superscript"/>
              </w:rPr>
              <w:t>(6)</w:t>
            </w:r>
          </w:p>
        </w:tc>
        <w:tc>
          <w:tcPr>
            <w:tcW w:w="140" w:type="dxa"/>
            <w:vAlign w:val="bottom"/>
          </w:tcPr>
          <w:p>
            <w:pPr>
              <w:spacing w:after="0"/>
              <w:rPr>
                <w:sz w:val="24"/>
                <w:szCs w:val="24"/>
                <w:color w:val="auto"/>
              </w:rPr>
            </w:pPr>
          </w:p>
        </w:tc>
      </w:tr>
      <w:tr>
        <w:trPr>
          <w:trHeight w:val="163"/>
        </w:trPr>
        <w:tc>
          <w:tcPr>
            <w:tcW w:w="2560" w:type="dxa"/>
            <w:vAlign w:val="bottom"/>
          </w:tcPr>
          <w:p>
            <w:pPr>
              <w:spacing w:after="0"/>
              <w:rPr>
                <w:sz w:val="20"/>
                <w:szCs w:val="20"/>
                <w:color w:val="auto"/>
              </w:rPr>
            </w:pPr>
            <w:r>
              <w:rPr>
                <w:rFonts w:ascii="Arial" w:cs="Arial" w:eastAsia="Arial" w:hAnsi="Arial"/>
                <w:sz w:val="14"/>
                <w:szCs w:val="14"/>
                <w:color w:val="auto"/>
              </w:rPr>
              <w:t>Western Windows Systems, LLC</w:t>
            </w:r>
          </w:p>
        </w:tc>
        <w:tc>
          <w:tcPr>
            <w:tcW w:w="1800" w:type="dxa"/>
            <w:vAlign w:val="bottom"/>
          </w:tcPr>
          <w:p>
            <w:pPr>
              <w:ind w:left="80"/>
              <w:spacing w:after="0"/>
              <w:rPr>
                <w:sz w:val="20"/>
                <w:szCs w:val="20"/>
                <w:color w:val="auto"/>
              </w:rPr>
            </w:pPr>
            <w:r>
              <w:rPr>
                <w:rFonts w:ascii="Arial" w:cs="Arial" w:eastAsia="Arial" w:hAnsi="Arial"/>
                <w:sz w:val="14"/>
                <w:szCs w:val="14"/>
                <w:color w:val="auto"/>
              </w:rPr>
              <w:t>Building Products</w:t>
            </w:r>
          </w:p>
        </w:tc>
        <w:tc>
          <w:tcPr>
            <w:tcW w:w="1880" w:type="dxa"/>
            <w:vAlign w:val="bottom"/>
          </w:tcPr>
          <w:p>
            <w:pPr>
              <w:ind w:left="80"/>
              <w:spacing w:after="0"/>
              <w:rPr>
                <w:sz w:val="20"/>
                <w:szCs w:val="20"/>
                <w:color w:val="auto"/>
              </w:rPr>
            </w:pPr>
            <w:r>
              <w:rPr>
                <w:rFonts w:ascii="Arial" w:cs="Arial" w:eastAsia="Arial" w:hAnsi="Arial"/>
                <w:sz w:val="14"/>
                <w:szCs w:val="14"/>
                <w:color w:val="auto"/>
              </w:rPr>
              <w:t>Membership Units (39,860</w:t>
            </w:r>
          </w:p>
        </w:tc>
        <w:tc>
          <w:tcPr>
            <w:tcW w:w="140" w:type="dxa"/>
            <w:vAlign w:val="bottom"/>
          </w:tcPr>
          <w:p>
            <w:pPr>
              <w:spacing w:after="0"/>
              <w:rPr>
                <w:sz w:val="14"/>
                <w:szCs w:val="14"/>
                <w:color w:val="auto"/>
              </w:rPr>
            </w:pPr>
          </w:p>
        </w:tc>
      </w:tr>
      <w:tr>
        <w:trPr>
          <w:trHeight w:val="182"/>
        </w:trPr>
        <w:tc>
          <w:tcPr>
            <w:tcW w:w="2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80" w:type="dxa"/>
            <w:vAlign w:val="bottom"/>
          </w:tcPr>
          <w:p>
            <w:pPr>
              <w:ind w:left="80"/>
              <w:spacing w:after="0"/>
              <w:rPr>
                <w:sz w:val="20"/>
                <w:szCs w:val="20"/>
                <w:color w:val="auto"/>
              </w:rPr>
            </w:pPr>
            <w:r>
              <w:rPr>
                <w:rFonts w:ascii="Arial" w:cs="Arial" w:eastAsia="Arial" w:hAnsi="Arial"/>
                <w:sz w:val="14"/>
                <w:szCs w:val="14"/>
                <w:color w:val="auto"/>
              </w:rPr>
              <w:t>units)</w:t>
            </w:r>
          </w:p>
        </w:tc>
        <w:tc>
          <w:tcPr>
            <w:tcW w:w="140" w:type="dxa"/>
            <w:vAlign w:val="bottom"/>
          </w:tcPr>
          <w:p>
            <w:pPr>
              <w:spacing w:after="0"/>
              <w:rPr>
                <w:sz w:val="15"/>
                <w:szCs w:val="15"/>
                <w:color w:val="auto"/>
              </w:rPr>
            </w:pPr>
          </w:p>
        </w:tc>
      </w:tr>
      <w:tr>
        <w:trPr>
          <w:trHeight w:val="615"/>
        </w:trPr>
        <w:tc>
          <w:tcPr>
            <w:tcW w:w="2560" w:type="dxa"/>
            <w:vAlign w:val="bottom"/>
          </w:tcPr>
          <w:p>
            <w:pPr>
              <w:spacing w:after="0"/>
              <w:rPr>
                <w:sz w:val="20"/>
                <w:szCs w:val="20"/>
                <w:color w:val="auto"/>
              </w:rPr>
            </w:pPr>
            <w:r>
              <w:rPr>
                <w:rFonts w:ascii="Arial" w:cs="Arial" w:eastAsia="Arial" w:hAnsi="Arial"/>
                <w:sz w:val="14"/>
                <w:szCs w:val="14"/>
                <w:color w:val="auto"/>
              </w:rPr>
              <w:t>Xirgo Technologies, LLC</w:t>
            </w:r>
          </w:p>
        </w:tc>
        <w:tc>
          <w:tcPr>
            <w:tcW w:w="1800" w:type="dxa"/>
            <w:vAlign w:val="bottom"/>
          </w:tcPr>
          <w:p>
            <w:pPr>
              <w:ind w:left="80"/>
              <w:spacing w:after="0"/>
              <w:rPr>
                <w:sz w:val="20"/>
                <w:szCs w:val="20"/>
                <w:color w:val="auto"/>
              </w:rPr>
            </w:pPr>
            <w:r>
              <w:rPr>
                <w:rFonts w:ascii="Arial" w:cs="Arial" w:eastAsia="Arial" w:hAnsi="Arial"/>
                <w:sz w:val="14"/>
                <w:szCs w:val="14"/>
                <w:color w:val="auto"/>
              </w:rPr>
              <w:t>Information Technology</w:t>
            </w:r>
          </w:p>
        </w:tc>
        <w:tc>
          <w:tcPr>
            <w:tcW w:w="1880" w:type="dxa"/>
            <w:vAlign w:val="bottom"/>
          </w:tcPr>
          <w:p>
            <w:pPr>
              <w:ind w:left="80"/>
              <w:spacing w:after="0"/>
              <w:rPr>
                <w:sz w:val="20"/>
                <w:szCs w:val="20"/>
                <w:color w:val="auto"/>
              </w:rPr>
            </w:pPr>
            <w:r>
              <w:rPr>
                <w:rFonts w:ascii="Arial" w:cs="Arial" w:eastAsia="Arial" w:hAnsi="Arial"/>
                <w:sz w:val="14"/>
                <w:szCs w:val="14"/>
                <w:color w:val="auto"/>
              </w:rPr>
              <w:t>Subordinated Debt (11.5%</w:t>
            </w:r>
          </w:p>
        </w:tc>
        <w:tc>
          <w:tcPr>
            <w:tcW w:w="140" w:type="dxa"/>
            <w:vAlign w:val="bottom"/>
          </w:tcPr>
          <w:p>
            <w:pPr>
              <w:spacing w:after="0"/>
              <w:rPr>
                <w:sz w:val="24"/>
                <w:szCs w:val="24"/>
                <w:color w:val="auto"/>
              </w:rPr>
            </w:pPr>
          </w:p>
        </w:tc>
      </w:tr>
      <w:tr>
        <w:trPr>
          <w:trHeight w:val="182"/>
        </w:trPr>
        <w:tc>
          <w:tcPr>
            <w:tcW w:w="2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80" w:type="dxa"/>
            <w:vAlign w:val="bottom"/>
          </w:tcPr>
          <w:p>
            <w:pPr>
              <w:ind w:left="80"/>
              <w:spacing w:after="0"/>
              <w:rPr>
                <w:sz w:val="20"/>
                <w:szCs w:val="20"/>
                <w:color w:val="auto"/>
              </w:rPr>
            </w:pPr>
            <w:r>
              <w:rPr>
                <w:rFonts w:ascii="Arial" w:cs="Arial" w:eastAsia="Arial" w:hAnsi="Arial"/>
                <w:sz w:val="14"/>
                <w:szCs w:val="14"/>
                <w:color w:val="auto"/>
              </w:rPr>
              <w:t>Cash, Due 3/1/22)</w:t>
            </w:r>
          </w:p>
        </w:tc>
        <w:tc>
          <w:tcPr>
            <w:tcW w:w="140" w:type="dxa"/>
            <w:vAlign w:val="bottom"/>
          </w:tcPr>
          <w:p>
            <w:pPr>
              <w:spacing w:after="0"/>
              <w:rPr>
                <w:sz w:val="15"/>
                <w:szCs w:val="15"/>
                <w:color w:val="auto"/>
              </w:rPr>
            </w:pPr>
          </w:p>
        </w:tc>
      </w:tr>
      <w:tr>
        <w:trPr>
          <w:trHeight w:val="263"/>
        </w:trPr>
        <w:tc>
          <w:tcPr>
            <w:tcW w:w="2560" w:type="dxa"/>
            <w:vAlign w:val="bottom"/>
          </w:tcPr>
          <w:p>
            <w:pPr>
              <w:spacing w:after="0"/>
              <w:rPr>
                <w:sz w:val="20"/>
                <w:szCs w:val="20"/>
                <w:color w:val="auto"/>
              </w:rPr>
            </w:pPr>
            <w:r>
              <w:rPr>
                <w:rFonts w:ascii="Arial" w:cs="Arial" w:eastAsia="Arial" w:hAnsi="Arial"/>
                <w:sz w:val="14"/>
                <w:szCs w:val="14"/>
                <w:color w:val="auto"/>
              </w:rPr>
              <w:t>Xirgo Technologies, LLC</w:t>
            </w:r>
          </w:p>
        </w:tc>
        <w:tc>
          <w:tcPr>
            <w:tcW w:w="1800" w:type="dxa"/>
            <w:vAlign w:val="bottom"/>
          </w:tcPr>
          <w:p>
            <w:pPr>
              <w:ind w:left="80"/>
              <w:spacing w:after="0"/>
              <w:rPr>
                <w:sz w:val="20"/>
                <w:szCs w:val="20"/>
                <w:color w:val="auto"/>
              </w:rPr>
            </w:pPr>
            <w:r>
              <w:rPr>
                <w:rFonts w:ascii="Arial" w:cs="Arial" w:eastAsia="Arial" w:hAnsi="Arial"/>
                <w:sz w:val="14"/>
                <w:szCs w:val="14"/>
                <w:color w:val="auto"/>
              </w:rPr>
              <w:t>Information Technology</w:t>
            </w:r>
          </w:p>
        </w:tc>
        <w:tc>
          <w:tcPr>
            <w:tcW w:w="1880" w:type="dxa"/>
            <w:vAlign w:val="bottom"/>
          </w:tcPr>
          <w:p>
            <w:pPr>
              <w:ind w:left="80"/>
              <w:spacing w:after="0"/>
              <w:rPr>
                <w:sz w:val="20"/>
                <w:szCs w:val="20"/>
                <w:color w:val="auto"/>
              </w:rPr>
            </w:pPr>
            <w:r>
              <w:rPr>
                <w:rFonts w:ascii="Arial" w:cs="Arial" w:eastAsia="Arial" w:hAnsi="Arial"/>
                <w:sz w:val="14"/>
                <w:szCs w:val="14"/>
                <w:color w:val="auto"/>
              </w:rPr>
              <w:t>Membership Units (600,000</w:t>
            </w:r>
          </w:p>
        </w:tc>
        <w:tc>
          <w:tcPr>
            <w:tcW w:w="140" w:type="dxa"/>
            <w:vAlign w:val="bottom"/>
          </w:tcPr>
          <w:p>
            <w:pPr>
              <w:spacing w:after="0"/>
              <w:rPr>
                <w:sz w:val="22"/>
                <w:szCs w:val="22"/>
                <w:color w:val="auto"/>
              </w:rPr>
            </w:pPr>
          </w:p>
        </w:tc>
      </w:tr>
      <w:tr>
        <w:trPr>
          <w:trHeight w:val="182"/>
        </w:trPr>
        <w:tc>
          <w:tcPr>
            <w:tcW w:w="2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80" w:type="dxa"/>
            <w:vAlign w:val="bottom"/>
          </w:tcPr>
          <w:p>
            <w:pPr>
              <w:ind w:left="80"/>
              <w:spacing w:after="0"/>
              <w:rPr>
                <w:sz w:val="20"/>
                <w:szCs w:val="20"/>
                <w:color w:val="auto"/>
              </w:rPr>
            </w:pPr>
            <w:r>
              <w:rPr>
                <w:rFonts w:ascii="Arial" w:cs="Arial" w:eastAsia="Arial" w:hAnsi="Arial"/>
                <w:sz w:val="14"/>
                <w:szCs w:val="14"/>
                <w:color w:val="auto"/>
              </w:rPr>
              <w:t>units)</w:t>
            </w:r>
          </w:p>
        </w:tc>
        <w:tc>
          <w:tcPr>
            <w:tcW w:w="140" w:type="dxa"/>
            <w:vAlign w:val="bottom"/>
          </w:tcPr>
          <w:p>
            <w:pPr>
              <w:spacing w:after="0"/>
              <w:rPr>
                <w:sz w:val="15"/>
                <w:szCs w:val="15"/>
                <w:color w:val="auto"/>
              </w:rPr>
            </w:pPr>
          </w:p>
        </w:tc>
      </w:tr>
      <w:tr>
        <w:trPr>
          <w:trHeight w:val="611"/>
        </w:trPr>
        <w:tc>
          <w:tcPr>
            <w:tcW w:w="2560" w:type="dxa"/>
            <w:vAlign w:val="bottom"/>
          </w:tcPr>
          <w:p>
            <w:pPr>
              <w:spacing w:after="0"/>
              <w:rPr>
                <w:sz w:val="20"/>
                <w:szCs w:val="20"/>
                <w:color w:val="auto"/>
              </w:rPr>
            </w:pPr>
            <w:r>
              <w:rPr>
                <w:rFonts w:ascii="Arial" w:cs="Arial" w:eastAsia="Arial" w:hAnsi="Arial"/>
                <w:sz w:val="14"/>
                <w:szCs w:val="14"/>
                <w:b w:val="1"/>
                <w:bCs w:val="1"/>
                <w:color w:val="auto"/>
              </w:rPr>
              <w:t>Sub Total Non-control/non-affiliated</w:t>
            </w:r>
          </w:p>
        </w:tc>
        <w:tc>
          <w:tcPr>
            <w:tcW w:w="1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6"/>
        </w:trPr>
        <w:tc>
          <w:tcPr>
            <w:tcW w:w="2560" w:type="dxa"/>
            <w:vAlign w:val="bottom"/>
          </w:tcPr>
          <w:p>
            <w:pPr>
              <w:spacing w:after="0"/>
              <w:rPr>
                <w:sz w:val="20"/>
                <w:szCs w:val="20"/>
                <w:color w:val="auto"/>
              </w:rPr>
            </w:pPr>
            <w:r>
              <w:rPr>
                <w:rFonts w:ascii="Arial" w:cs="Arial" w:eastAsia="Arial" w:hAnsi="Arial"/>
                <w:sz w:val="14"/>
                <w:szCs w:val="14"/>
                <w:b w:val="1"/>
                <w:bCs w:val="1"/>
                <w:color w:val="auto"/>
              </w:rPr>
              <w:t>investments - United States</w:t>
            </w:r>
          </w:p>
        </w:tc>
        <w:tc>
          <w:tcPr>
            <w:tcW w:w="18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86"/>
        </w:trPr>
        <w:tc>
          <w:tcPr>
            <w:tcW w:w="2560" w:type="dxa"/>
            <w:vAlign w:val="bottom"/>
          </w:tcPr>
          <w:p>
            <w:pPr>
              <w:spacing w:after="0"/>
              <w:rPr>
                <w:sz w:val="20"/>
                <w:szCs w:val="20"/>
                <w:color w:val="auto"/>
              </w:rPr>
            </w:pPr>
            <w:r>
              <w:rPr>
                <w:rFonts w:ascii="Arial" w:cs="Arial" w:eastAsia="Arial" w:hAnsi="Arial"/>
                <w:sz w:val="14"/>
                <w:szCs w:val="14"/>
                <w:b w:val="1"/>
                <w:bCs w:val="1"/>
                <w:color w:val="auto"/>
                <w:w w:val="95"/>
              </w:rPr>
              <w:t>Non-control/non-affiliated investments -</w:t>
            </w:r>
          </w:p>
        </w:tc>
        <w:tc>
          <w:tcPr>
            <w:tcW w:w="1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53"/>
        </w:trPr>
        <w:tc>
          <w:tcPr>
            <w:tcW w:w="2560" w:type="dxa"/>
            <w:vAlign w:val="bottom"/>
          </w:tcPr>
          <w:p>
            <w:pPr>
              <w:spacing w:after="0" w:line="153" w:lineRule="exact"/>
              <w:rPr>
                <w:sz w:val="20"/>
                <w:szCs w:val="20"/>
                <w:color w:val="auto"/>
              </w:rPr>
            </w:pPr>
            <w:r>
              <w:rPr>
                <w:rFonts w:ascii="Arial" w:cs="Arial" w:eastAsia="Arial" w:hAnsi="Arial"/>
                <w:sz w:val="14"/>
                <w:szCs w:val="14"/>
                <w:b w:val="1"/>
                <w:bCs w:val="1"/>
                <w:color w:val="auto"/>
              </w:rPr>
              <w:t>Brazil</w:t>
            </w:r>
          </w:p>
        </w:tc>
        <w:tc>
          <w:tcPr>
            <w:tcW w:w="18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8"/>
        </w:trPr>
        <w:tc>
          <w:tcPr>
            <w:tcW w:w="2560" w:type="dxa"/>
            <w:vAlign w:val="bottom"/>
          </w:tcPr>
          <w:p>
            <w:pPr>
              <w:spacing w:after="0" w:line="159" w:lineRule="exact"/>
              <w:rPr>
                <w:sz w:val="20"/>
                <w:szCs w:val="20"/>
                <w:color w:val="auto"/>
              </w:rPr>
            </w:pPr>
            <w:r>
              <w:rPr>
                <w:rFonts w:ascii="Arial" w:cs="Arial" w:eastAsia="Arial" w:hAnsi="Arial"/>
                <w:sz w:val="14"/>
                <w:szCs w:val="14"/>
                <w:color w:val="auto"/>
              </w:rPr>
              <w:t>Velum Global Credit Management, LLC</w:t>
            </w:r>
          </w:p>
        </w:tc>
        <w:tc>
          <w:tcPr>
            <w:tcW w:w="1800" w:type="dxa"/>
            <w:vAlign w:val="bottom"/>
          </w:tcPr>
          <w:p>
            <w:pPr>
              <w:ind w:left="80"/>
              <w:spacing w:after="0" w:line="159" w:lineRule="exact"/>
              <w:rPr>
                <w:sz w:val="20"/>
                <w:szCs w:val="20"/>
                <w:color w:val="auto"/>
              </w:rPr>
            </w:pPr>
            <w:r>
              <w:rPr>
                <w:rFonts w:ascii="Arial" w:cs="Arial" w:eastAsia="Arial" w:hAnsi="Arial"/>
                <w:sz w:val="14"/>
                <w:szCs w:val="14"/>
                <w:color w:val="auto"/>
              </w:rPr>
              <w:t>Financial Services</w:t>
            </w:r>
          </w:p>
        </w:tc>
        <w:tc>
          <w:tcPr>
            <w:tcW w:w="1880" w:type="dxa"/>
            <w:vAlign w:val="bottom"/>
          </w:tcPr>
          <w:p>
            <w:pPr>
              <w:ind w:left="80"/>
              <w:spacing w:after="0" w:line="159" w:lineRule="exact"/>
              <w:rPr>
                <w:sz w:val="20"/>
                <w:szCs w:val="20"/>
                <w:color w:val="auto"/>
              </w:rPr>
            </w:pPr>
            <w:r>
              <w:rPr>
                <w:rFonts w:ascii="Arial" w:cs="Arial" w:eastAsia="Arial" w:hAnsi="Arial"/>
                <w:sz w:val="14"/>
                <w:szCs w:val="14"/>
                <w:color w:val="auto"/>
              </w:rPr>
              <w:t>First Lien Debt (15% PIK,</w:t>
            </w:r>
          </w:p>
        </w:tc>
        <w:tc>
          <w:tcPr>
            <w:tcW w:w="140" w:type="dxa"/>
            <w:vAlign w:val="bottom"/>
          </w:tcPr>
          <w:p>
            <w:pPr>
              <w:spacing w:after="0"/>
              <w:rPr>
                <w:sz w:val="13"/>
                <w:szCs w:val="13"/>
                <w:color w:val="auto"/>
              </w:rPr>
            </w:pPr>
          </w:p>
        </w:tc>
      </w:tr>
      <w:tr>
        <w:trPr>
          <w:trHeight w:val="375"/>
        </w:trPr>
        <w:tc>
          <w:tcPr>
            <w:tcW w:w="2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80" w:type="dxa"/>
            <w:vAlign w:val="bottom"/>
          </w:tcPr>
          <w:p>
            <w:pPr>
              <w:ind w:left="80"/>
              <w:spacing w:after="0"/>
              <w:rPr>
                <w:sz w:val="20"/>
                <w:szCs w:val="20"/>
                <w:color w:val="auto"/>
              </w:rPr>
            </w:pPr>
            <w:r>
              <w:rPr>
                <w:rFonts w:ascii="Arial" w:cs="Arial" w:eastAsia="Arial" w:hAnsi="Arial"/>
                <w:sz w:val="28"/>
                <w:szCs w:val="28"/>
                <w:color w:val="auto"/>
                <w:w w:val="87"/>
                <w:vertAlign w:val="subscript"/>
              </w:rPr>
              <w:t>Due 12/31/17)</w:t>
            </w:r>
            <w:r>
              <w:rPr>
                <w:rFonts w:ascii="Arial" w:cs="Arial" w:eastAsia="Arial" w:hAnsi="Arial"/>
                <w:sz w:val="12"/>
                <w:szCs w:val="12"/>
                <w:color w:val="auto"/>
                <w:w w:val="87"/>
              </w:rPr>
              <w:t xml:space="preserve"> (7) (8) (11) (12)</w:t>
            </w:r>
          </w:p>
        </w:tc>
        <w:tc>
          <w:tcPr>
            <w:tcW w:w="140" w:type="dxa"/>
            <w:vAlign w:val="bottom"/>
          </w:tcPr>
          <w:p>
            <w:pPr>
              <w:spacing w:after="0"/>
              <w:rPr>
                <w:sz w:val="24"/>
                <w:szCs w:val="24"/>
                <w:color w:val="auto"/>
              </w:rPr>
            </w:pPr>
          </w:p>
        </w:tc>
      </w:tr>
      <w:tr>
        <w:trPr>
          <w:trHeight w:val="449"/>
        </w:trPr>
        <w:tc>
          <w:tcPr>
            <w:tcW w:w="2560" w:type="dxa"/>
            <w:vAlign w:val="bottom"/>
          </w:tcPr>
          <w:p>
            <w:pPr>
              <w:spacing w:after="0"/>
              <w:rPr>
                <w:sz w:val="20"/>
                <w:szCs w:val="20"/>
                <w:color w:val="auto"/>
              </w:rPr>
            </w:pPr>
            <w:r>
              <w:rPr>
                <w:rFonts w:ascii="Arial" w:cs="Arial" w:eastAsia="Arial" w:hAnsi="Arial"/>
                <w:sz w:val="14"/>
                <w:szCs w:val="14"/>
                <w:b w:val="1"/>
                <w:bCs w:val="1"/>
                <w:color w:val="auto"/>
              </w:rPr>
              <w:t>Sub Total Non-control/non-affiliated</w:t>
            </w:r>
          </w:p>
        </w:tc>
        <w:tc>
          <w:tcPr>
            <w:tcW w:w="1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6"/>
        </w:trPr>
        <w:tc>
          <w:tcPr>
            <w:tcW w:w="2560" w:type="dxa"/>
            <w:vAlign w:val="bottom"/>
          </w:tcPr>
          <w:p>
            <w:pPr>
              <w:spacing w:after="0"/>
              <w:rPr>
                <w:sz w:val="20"/>
                <w:szCs w:val="20"/>
                <w:color w:val="auto"/>
              </w:rPr>
            </w:pPr>
            <w:r>
              <w:rPr>
                <w:rFonts w:ascii="Arial" w:cs="Arial" w:eastAsia="Arial" w:hAnsi="Arial"/>
                <w:sz w:val="14"/>
                <w:szCs w:val="14"/>
                <w:b w:val="1"/>
                <w:bCs w:val="1"/>
                <w:color w:val="auto"/>
              </w:rPr>
              <w:t>investments - Brazil</w:t>
            </w:r>
          </w:p>
        </w:tc>
        <w:tc>
          <w:tcPr>
            <w:tcW w:w="18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86"/>
        </w:trPr>
        <w:tc>
          <w:tcPr>
            <w:tcW w:w="2560" w:type="dxa"/>
            <w:vAlign w:val="bottom"/>
          </w:tcPr>
          <w:p>
            <w:pPr>
              <w:spacing w:after="0"/>
              <w:rPr>
                <w:sz w:val="20"/>
                <w:szCs w:val="20"/>
                <w:color w:val="auto"/>
              </w:rPr>
            </w:pPr>
            <w:r>
              <w:rPr>
                <w:rFonts w:ascii="Arial" w:cs="Arial" w:eastAsia="Arial" w:hAnsi="Arial"/>
                <w:sz w:val="14"/>
                <w:szCs w:val="14"/>
                <w:b w:val="1"/>
                <w:bCs w:val="1"/>
                <w:color w:val="auto"/>
              </w:rPr>
              <w:t>Sub Total Non-control/non-affiliated</w:t>
            </w:r>
          </w:p>
        </w:tc>
        <w:tc>
          <w:tcPr>
            <w:tcW w:w="1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6"/>
        </w:trPr>
        <w:tc>
          <w:tcPr>
            <w:tcW w:w="2560" w:type="dxa"/>
            <w:vAlign w:val="bottom"/>
          </w:tcPr>
          <w:p>
            <w:pPr>
              <w:spacing w:after="0"/>
              <w:rPr>
                <w:sz w:val="20"/>
                <w:szCs w:val="20"/>
                <w:color w:val="auto"/>
              </w:rPr>
            </w:pPr>
            <w:r>
              <w:rPr>
                <w:rFonts w:ascii="Arial" w:cs="Arial" w:eastAsia="Arial" w:hAnsi="Arial"/>
                <w:sz w:val="14"/>
                <w:szCs w:val="14"/>
                <w:b w:val="1"/>
                <w:bCs w:val="1"/>
                <w:color w:val="auto"/>
              </w:rPr>
              <w:t>investments</w:t>
            </w:r>
          </w:p>
        </w:tc>
        <w:tc>
          <w:tcPr>
            <w:tcW w:w="18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65"/>
        </w:trPr>
        <w:tc>
          <w:tcPr>
            <w:tcW w:w="2560" w:type="dxa"/>
            <w:vAlign w:val="bottom"/>
          </w:tcPr>
          <w:p>
            <w:pPr>
              <w:spacing w:after="0"/>
              <w:rPr>
                <w:sz w:val="20"/>
                <w:szCs w:val="20"/>
                <w:color w:val="auto"/>
              </w:rPr>
            </w:pPr>
            <w:r>
              <w:rPr>
                <w:rFonts w:ascii="Arial" w:cs="Arial" w:eastAsia="Arial" w:hAnsi="Arial"/>
                <w:sz w:val="14"/>
                <w:szCs w:val="14"/>
                <w:b w:val="1"/>
                <w:bCs w:val="1"/>
                <w:color w:val="auto"/>
              </w:rPr>
              <w:t>Affiliate investments - 46.8%</w:t>
            </w:r>
          </w:p>
        </w:tc>
        <w:tc>
          <w:tcPr>
            <w:tcW w:w="1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2560" w:type="dxa"/>
            <w:vAlign w:val="bottom"/>
          </w:tcPr>
          <w:p>
            <w:pPr>
              <w:spacing w:after="0"/>
              <w:rPr>
                <w:sz w:val="20"/>
                <w:szCs w:val="20"/>
                <w:color w:val="auto"/>
              </w:rPr>
            </w:pPr>
            <w:r>
              <w:rPr>
                <w:rFonts w:ascii="Arial" w:cs="Arial" w:eastAsia="Arial" w:hAnsi="Arial"/>
                <w:sz w:val="14"/>
                <w:szCs w:val="14"/>
                <w:b w:val="1"/>
                <w:bCs w:val="1"/>
                <w:color w:val="auto"/>
              </w:rPr>
              <w:t>Affiliate investments - United States</w:t>
            </w:r>
          </w:p>
        </w:tc>
        <w:tc>
          <w:tcPr>
            <w:tcW w:w="18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158"/>
        </w:trPr>
        <w:tc>
          <w:tcPr>
            <w:tcW w:w="2560" w:type="dxa"/>
            <w:vAlign w:val="bottom"/>
          </w:tcPr>
          <w:p>
            <w:pPr>
              <w:spacing w:after="0" w:line="159" w:lineRule="exact"/>
              <w:rPr>
                <w:sz w:val="20"/>
                <w:szCs w:val="20"/>
                <w:color w:val="auto"/>
              </w:rPr>
            </w:pPr>
            <w:r>
              <w:rPr>
                <w:rFonts w:ascii="Arial" w:cs="Arial" w:eastAsia="Arial" w:hAnsi="Arial"/>
                <w:sz w:val="14"/>
                <w:szCs w:val="14"/>
                <w:color w:val="auto"/>
              </w:rPr>
              <w:t>AAE Acquisition, LLC</w:t>
            </w:r>
          </w:p>
        </w:tc>
        <w:tc>
          <w:tcPr>
            <w:tcW w:w="1800" w:type="dxa"/>
            <w:vAlign w:val="bottom"/>
          </w:tcPr>
          <w:p>
            <w:pPr>
              <w:ind w:left="80"/>
              <w:spacing w:after="0" w:line="159" w:lineRule="exact"/>
              <w:rPr>
                <w:sz w:val="20"/>
                <w:szCs w:val="20"/>
                <w:color w:val="auto"/>
              </w:rPr>
            </w:pPr>
            <w:r>
              <w:rPr>
                <w:rFonts w:ascii="Arial" w:cs="Arial" w:eastAsia="Arial" w:hAnsi="Arial"/>
                <w:sz w:val="14"/>
                <w:szCs w:val="14"/>
                <w:color w:val="auto"/>
                <w:w w:val="98"/>
              </w:rPr>
              <w:t>Industrial Equipment Rental</w:t>
            </w:r>
          </w:p>
        </w:tc>
        <w:tc>
          <w:tcPr>
            <w:tcW w:w="1880" w:type="dxa"/>
            <w:vAlign w:val="bottom"/>
          </w:tcPr>
          <w:p>
            <w:pPr>
              <w:ind w:left="80"/>
              <w:spacing w:after="0" w:line="159" w:lineRule="exact"/>
              <w:rPr>
                <w:sz w:val="20"/>
                <w:szCs w:val="20"/>
                <w:color w:val="auto"/>
              </w:rPr>
            </w:pPr>
            <w:r>
              <w:rPr>
                <w:rFonts w:ascii="Arial" w:cs="Arial" w:eastAsia="Arial" w:hAnsi="Arial"/>
                <w:sz w:val="14"/>
                <w:szCs w:val="14"/>
                <w:color w:val="auto"/>
                <w:w w:val="98"/>
              </w:rPr>
              <w:t>Second Lien Debt (8% Cash,</w:t>
            </w:r>
          </w:p>
        </w:tc>
        <w:tc>
          <w:tcPr>
            <w:tcW w:w="140" w:type="dxa"/>
            <w:vAlign w:val="bottom"/>
          </w:tcPr>
          <w:p>
            <w:pPr>
              <w:spacing w:after="0"/>
              <w:rPr>
                <w:sz w:val="13"/>
                <w:szCs w:val="13"/>
                <w:color w:val="auto"/>
              </w:rPr>
            </w:pPr>
          </w:p>
        </w:tc>
      </w:tr>
      <w:tr>
        <w:trPr>
          <w:trHeight w:val="313"/>
        </w:trPr>
        <w:tc>
          <w:tcPr>
            <w:tcW w:w="2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80" w:type="dxa"/>
            <w:vAlign w:val="bottom"/>
          </w:tcPr>
          <w:p>
            <w:pPr>
              <w:ind w:left="80"/>
              <w:spacing w:after="0"/>
              <w:rPr>
                <w:sz w:val="20"/>
                <w:szCs w:val="20"/>
                <w:color w:val="auto"/>
              </w:rPr>
            </w:pPr>
            <w:r>
              <w:rPr>
                <w:rFonts w:ascii="Arial" w:cs="Arial" w:eastAsia="Arial" w:hAnsi="Arial"/>
                <w:sz w:val="14"/>
                <w:szCs w:val="14"/>
                <w:color w:val="auto"/>
              </w:rPr>
              <w:t xml:space="preserve">4% PIK, Due 8/24/19) </w:t>
            </w:r>
            <w:r>
              <w:rPr>
                <w:rFonts w:ascii="Arial" w:cs="Arial" w:eastAsia="Arial" w:hAnsi="Arial"/>
                <w:sz w:val="23"/>
                <w:szCs w:val="23"/>
                <w:color w:val="auto"/>
                <w:vertAlign w:val="superscript"/>
              </w:rPr>
              <w:t>(8)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3"/>
        </w:trPr>
        <w:tc>
          <w:tcPr>
            <w:tcW w:w="2560" w:type="dxa"/>
            <w:vAlign w:val="bottom"/>
          </w:tcPr>
          <w:p>
            <w:pPr>
              <w:spacing w:after="0"/>
              <w:rPr>
                <w:sz w:val="20"/>
                <w:szCs w:val="20"/>
                <w:color w:val="auto"/>
              </w:rPr>
            </w:pPr>
            <w:r>
              <w:rPr>
                <w:rFonts w:ascii="Arial" w:cs="Arial" w:eastAsia="Arial" w:hAnsi="Arial"/>
                <w:sz w:val="14"/>
                <w:szCs w:val="14"/>
                <w:color w:val="auto"/>
              </w:rPr>
              <w:t>AAE Acquisition, LLC</w:t>
            </w:r>
          </w:p>
        </w:tc>
        <w:tc>
          <w:tcPr>
            <w:tcW w:w="1800" w:type="dxa"/>
            <w:vAlign w:val="bottom"/>
          </w:tcPr>
          <w:p>
            <w:pPr>
              <w:ind w:left="80"/>
              <w:spacing w:after="0"/>
              <w:rPr>
                <w:sz w:val="20"/>
                <w:szCs w:val="20"/>
                <w:color w:val="auto"/>
              </w:rPr>
            </w:pPr>
            <w:r>
              <w:rPr>
                <w:rFonts w:ascii="Arial" w:cs="Arial" w:eastAsia="Arial" w:hAnsi="Arial"/>
                <w:sz w:val="14"/>
                <w:szCs w:val="14"/>
                <w:color w:val="auto"/>
                <w:w w:val="98"/>
              </w:rPr>
              <w:t>Industrial Equipment Rental</w:t>
            </w:r>
          </w:p>
        </w:tc>
        <w:tc>
          <w:tcPr>
            <w:tcW w:w="1880" w:type="dxa"/>
            <w:vAlign w:val="bottom"/>
          </w:tcPr>
          <w:p>
            <w:pPr>
              <w:ind w:left="80"/>
              <w:spacing w:after="0"/>
              <w:rPr>
                <w:sz w:val="20"/>
                <w:szCs w:val="20"/>
                <w:color w:val="auto"/>
              </w:rPr>
            </w:pPr>
            <w:r>
              <w:rPr>
                <w:rFonts w:ascii="Arial" w:cs="Arial" w:eastAsia="Arial" w:hAnsi="Arial"/>
                <w:sz w:val="14"/>
                <w:szCs w:val="14"/>
                <w:color w:val="auto"/>
              </w:rPr>
              <w:t>Membership Units (2.19%</w:t>
            </w:r>
          </w:p>
        </w:tc>
        <w:tc>
          <w:tcPr>
            <w:tcW w:w="140" w:type="dxa"/>
            <w:vAlign w:val="bottom"/>
          </w:tcPr>
          <w:p>
            <w:pPr>
              <w:spacing w:after="0"/>
              <w:rPr>
                <w:sz w:val="14"/>
                <w:szCs w:val="14"/>
                <w:color w:val="auto"/>
              </w:rPr>
            </w:pPr>
          </w:p>
        </w:tc>
      </w:tr>
      <w:tr>
        <w:trPr>
          <w:trHeight w:val="182"/>
        </w:trPr>
        <w:tc>
          <w:tcPr>
            <w:tcW w:w="2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80" w:type="dxa"/>
            <w:vAlign w:val="bottom"/>
          </w:tcPr>
          <w:p>
            <w:pPr>
              <w:ind w:left="80"/>
              <w:spacing w:after="0"/>
              <w:rPr>
                <w:sz w:val="20"/>
                <w:szCs w:val="20"/>
                <w:color w:val="auto"/>
              </w:rPr>
            </w:pPr>
            <w:r>
              <w:rPr>
                <w:rFonts w:ascii="Arial" w:cs="Arial" w:eastAsia="Arial" w:hAnsi="Arial"/>
                <w:sz w:val="14"/>
                <w:szCs w:val="14"/>
                <w:color w:val="auto"/>
              </w:rPr>
              <w:t>fully diluted)</w:t>
            </w:r>
          </w:p>
        </w:tc>
        <w:tc>
          <w:tcPr>
            <w:tcW w:w="140" w:type="dxa"/>
            <w:vAlign w:val="bottom"/>
          </w:tcPr>
          <w:p>
            <w:pPr>
              <w:spacing w:after="0"/>
              <w:rPr>
                <w:sz w:val="15"/>
                <w:szCs w:val="15"/>
                <w:color w:val="auto"/>
              </w:rPr>
            </w:pPr>
          </w:p>
        </w:tc>
      </w:tr>
      <w:tr>
        <w:trPr>
          <w:trHeight w:val="263"/>
        </w:trPr>
        <w:tc>
          <w:tcPr>
            <w:tcW w:w="2560" w:type="dxa"/>
            <w:vAlign w:val="bottom"/>
          </w:tcPr>
          <w:p>
            <w:pPr>
              <w:spacing w:after="0"/>
              <w:rPr>
                <w:sz w:val="20"/>
                <w:szCs w:val="20"/>
                <w:color w:val="auto"/>
              </w:rPr>
            </w:pPr>
            <w:r>
              <w:rPr>
                <w:rFonts w:ascii="Arial" w:cs="Arial" w:eastAsia="Arial" w:hAnsi="Arial"/>
                <w:sz w:val="14"/>
                <w:szCs w:val="14"/>
                <w:color w:val="auto"/>
              </w:rPr>
              <w:t>AAE Acquisition, LLC</w:t>
            </w:r>
          </w:p>
        </w:tc>
        <w:tc>
          <w:tcPr>
            <w:tcW w:w="1800" w:type="dxa"/>
            <w:vAlign w:val="bottom"/>
          </w:tcPr>
          <w:p>
            <w:pPr>
              <w:ind w:left="80"/>
              <w:spacing w:after="0"/>
              <w:rPr>
                <w:sz w:val="20"/>
                <w:szCs w:val="20"/>
                <w:color w:val="auto"/>
              </w:rPr>
            </w:pPr>
            <w:r>
              <w:rPr>
                <w:rFonts w:ascii="Arial" w:cs="Arial" w:eastAsia="Arial" w:hAnsi="Arial"/>
                <w:sz w:val="14"/>
                <w:szCs w:val="14"/>
                <w:color w:val="auto"/>
                <w:w w:val="98"/>
              </w:rPr>
              <w:t>Industrial Equipment Rental</w:t>
            </w:r>
          </w:p>
        </w:tc>
        <w:tc>
          <w:tcPr>
            <w:tcW w:w="1880" w:type="dxa"/>
            <w:vAlign w:val="bottom"/>
          </w:tcPr>
          <w:p>
            <w:pPr>
              <w:ind w:left="80"/>
              <w:spacing w:after="0"/>
              <w:rPr>
                <w:sz w:val="20"/>
                <w:szCs w:val="20"/>
                <w:color w:val="auto"/>
              </w:rPr>
            </w:pPr>
            <w:r>
              <w:rPr>
                <w:rFonts w:ascii="Arial" w:cs="Arial" w:eastAsia="Arial" w:hAnsi="Arial"/>
                <w:sz w:val="14"/>
                <w:szCs w:val="14"/>
                <w:color w:val="auto"/>
              </w:rPr>
              <w:t>Warrants (37.78% fully</w:t>
            </w:r>
          </w:p>
        </w:tc>
        <w:tc>
          <w:tcPr>
            <w:tcW w:w="140" w:type="dxa"/>
            <w:vAlign w:val="bottom"/>
          </w:tcPr>
          <w:p>
            <w:pPr>
              <w:spacing w:after="0"/>
              <w:rPr>
                <w:sz w:val="22"/>
                <w:szCs w:val="22"/>
                <w:color w:val="auto"/>
              </w:rPr>
            </w:pPr>
          </w:p>
        </w:tc>
      </w:tr>
      <w:tr>
        <w:trPr>
          <w:trHeight w:val="182"/>
        </w:trPr>
        <w:tc>
          <w:tcPr>
            <w:tcW w:w="2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80" w:type="dxa"/>
            <w:vAlign w:val="bottom"/>
          </w:tcPr>
          <w:p>
            <w:pPr>
              <w:ind w:left="80"/>
              <w:spacing w:after="0"/>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15"/>
                <w:szCs w:val="15"/>
                <w:color w:val="auto"/>
              </w:rPr>
            </w:pPr>
          </w:p>
        </w:tc>
      </w:tr>
      <w:tr>
        <w:trPr>
          <w:trHeight w:val="615"/>
        </w:trPr>
        <w:tc>
          <w:tcPr>
            <w:tcW w:w="2560" w:type="dxa"/>
            <w:vAlign w:val="bottom"/>
          </w:tcPr>
          <w:p>
            <w:pPr>
              <w:spacing w:after="0"/>
              <w:rPr>
                <w:sz w:val="20"/>
                <w:szCs w:val="20"/>
                <w:color w:val="auto"/>
              </w:rPr>
            </w:pPr>
            <w:r>
              <w:rPr>
                <w:rFonts w:ascii="Arial" w:cs="Arial" w:eastAsia="Arial" w:hAnsi="Arial"/>
                <w:sz w:val="14"/>
                <w:szCs w:val="14"/>
                <w:color w:val="auto"/>
              </w:rPr>
              <w:t>Burgaflex Holdings, LLC</w:t>
            </w:r>
          </w:p>
        </w:tc>
        <w:tc>
          <w:tcPr>
            <w:tcW w:w="1800" w:type="dxa"/>
            <w:vAlign w:val="bottom"/>
          </w:tcPr>
          <w:p>
            <w:pPr>
              <w:ind w:left="80"/>
              <w:spacing w:after="0"/>
              <w:rPr>
                <w:sz w:val="20"/>
                <w:szCs w:val="20"/>
                <w:color w:val="auto"/>
              </w:rPr>
            </w:pPr>
            <w:r>
              <w:rPr>
                <w:rFonts w:ascii="Arial" w:cs="Arial" w:eastAsia="Arial" w:hAnsi="Arial"/>
                <w:sz w:val="14"/>
                <w:szCs w:val="14"/>
                <w:color w:val="auto"/>
              </w:rPr>
              <w:t>Automobile Part</w:t>
            </w:r>
          </w:p>
        </w:tc>
        <w:tc>
          <w:tcPr>
            <w:tcW w:w="1880" w:type="dxa"/>
            <w:vAlign w:val="bottom"/>
          </w:tcPr>
          <w:p>
            <w:pPr>
              <w:ind w:left="80"/>
              <w:spacing w:after="0"/>
              <w:rPr>
                <w:sz w:val="20"/>
                <w:szCs w:val="20"/>
                <w:color w:val="auto"/>
              </w:rPr>
            </w:pPr>
            <w:r>
              <w:rPr>
                <w:rFonts w:ascii="Arial" w:cs="Arial" w:eastAsia="Arial" w:hAnsi="Arial"/>
                <w:sz w:val="14"/>
                <w:szCs w:val="14"/>
                <w:color w:val="auto"/>
              </w:rPr>
              <w:t>Subordinated Debt (14%</w:t>
            </w:r>
          </w:p>
        </w:tc>
        <w:tc>
          <w:tcPr>
            <w:tcW w:w="140" w:type="dxa"/>
            <w:vAlign w:val="bottom"/>
          </w:tcPr>
          <w:p>
            <w:pPr>
              <w:spacing w:after="0"/>
              <w:rPr>
                <w:sz w:val="24"/>
                <w:szCs w:val="24"/>
                <w:color w:val="auto"/>
              </w:rPr>
            </w:pPr>
          </w:p>
        </w:tc>
      </w:tr>
      <w:tr>
        <w:trPr>
          <w:trHeight w:val="323"/>
        </w:trPr>
        <w:tc>
          <w:tcPr>
            <w:tcW w:w="2560" w:type="dxa"/>
            <w:vAlign w:val="bottom"/>
          </w:tcPr>
          <w:p>
            <w:pPr>
              <w:spacing w:after="0"/>
              <w:rPr>
                <w:sz w:val="24"/>
                <w:szCs w:val="24"/>
                <w:color w:val="auto"/>
              </w:rPr>
            </w:pPr>
          </w:p>
        </w:tc>
        <w:tc>
          <w:tcPr>
            <w:tcW w:w="1800" w:type="dxa"/>
            <w:vAlign w:val="bottom"/>
          </w:tcPr>
          <w:p>
            <w:pPr>
              <w:ind w:left="80"/>
              <w:spacing w:after="0"/>
              <w:rPr>
                <w:sz w:val="20"/>
                <w:szCs w:val="20"/>
                <w:color w:val="auto"/>
              </w:rPr>
            </w:pPr>
            <w:r>
              <w:rPr>
                <w:rFonts w:ascii="Arial" w:cs="Arial" w:eastAsia="Arial" w:hAnsi="Arial"/>
                <w:sz w:val="14"/>
                <w:szCs w:val="14"/>
                <w:color w:val="auto"/>
              </w:rPr>
              <w:t>Manufacturer</w:t>
            </w:r>
          </w:p>
        </w:tc>
        <w:tc>
          <w:tcPr>
            <w:tcW w:w="1880" w:type="dxa"/>
            <w:vAlign w:val="bottom"/>
          </w:tcPr>
          <w:p>
            <w:pPr>
              <w:ind w:left="80"/>
              <w:spacing w:after="0"/>
              <w:rPr>
                <w:sz w:val="20"/>
                <w:szCs w:val="20"/>
                <w:color w:val="auto"/>
              </w:rPr>
            </w:pPr>
            <w:r>
              <w:rPr>
                <w:rFonts w:ascii="Arial" w:cs="Arial" w:eastAsia="Arial" w:hAnsi="Arial"/>
                <w:sz w:val="14"/>
                <w:szCs w:val="14"/>
                <w:color w:val="auto"/>
              </w:rPr>
              <w:t xml:space="preserve">Cash, Due 8/9/19) </w:t>
            </w:r>
            <w:r>
              <w:rPr>
                <w:rFonts w:ascii="Arial" w:cs="Arial" w:eastAsia="Arial" w:hAnsi="Arial"/>
                <w:sz w:val="23"/>
                <w:szCs w:val="23"/>
                <w:color w:val="auto"/>
                <w:vertAlign w:val="superscript"/>
              </w:rPr>
              <w:t>(13)</w:t>
            </w: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-5612765</wp:posOffset>
            </wp:positionV>
            <wp:extent cx="7246620" cy="3860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-5123815</wp:posOffset>
            </wp:positionV>
            <wp:extent cx="7246620" cy="102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-4918075</wp:posOffset>
            </wp:positionV>
            <wp:extent cx="7246620" cy="214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-4609465</wp:posOffset>
            </wp:positionV>
            <wp:extent cx="7246620" cy="1974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-4309110</wp:posOffset>
            </wp:positionV>
            <wp:extent cx="7246620" cy="1028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-4103370</wp:posOffset>
            </wp:positionV>
            <wp:extent cx="724662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-3820160</wp:posOffset>
            </wp:positionV>
            <wp:extent cx="7246620" cy="1974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-3519805</wp:posOffset>
            </wp:positionV>
            <wp:extent cx="7246620" cy="1028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-3314065</wp:posOffset>
            </wp:positionV>
            <wp:extent cx="7246620" cy="1974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-3014345</wp:posOffset>
            </wp:positionV>
            <wp:extent cx="724662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-2602230</wp:posOffset>
            </wp:positionV>
            <wp:extent cx="7246620" cy="1028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-2396490</wp:posOffset>
            </wp:positionV>
            <wp:extent cx="7246620" cy="1028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-2096135</wp:posOffset>
            </wp:positionV>
            <wp:extent cx="7246620" cy="1028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-1779270</wp:posOffset>
            </wp:positionV>
            <wp:extent cx="7246620" cy="1117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-1573530</wp:posOffset>
            </wp:positionV>
            <wp:extent cx="7246620" cy="946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-1384935</wp:posOffset>
            </wp:positionV>
            <wp:extent cx="7246620" cy="2146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-1075690</wp:posOffset>
            </wp:positionV>
            <wp:extent cx="724662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-793115</wp:posOffset>
            </wp:positionV>
            <wp:extent cx="7246620" cy="1974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246620" cy="1028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2146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8,374</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8,374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8,374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8,374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5"/>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10,500</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10,500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4.7%</w:t>
            </w:r>
          </w:p>
        </w:tc>
      </w:tr>
      <w:tr>
        <w:trPr>
          <w:trHeight w:val="444"/>
        </w:trPr>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7,379</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3.3%</w:t>
            </w:r>
          </w:p>
        </w:tc>
      </w:tr>
      <w:tr>
        <w:trPr>
          <w:trHeight w:val="20"/>
        </w:trPr>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13,500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17,879</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8.0%</w:t>
            </w:r>
          </w:p>
        </w:tc>
      </w:tr>
      <w:tr>
        <w:trPr>
          <w:trHeight w:val="20"/>
        </w:trPr>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4"/>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15,750</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15,750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7.1%</w:t>
            </w:r>
          </w:p>
        </w:tc>
      </w:tr>
      <w:tr>
        <w:trPr>
          <w:trHeight w:val="444"/>
        </w:trPr>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637</w:t>
            </w: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16,350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16,387</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7.4%</w:t>
            </w:r>
          </w:p>
        </w:tc>
      </w:tr>
      <w:tr>
        <w:trPr>
          <w:trHeight w:val="20"/>
        </w:trPr>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286,316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280,359</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126.4%</w:t>
            </w:r>
          </w:p>
        </w:tc>
      </w:tr>
      <w:tr>
        <w:trPr>
          <w:trHeight w:val="20"/>
        </w:trPr>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90"/>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12,275</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8,015</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8,015</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8,015</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298,132</w:t>
            </w:r>
          </w:p>
        </w:tc>
        <w:tc>
          <w:tcPr>
            <w:tcW w:w="100" w:type="dxa"/>
            <w:vAlign w:val="bottom"/>
          </w:tcPr>
          <w:p>
            <w:pPr>
              <w:spacing w:after="0"/>
              <w:rPr>
                <w:sz w:val="24"/>
                <w:szCs w:val="2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288,374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130.0</w:t>
            </w:r>
            <w:r>
              <w:rPr>
                <w:rFonts w:ascii="Arial" w:cs="Arial" w:eastAsia="Arial" w:hAnsi="Arial"/>
                <w:sz w:val="28"/>
                <w:szCs w:val="28"/>
                <w:color w:val="auto"/>
                <w:vertAlign w:val="superscript"/>
              </w:rPr>
              <w:t>%</w:t>
            </w:r>
          </w:p>
        </w:tc>
      </w:tr>
      <w:tr>
        <w:trPr>
          <w:trHeight w:val="20"/>
        </w:trPr>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27"/>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15,846</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15,846</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15,603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7.0%</w:t>
            </w:r>
          </w:p>
        </w:tc>
      </w:tr>
      <w:tr>
        <w:trPr>
          <w:trHeight w:val="446"/>
        </w:trPr>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444"/>
        </w:trPr>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15,863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15,603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7.0%</w:t>
            </w:r>
          </w:p>
        </w:tc>
      </w:tr>
      <w:tr>
        <w:trPr>
          <w:trHeight w:val="20"/>
        </w:trPr>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5"/>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3,000</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3,000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1.4%</w:t>
            </w:r>
          </w:p>
        </w:tc>
      </w:tr>
    </w:tbl>
    <w:p>
      <w:pPr>
        <w:spacing w:after="0" w:line="300" w:lineRule="exact"/>
        <w:rPr>
          <w:sz w:val="20"/>
          <w:szCs w:val="20"/>
          <w:color w:val="auto"/>
        </w:rPr>
      </w:pPr>
    </w:p>
    <w:p>
      <w:pPr>
        <w:sectPr>
          <w:pgSz w:w="11900" w:h="16838" w:orient="portrait"/>
          <w:cols w:equalWidth="0" w:num="2">
            <w:col w:w="6380" w:space="600"/>
            <w:col w:w="4440"/>
          </w:cols>
          <w:pgMar w:left="240" w:top="904" w:right="239" w:bottom="1440" w:gutter="0" w:footer="0" w:header="0"/>
          <w:type w:val="continuous"/>
        </w:sectPr>
      </w:pP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8" w:name="page19"/>
    <w:bookmarkEnd w:id="18"/>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 xml:space="preserve">Portfolio Company, Country </w:t>
            </w:r>
            <w:r>
              <w:rPr>
                <w:rFonts w:ascii="Arial" w:cs="Arial" w:eastAsia="Arial" w:hAnsi="Arial"/>
                <w:sz w:val="23"/>
                <w:szCs w:val="23"/>
                <w:b w:val="1"/>
                <w:bCs w:val="1"/>
                <w:color w:val="auto"/>
                <w:w w:val="89"/>
                <w:vertAlign w:val="superscript"/>
              </w:rPr>
              <w:t>(1)</w:t>
            </w:r>
            <w:r>
              <w:rPr>
                <w:rFonts w:ascii="Arial" w:cs="Arial" w:eastAsia="Arial" w:hAnsi="Arial"/>
                <w:sz w:val="23"/>
                <w:szCs w:val="23"/>
                <w:b w:val="1"/>
                <w:bCs w:val="1"/>
                <w:u w:val="single" w:color="auto"/>
                <w:color w:val="auto"/>
                <w:w w:val="89"/>
                <w:vertAlign w:val="superscript"/>
              </w:rPr>
              <w:t>,</w:t>
            </w:r>
            <w:r>
              <w:rPr>
                <w:rFonts w:ascii="Arial" w:cs="Arial" w:eastAsia="Arial" w:hAnsi="Arial"/>
                <w:sz w:val="14"/>
                <w:szCs w:val="14"/>
                <w:b w:val="1"/>
                <w:bCs w:val="1"/>
                <w:color w:val="auto"/>
                <w:w w:val="89"/>
              </w:rPr>
              <w:t xml:space="preserve"> </w:t>
            </w:r>
            <w:r>
              <w:rPr>
                <w:rFonts w:ascii="Arial" w:cs="Arial" w:eastAsia="Arial" w:hAnsi="Arial"/>
                <w:sz w:val="23"/>
                <w:szCs w:val="23"/>
                <w:b w:val="1"/>
                <w:bCs w:val="1"/>
                <w:color w:val="auto"/>
                <w:w w:val="89"/>
                <w:vertAlign w:val="superscript"/>
              </w:rPr>
              <w:t>(2), (3), (4)</w:t>
            </w:r>
          </w:p>
        </w:tc>
        <w:tc>
          <w:tcPr>
            <w:tcW w:w="16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4"/>
                <w:szCs w:val="14"/>
                <w:color w:val="auto"/>
              </w:rPr>
            </w:pPr>
          </w:p>
        </w:tc>
        <w:tc>
          <w:tcPr>
            <w:tcW w:w="18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Type of Investment</w:t>
            </w: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3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Subordinated Debt (12%</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1960" w:type="dxa"/>
            <w:vAlign w:val="bottom"/>
            <w:gridSpan w:val="3"/>
            <w:shd w:val="clear" w:color="auto" w:fill="CCEEFF"/>
          </w:tcPr>
          <w:p>
            <w:pPr>
              <w:ind w:left="100"/>
              <w:spacing w:after="0" w:line="208" w:lineRule="exact"/>
              <w:rPr>
                <w:sz w:val="20"/>
                <w:szCs w:val="20"/>
                <w:color w:val="auto"/>
              </w:rPr>
            </w:pPr>
            <w:r>
              <w:rPr>
                <w:rFonts w:ascii="Arial" w:cs="Arial" w:eastAsia="Arial" w:hAnsi="Arial"/>
                <w:sz w:val="14"/>
                <w:szCs w:val="14"/>
                <w:color w:val="auto"/>
              </w:rPr>
              <w:t xml:space="preserve">Cash, Due 8/9/19) </w:t>
            </w:r>
            <w:r>
              <w:rPr>
                <w:rFonts w:ascii="Arial" w:cs="Arial" w:eastAsia="Arial" w:hAnsi="Arial"/>
                <w:sz w:val="23"/>
                <w:szCs w:val="23"/>
                <w:color w:val="auto"/>
                <w:vertAlign w:val="superscript"/>
              </w:rPr>
              <w:t>(13)</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5,828</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 (1,253,198</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10,332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9,285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City Gear, LLC</w:t>
            </w:r>
          </w:p>
        </w:tc>
        <w:tc>
          <w:tcPr>
            <w:tcW w:w="16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Footwear Retail</w:t>
            </w:r>
          </w:p>
        </w:tc>
        <w:tc>
          <w:tcPr>
            <w:tcW w:w="196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rPr>
              <w:t>Subordinated Debt (13%</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Cash, Due 10/20/19) </w:t>
            </w:r>
            <w:r>
              <w:rPr>
                <w:rFonts w:ascii="Arial" w:cs="Arial" w:eastAsia="Arial" w:hAnsi="Arial"/>
                <w:sz w:val="22"/>
                <w:szCs w:val="22"/>
                <w:color w:val="auto"/>
                <w:vertAlign w:val="superscript"/>
              </w:rPr>
              <w:t>(8)</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Footwear Retail</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Preferred Membership Units</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96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(2.78% fully diluted, 9% Cash</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2"/>
                <w:szCs w:val="22"/>
                <w:color w:val="auto"/>
                <w:vertAlign w:val="superscript"/>
              </w:rPr>
              <w:t>(5)</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Footwear Retail</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Membership Unit Warrants</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(11.38% fully diluted)</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8,248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17,748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 Marketing</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A-1 Preferred Stock</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Services</w:t>
            </w:r>
          </w:p>
        </w:tc>
        <w:tc>
          <w:tcPr>
            <w:tcW w:w="196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(1,998 shares, 8% PIK</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2"/>
                <w:szCs w:val="22"/>
                <w:color w:val="auto"/>
                <w:vertAlign w:val="superscript"/>
              </w:rPr>
              <w:t>(5)</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2,902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 Marketing</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B-1 Common Stock</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(200,000 shares)</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1,932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2,904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J&amp;J Produce Holdings, Inc.</w:t>
            </w:r>
          </w:p>
        </w:tc>
        <w:tc>
          <w:tcPr>
            <w:tcW w:w="16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Produce Distribution</w:t>
            </w:r>
          </w:p>
        </w:tc>
        <w:tc>
          <w:tcPr>
            <w:tcW w:w="196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w w:val="98"/>
              </w:rPr>
              <w:t>Subordinated Debt (6% Cash,</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7% PIK, Due 6/16/19) </w:t>
            </w:r>
            <w:r>
              <w:rPr>
                <w:rFonts w:ascii="Arial" w:cs="Arial" w:eastAsia="Arial" w:hAnsi="Arial"/>
                <w:sz w:val="22"/>
                <w:szCs w:val="22"/>
                <w:color w:val="auto"/>
                <w:vertAlign w:val="superscript"/>
              </w:rPr>
              <w:t>(8)</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6,368</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6,368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6,170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Produce Distribution</w:t>
            </w:r>
          </w:p>
        </w:tc>
        <w:tc>
          <w:tcPr>
            <w:tcW w:w="19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6"/>
              </w:rPr>
              <w:t>Common Stock (8,182 shares)</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818</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Produce Distribution</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 Warrants</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(6,369 shares)</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7,186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6,170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LJS Partners,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QSR Franchisor</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 (1,500,000</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16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Medical Device Distributor</w:t>
            </w:r>
          </w:p>
        </w:tc>
        <w:tc>
          <w:tcPr>
            <w:tcW w:w="196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rPr>
              <w:t>First Lien Debt (12% Cash,</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Due 1/31/19) </w:t>
            </w:r>
            <w:r>
              <w:rPr>
                <w:rFonts w:ascii="Arial" w:cs="Arial" w:eastAsia="Arial" w:hAnsi="Arial"/>
                <w:sz w:val="22"/>
                <w:szCs w:val="22"/>
                <w:color w:val="auto"/>
                <w:vertAlign w:val="superscript"/>
              </w:rPr>
              <w:t>(8)</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16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Medical Device Distributor</w:t>
            </w:r>
          </w:p>
        </w:tc>
        <w:tc>
          <w:tcPr>
            <w:tcW w:w="196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w w:val="98"/>
              </w:rPr>
              <w:t>Subordinated Debt (6% Cash,</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Due 1/31/19) </w:t>
            </w:r>
            <w:r>
              <w:rPr>
                <w:rFonts w:ascii="Arial" w:cs="Arial" w:eastAsia="Arial" w:hAnsi="Arial"/>
                <w:sz w:val="22"/>
                <w:szCs w:val="22"/>
                <w:color w:val="auto"/>
                <w:vertAlign w:val="superscript"/>
              </w:rPr>
              <w:t>(8)</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16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Medical Device Distributor</w:t>
            </w:r>
          </w:p>
        </w:tc>
        <w:tc>
          <w:tcPr>
            <w:tcW w:w="196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rPr>
              <w:t>Preferred Units (1,000 units,</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6% PIK dividend) </w:t>
            </w:r>
            <w:r>
              <w:rPr>
                <w:rFonts w:ascii="Arial" w:cs="Arial" w:eastAsia="Arial" w:hAnsi="Arial"/>
                <w:sz w:val="22"/>
                <w:szCs w:val="22"/>
                <w:color w:val="auto"/>
                <w:vertAlign w:val="superscript"/>
              </w:rPr>
              <w:t>(5)</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Medical Device Distributor</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Membership Units</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(45 units)</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4,369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 xml:space="preserve">Portfolio Company, Country </w:t>
            </w:r>
            <w:r>
              <w:rPr>
                <w:rFonts w:ascii="Arial" w:cs="Arial" w:eastAsia="Arial" w:hAnsi="Arial"/>
                <w:sz w:val="23"/>
                <w:szCs w:val="23"/>
                <w:b w:val="1"/>
                <w:bCs w:val="1"/>
                <w:color w:val="auto"/>
                <w:w w:val="89"/>
                <w:vertAlign w:val="superscript"/>
              </w:rPr>
              <w:t>(1)</w:t>
            </w:r>
            <w:r>
              <w:rPr>
                <w:rFonts w:ascii="Arial" w:cs="Arial" w:eastAsia="Arial" w:hAnsi="Arial"/>
                <w:sz w:val="23"/>
                <w:szCs w:val="23"/>
                <w:b w:val="1"/>
                <w:bCs w:val="1"/>
                <w:u w:val="single" w:color="auto"/>
                <w:color w:val="auto"/>
                <w:w w:val="89"/>
                <w:vertAlign w:val="superscript"/>
              </w:rPr>
              <w:t>,</w:t>
            </w:r>
            <w:r>
              <w:rPr>
                <w:rFonts w:ascii="Arial" w:cs="Arial" w:eastAsia="Arial" w:hAnsi="Arial"/>
                <w:sz w:val="14"/>
                <w:szCs w:val="14"/>
                <w:b w:val="1"/>
                <w:bCs w:val="1"/>
                <w:color w:val="auto"/>
                <w:w w:val="89"/>
              </w:rPr>
              <w:t xml:space="preserve"> </w:t>
            </w:r>
            <w:r>
              <w:rPr>
                <w:rFonts w:ascii="Arial" w:cs="Arial" w:eastAsia="Arial" w:hAnsi="Arial"/>
                <w:sz w:val="23"/>
                <w:szCs w:val="23"/>
                <w:b w:val="1"/>
                <w:bCs w:val="1"/>
                <w:color w:val="auto"/>
                <w:w w:val="89"/>
                <w:vertAlign w:val="superscript"/>
              </w:rPr>
              <w:t>(2), (3), (4)</w:t>
            </w:r>
          </w:p>
        </w:tc>
        <w:tc>
          <w:tcPr>
            <w:tcW w:w="16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4"/>
                <w:szCs w:val="14"/>
                <w:color w:val="auto"/>
              </w:rPr>
            </w:pPr>
          </w:p>
        </w:tc>
        <w:tc>
          <w:tcPr>
            <w:tcW w:w="18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Type of Investment</w:t>
            </w:r>
          </w:p>
        </w:tc>
        <w:tc>
          <w:tcPr>
            <w:tcW w:w="180" w:type="dxa"/>
            <w:vAlign w:val="bottom"/>
          </w:tcPr>
          <w:p>
            <w:pPr>
              <w:spacing w:after="0"/>
              <w:rPr>
                <w:sz w:val="14"/>
                <w:szCs w:val="14"/>
                <w:color w:val="auto"/>
              </w:rPr>
            </w:pPr>
          </w:p>
        </w:tc>
        <w:tc>
          <w:tcPr>
            <w:tcW w:w="13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7"/>
              </w:rPr>
              <w:t>Principal</w:t>
            </w:r>
          </w:p>
        </w:tc>
        <w:tc>
          <w:tcPr>
            <w:tcW w:w="10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MTI Holdings,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Retail Display &amp; Security</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Membership Units (2,000,000</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960" w:type="dxa"/>
            <w:vAlign w:val="bottom"/>
            <w:gridSpan w:val="3"/>
            <w:shd w:val="clear" w:color="auto" w:fill="CCEEFF"/>
          </w:tcPr>
          <w:p>
            <w:pPr>
              <w:ind w:left="100"/>
              <w:spacing w:after="0" w:line="221" w:lineRule="exact"/>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(14)</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Sierra Hamilton Holdings Corporation</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 Engineering and</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 (15,068,000</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rPr>
              <w:t>Consulting Services</w:t>
            </w: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8,528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8,528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Automotive Chemicals &amp;</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Membership Units (11.3%</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rPr>
              <w:t>Lubricants</w:t>
            </w:r>
          </w:p>
        </w:tc>
        <w:tc>
          <w:tcPr>
            <w:tcW w:w="1960" w:type="dxa"/>
            <w:vAlign w:val="bottom"/>
            <w:gridSpan w:val="3"/>
            <w:shd w:val="clear" w:color="auto" w:fill="CCEEFF"/>
          </w:tcPr>
          <w:p>
            <w:pPr>
              <w:ind w:left="100"/>
              <w:spacing w:after="0" w:line="221" w:lineRule="exact"/>
              <w:rPr>
                <w:sz w:val="20"/>
                <w:szCs w:val="20"/>
                <w:color w:val="auto"/>
              </w:rPr>
            </w:pPr>
            <w:r>
              <w:rPr>
                <w:rFonts w:ascii="Arial" w:cs="Arial" w:eastAsia="Arial" w:hAnsi="Arial"/>
                <w:sz w:val="14"/>
                <w:szCs w:val="14"/>
                <w:color w:val="auto"/>
              </w:rPr>
              <w:t xml:space="preserve">ownership) </w:t>
            </w:r>
            <w:r>
              <w:rPr>
                <w:rFonts w:ascii="Arial" w:cs="Arial" w:eastAsia="Arial" w:hAnsi="Arial"/>
                <w:sz w:val="23"/>
                <w:szCs w:val="23"/>
                <w:color w:val="auto"/>
                <w:vertAlign w:val="superscript"/>
              </w:rPr>
              <w:t>(14)</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4300" w:type="dxa"/>
            <w:vAlign w:val="bottom"/>
            <w:gridSpan w:val="3"/>
            <w:shd w:val="clear" w:color="auto" w:fill="CCEEFF"/>
          </w:tcPr>
          <w:p>
            <w:pPr>
              <w:spacing w:after="0" w:line="140" w:lineRule="exact"/>
              <w:rPr>
                <w:sz w:val="20"/>
                <w:szCs w:val="20"/>
                <w:color w:val="auto"/>
              </w:rPr>
            </w:pPr>
            <w:r>
              <w:rPr>
                <w:rFonts w:ascii="Arial" w:cs="Arial" w:eastAsia="Arial" w:hAnsi="Arial"/>
                <w:sz w:val="14"/>
                <w:szCs w:val="14"/>
                <w:color w:val="auto"/>
                <w:w w:val="92"/>
              </w:rPr>
              <w:t>STX Healthcare Management Services, Inc.  Dental Practice Management</w:t>
            </w:r>
          </w:p>
        </w:tc>
        <w:tc>
          <w:tcPr>
            <w:tcW w:w="196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rPr>
              <w:t>Common Stock (1,200,000</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ind w:left="100"/>
              <w:spacing w:after="0" w:line="211"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23"/>
                <w:szCs w:val="23"/>
                <w:color w:val="auto"/>
                <w:vertAlign w:val="superscript"/>
              </w:rPr>
              <w:t>(14)</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 Services</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(7.35% Cash</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96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(1 month LIBOR + 6%, 1%</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floor), Due 2/2/22) </w:t>
            </w:r>
            <w:r>
              <w:rPr>
                <w:rFonts w:ascii="Arial" w:cs="Arial" w:eastAsia="Arial" w:hAnsi="Arial"/>
                <w:sz w:val="22"/>
                <w:szCs w:val="22"/>
                <w:color w:val="auto"/>
                <w:vertAlign w:val="superscript"/>
              </w:rPr>
              <w:t>(15)</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 Services</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(12.35% PIK</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9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 month LIBOR + 11%, 1%</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Due 2/2/22)</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9,516</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9,516</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 Services</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Class A Units (5,680,688</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Units)</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6,259</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LLC</w:t>
            </w:r>
          </w:p>
        </w:tc>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 Services</w:t>
            </w:r>
          </w:p>
        </w:tc>
        <w:tc>
          <w:tcPr>
            <w:tcW w:w="19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Class B Units (2,076,298</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Units)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441</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18,515</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27,774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rPr>
              <w:t>Data Processing &amp; Digital</w:t>
            </w:r>
          </w:p>
        </w:tc>
        <w:tc>
          <w:tcPr>
            <w:tcW w:w="1960" w:type="dxa"/>
            <w:vAlign w:val="bottom"/>
            <w:gridSpan w:val="3"/>
            <w:shd w:val="clear" w:color="auto" w:fill="CCEEFF"/>
          </w:tcPr>
          <w:p>
            <w:pPr>
              <w:ind w:left="100"/>
              <w:spacing w:after="0" w:line="162"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8"/>
                <w:szCs w:val="18"/>
                <w:color w:val="auto"/>
                <w:vertAlign w:val="superscript"/>
              </w:rPr>
              <w:t>(19)</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813</w:t>
            </w:r>
          </w:p>
        </w:tc>
        <w:tc>
          <w:tcPr>
            <w:tcW w:w="1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1,035</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Marketing</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2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813</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9"/>
              </w:rPr>
              <w:t>Sub Total Affiliate investments - United</w:t>
            </w: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States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77,336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103,957</w:t>
            </w:r>
          </w:p>
        </w:tc>
        <w:tc>
          <w:tcPr>
            <w:tcW w:w="122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46.8</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investments- 48.5%</w:t>
            </w: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United States</w:t>
            </w: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80" w:type="dxa"/>
            <w:vAlign w:val="bottom"/>
          </w:tcPr>
          <w:p>
            <w:pPr>
              <w:spacing w:after="0" w:line="130" w:lineRule="exact"/>
              <w:rPr>
                <w:sz w:val="20"/>
                <w:szCs w:val="20"/>
                <w:color w:val="auto"/>
              </w:rPr>
            </w:pPr>
            <w:r>
              <w:rPr>
                <w:rFonts w:ascii="Arial" w:cs="Arial" w:eastAsia="Arial" w:hAnsi="Arial"/>
                <w:sz w:val="14"/>
                <w:szCs w:val="14"/>
                <w:color w:val="auto"/>
              </w:rPr>
              <w:t>Computer Supply Retail</w:t>
            </w:r>
          </w:p>
        </w:tc>
        <w:tc>
          <w:tcPr>
            <w:tcW w:w="19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First Lien Debt (12% Cash,</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gridSpan w:val="3"/>
          </w:tcPr>
          <w:p>
            <w:pPr>
              <w:ind w:left="100"/>
              <w:spacing w:after="0"/>
              <w:rPr>
                <w:sz w:val="20"/>
                <w:szCs w:val="20"/>
                <w:color w:val="auto"/>
              </w:rPr>
            </w:pPr>
            <w:r>
              <w:rPr>
                <w:rFonts w:ascii="Arial" w:cs="Arial" w:eastAsia="Arial" w:hAnsi="Arial"/>
                <w:sz w:val="14"/>
                <w:szCs w:val="14"/>
                <w:color w:val="auto"/>
              </w:rPr>
              <w:t>4% PIK, Due 5/24/18)</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12,373</w:t>
            </w:r>
          </w:p>
        </w:tc>
        <w:tc>
          <w:tcPr>
            <w:tcW w:w="24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12,373</w:t>
            </w:r>
          </w:p>
        </w:tc>
        <w:tc>
          <w:tcPr>
            <w:tcW w:w="1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12,373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80" w:type="dxa"/>
            <w:vAlign w:val="bottom"/>
          </w:tcPr>
          <w:p>
            <w:pPr>
              <w:spacing w:after="0" w:line="130" w:lineRule="exact"/>
              <w:rPr>
                <w:sz w:val="20"/>
                <w:szCs w:val="20"/>
                <w:color w:val="auto"/>
              </w:rPr>
            </w:pPr>
            <w:r>
              <w:rPr>
                <w:rFonts w:ascii="Arial" w:cs="Arial" w:eastAsia="Arial" w:hAnsi="Arial"/>
                <w:sz w:val="14"/>
                <w:szCs w:val="14"/>
                <w:color w:val="auto"/>
              </w:rPr>
              <w:t>Computer Supply Retail</w:t>
            </w:r>
          </w:p>
        </w:tc>
        <w:tc>
          <w:tcPr>
            <w:tcW w:w="19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Common Stock (21.3% fully</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60" w:type="dxa"/>
            <w:vAlign w:val="bottom"/>
            <w:gridSpan w:val="3"/>
          </w:tcPr>
          <w:p>
            <w:pPr>
              <w:ind w:left="100"/>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1,394</w:t>
            </w:r>
          </w:p>
        </w:tc>
        <w:tc>
          <w:tcPr>
            <w:tcW w:w="14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118</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 xml:space="preserve">Portfolio Company, Country </w:t>
            </w:r>
            <w:r>
              <w:rPr>
                <w:rFonts w:ascii="Arial" w:cs="Arial" w:eastAsia="Arial" w:hAnsi="Arial"/>
                <w:sz w:val="23"/>
                <w:szCs w:val="23"/>
                <w:b w:val="1"/>
                <w:bCs w:val="1"/>
                <w:color w:val="auto"/>
                <w:w w:val="89"/>
                <w:vertAlign w:val="superscript"/>
              </w:rPr>
              <w:t>(1)</w:t>
            </w:r>
            <w:r>
              <w:rPr>
                <w:rFonts w:ascii="Arial" w:cs="Arial" w:eastAsia="Arial" w:hAnsi="Arial"/>
                <w:sz w:val="23"/>
                <w:szCs w:val="23"/>
                <w:b w:val="1"/>
                <w:bCs w:val="1"/>
                <w:u w:val="single" w:color="auto"/>
                <w:color w:val="auto"/>
                <w:w w:val="89"/>
                <w:vertAlign w:val="superscript"/>
              </w:rPr>
              <w:t>,</w:t>
            </w:r>
            <w:r>
              <w:rPr>
                <w:rFonts w:ascii="Arial" w:cs="Arial" w:eastAsia="Arial" w:hAnsi="Arial"/>
                <w:sz w:val="14"/>
                <w:szCs w:val="14"/>
                <w:b w:val="1"/>
                <w:bCs w:val="1"/>
                <w:color w:val="auto"/>
                <w:w w:val="89"/>
              </w:rPr>
              <w:t xml:space="preserve"> </w:t>
            </w:r>
            <w:r>
              <w:rPr>
                <w:rFonts w:ascii="Arial" w:cs="Arial" w:eastAsia="Arial" w:hAnsi="Arial"/>
                <w:sz w:val="23"/>
                <w:szCs w:val="23"/>
                <w:b w:val="1"/>
                <w:bCs w:val="1"/>
                <w:color w:val="auto"/>
                <w:w w:val="89"/>
                <w:vertAlign w:val="superscript"/>
              </w:rPr>
              <w:t>(2), (3), (4)</w:t>
            </w:r>
          </w:p>
        </w:tc>
        <w:tc>
          <w:tcPr>
            <w:tcW w:w="18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Industry</w:t>
            </w:r>
          </w:p>
        </w:tc>
        <w:tc>
          <w:tcPr>
            <w:tcW w:w="18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Type of Investment</w:t>
            </w: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Principal</w:t>
            </w: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Cost</w:t>
            </w:r>
          </w:p>
        </w:tc>
        <w:tc>
          <w:tcPr>
            <w:tcW w:w="13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Computer Supply Retail</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Warrants</w:t>
            </w: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 fully diluted )</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13,767</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12,551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Eastport Holdings, LLC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Subordinated Debt (14.49%</w:t>
            </w: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(3 month LIBOR +</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 0.5% Floor), Due</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4/29/20)</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14,738</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Eastport Holdings, LLC</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Business Services</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Membership Units (33.3%</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line="211" w:lineRule="exact"/>
              <w:rPr>
                <w:sz w:val="20"/>
                <w:szCs w:val="20"/>
                <w:color w:val="auto"/>
              </w:rPr>
            </w:pPr>
            <w:r>
              <w:rPr>
                <w:rFonts w:ascii="Arial" w:cs="Arial" w:eastAsia="Arial" w:hAnsi="Arial"/>
                <w:sz w:val="14"/>
                <w:szCs w:val="14"/>
                <w:color w:val="auto"/>
              </w:rPr>
              <w:t xml:space="preserve">ownership) </w:t>
            </w:r>
            <w:r>
              <w:rPr>
                <w:rFonts w:ascii="Arial" w:cs="Arial" w:eastAsia="Arial" w:hAnsi="Arial"/>
                <w:sz w:val="23"/>
                <w:szCs w:val="23"/>
                <w:color w:val="auto"/>
                <w:vertAlign w:val="superscript"/>
              </w:rPr>
              <w:t>(16)</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4,733</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26,449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19,471</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42,949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Kelle's Transport Service, LLC</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Transportation</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First Lien Debt (4% Cash,</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Due 2/15/20) </w:t>
            </w:r>
            <w:r>
              <w:rPr>
                <w:rFonts w:ascii="Arial" w:cs="Arial" w:eastAsia="Arial" w:hAnsi="Arial"/>
                <w:sz w:val="22"/>
                <w:szCs w:val="22"/>
                <w:color w:val="auto"/>
                <w:vertAlign w:val="superscript"/>
              </w:rPr>
              <w:t>(17)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Kelle's Transport Service, LLC</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Transportation</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First Lien Debt (1.46% Cash,</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Due 2/15/20) </w:t>
            </w:r>
            <w:r>
              <w:rPr>
                <w:rFonts w:ascii="Arial" w:cs="Arial" w:eastAsia="Arial" w:hAnsi="Arial"/>
                <w:sz w:val="22"/>
                <w:szCs w:val="22"/>
                <w:color w:val="auto"/>
                <w:vertAlign w:val="superscript"/>
              </w:rPr>
              <w:t>(8)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13,674</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13,669</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9,560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Kelle's Transport Service, LLC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Transportation</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Membership Units (27.5%</w:t>
            </w: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fully diluted)</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15,669</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11,560</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Micro Precision, LLC</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Conglomerate</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Subordinated Debt (10%</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Cash, Due 9/15/18) </w:t>
            </w:r>
            <w:r>
              <w:rPr>
                <w:rFonts w:ascii="Arial" w:cs="Arial" w:eastAsia="Arial" w:hAnsi="Arial"/>
                <w:sz w:val="22"/>
                <w:szCs w:val="22"/>
                <w:color w:val="auto"/>
                <w:vertAlign w:val="superscript"/>
              </w:rPr>
              <w:t>(8)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Conglomerate</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Subordinated Debt (14%</w:t>
            </w: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Cash, 4% PIK, Due 9/15/18)</w:t>
            </w: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4,154</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4,154</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4,154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Conglomerate</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Series A Preferred Units (47</w:t>
            </w: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units)</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1,629</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7,645</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7,645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Textile Equipment</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(15% Cash,</w:t>
            </w: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1820" w:type="dxa"/>
            <w:vAlign w:val="bottom"/>
            <w:gridSpan w:val="2"/>
            <w:shd w:val="clear" w:color="auto" w:fill="CCEEFF"/>
          </w:tcPr>
          <w:p>
            <w:pPr>
              <w:spacing w:after="0" w:line="208" w:lineRule="exact"/>
              <w:rPr>
                <w:sz w:val="20"/>
                <w:szCs w:val="20"/>
                <w:color w:val="auto"/>
              </w:rPr>
            </w:pPr>
            <w:r>
              <w:rPr>
                <w:rFonts w:ascii="Arial" w:cs="Arial" w:eastAsia="Arial" w:hAnsi="Arial"/>
                <w:sz w:val="14"/>
                <w:szCs w:val="14"/>
                <w:color w:val="auto"/>
              </w:rPr>
              <w:t xml:space="preserve">Due 10/30/20) </w:t>
            </w:r>
            <w:r>
              <w:rPr>
                <w:rFonts w:ascii="Arial" w:cs="Arial" w:eastAsia="Arial" w:hAnsi="Arial"/>
                <w:sz w:val="23"/>
                <w:szCs w:val="23"/>
                <w:color w:val="auto"/>
                <w:vertAlign w:val="superscript"/>
              </w:rPr>
              <w:t>(8)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Textile Equipment</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Class A Preferred Stock</w:t>
            </w: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Manufacturer</w:t>
            </w:r>
          </w:p>
        </w:tc>
        <w:tc>
          <w:tcPr>
            <w:tcW w:w="1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(1,000 shares, 10% Cash</w:t>
            </w: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2"/>
                <w:szCs w:val="22"/>
                <w:color w:val="auto"/>
                <w:vertAlign w:val="superscript"/>
              </w:rPr>
              <w:t>(5)</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Textile Equipment</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(300,000</w:t>
            </w: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7,501</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On-Site Fuel Services, Inc.</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Fuel Transportation Services</w:t>
            </w:r>
          </w:p>
        </w:tc>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Subordinated Debt (18%</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Cash, Due 12/19/18) </w:t>
            </w:r>
            <w:r>
              <w:rPr>
                <w:rFonts w:ascii="Arial" w:cs="Arial" w:eastAsia="Arial" w:hAnsi="Arial"/>
                <w:sz w:val="22"/>
                <w:szCs w:val="22"/>
                <w:color w:val="auto"/>
                <w:vertAlign w:val="superscript"/>
              </w:rPr>
              <w:t>(7) (8)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14,072</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11,020</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11,588</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Fuel Transportation Services</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Series A Preferred Stock</w:t>
            </w: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(32,782 shares)</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3,278</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Fuel Transportation Services</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Series B Preferred Stock</w:t>
            </w: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(23,648 shares)</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2,365</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Fuel Transportation Services</w:t>
            </w: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(33,058</w:t>
            </w: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16,696</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11,588</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 xml:space="preserve">Portfolio Company, Country </w:t>
            </w:r>
            <w:r>
              <w:rPr>
                <w:rFonts w:ascii="Arial" w:cs="Arial" w:eastAsia="Arial" w:hAnsi="Arial"/>
                <w:sz w:val="23"/>
                <w:szCs w:val="23"/>
                <w:b w:val="1"/>
                <w:bCs w:val="1"/>
                <w:color w:val="auto"/>
                <w:w w:val="89"/>
                <w:vertAlign w:val="superscript"/>
              </w:rPr>
              <w:t>(1)</w:t>
            </w:r>
            <w:r>
              <w:rPr>
                <w:rFonts w:ascii="Arial" w:cs="Arial" w:eastAsia="Arial" w:hAnsi="Arial"/>
                <w:sz w:val="23"/>
                <w:szCs w:val="23"/>
                <w:b w:val="1"/>
                <w:bCs w:val="1"/>
                <w:u w:val="single" w:color="auto"/>
                <w:color w:val="auto"/>
                <w:w w:val="89"/>
                <w:vertAlign w:val="superscript"/>
              </w:rPr>
              <w:t>,</w:t>
            </w:r>
            <w:r>
              <w:rPr>
                <w:rFonts w:ascii="Arial" w:cs="Arial" w:eastAsia="Arial" w:hAnsi="Arial"/>
                <w:sz w:val="14"/>
                <w:szCs w:val="14"/>
                <w:b w:val="1"/>
                <w:bCs w:val="1"/>
                <w:color w:val="auto"/>
                <w:w w:val="89"/>
              </w:rPr>
              <w:t xml:space="preserve"> </w:t>
            </w:r>
            <w:r>
              <w:rPr>
                <w:rFonts w:ascii="Arial" w:cs="Arial" w:eastAsia="Arial" w:hAnsi="Arial"/>
                <w:sz w:val="23"/>
                <w:szCs w:val="23"/>
                <w:b w:val="1"/>
                <w:bCs w:val="1"/>
                <w:color w:val="auto"/>
                <w:w w:val="89"/>
                <w:vertAlign w:val="superscript"/>
              </w:rPr>
              <w:t>(2), (3), (4)</w:t>
            </w:r>
          </w:p>
        </w:tc>
        <w:tc>
          <w:tcPr>
            <w:tcW w:w="16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18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Type of Investment</w:t>
            </w:r>
          </w:p>
        </w:tc>
        <w:tc>
          <w:tcPr>
            <w:tcW w:w="15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Principal</w:t>
            </w: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5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(8.56% Cash</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9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 month LIBOR + 7%, 1%</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w w:val="99"/>
              </w:rPr>
              <w:t>Professional and Personal</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2% ceiling), Due</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Portrait Studio, LLC</w:t>
            </w: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Digital Imaging</w:t>
            </w:r>
          </w:p>
        </w:tc>
        <w:tc>
          <w:tcPr>
            <w:tcW w:w="18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12/31/22) </w:t>
            </w:r>
            <w:r>
              <w:rPr>
                <w:rFonts w:ascii="Arial" w:cs="Arial" w:eastAsia="Arial" w:hAnsi="Arial"/>
                <w:sz w:val="20"/>
                <w:szCs w:val="20"/>
                <w:color w:val="auto"/>
                <w:vertAlign w:val="superscript"/>
              </w:rPr>
              <w:t>(18)</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1,860</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1,860</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(8.56% Cash</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9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 month LIBOR + 7%, 1%</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Professional and Personal</w:t>
            </w:r>
          </w:p>
        </w:tc>
        <w:tc>
          <w:tcPr>
            <w:tcW w:w="19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floor, 5% ceiling), Due</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Portrait Studio, LLC</w:t>
            </w: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Digital Imaging</w:t>
            </w:r>
          </w:p>
        </w:tc>
        <w:tc>
          <w:tcPr>
            <w:tcW w:w="1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12/31/22)</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4,500</w:t>
            </w: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4,500</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Professional and Personal</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Preferred Units (4,350,000</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Portrait Studio, LLC</w:t>
            </w: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Digital Imaging</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2,450</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Professional and Personal</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(150,000</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Portrait Studio, LLC</w:t>
            </w: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Digital Imaging</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8,810</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Control investments - United</w:t>
            </w:r>
          </w:p>
        </w:tc>
        <w:tc>
          <w:tcPr>
            <w:tcW w:w="1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States</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89,559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107,608</w:t>
            </w:r>
          </w:p>
        </w:tc>
        <w:tc>
          <w:tcPr>
            <w:tcW w:w="130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2"/>
                <w:szCs w:val="12"/>
                <w:color w:val="auto"/>
              </w:rPr>
              <w:t>48.5</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INVESTMENTS - 225.3%</w:t>
            </w: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465,027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499,939</w:t>
            </w:r>
          </w:p>
        </w:tc>
        <w:tc>
          <w:tcPr>
            <w:tcW w:w="13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2"/>
                <w:szCs w:val="12"/>
                <w:b w:val="1"/>
                <w:bCs w:val="1"/>
                <w:color w:val="auto"/>
              </w:rPr>
              <w:t>225.3</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Derivatives - (3.1)%</w:t>
            </w:r>
          </w:p>
        </w:tc>
        <w:tc>
          <w:tcPr>
            <w:tcW w:w="1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Derivatives - United States</w:t>
            </w:r>
          </w:p>
        </w:tc>
        <w:tc>
          <w:tcPr>
            <w:tcW w:w="1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40" w:type="dxa"/>
            <w:vAlign w:val="bottom"/>
            <w:gridSpan w:val="3"/>
          </w:tcPr>
          <w:p>
            <w:pPr>
              <w:spacing w:after="0"/>
              <w:rPr>
                <w:sz w:val="20"/>
                <w:szCs w:val="20"/>
                <w:color w:val="auto"/>
              </w:rPr>
            </w:pPr>
            <w:r>
              <w:rPr>
                <w:rFonts w:ascii="Arial" w:cs="Arial" w:eastAsia="Arial" w:hAnsi="Arial"/>
                <w:sz w:val="14"/>
                <w:szCs w:val="14"/>
                <w:color w:val="auto"/>
              </w:rPr>
              <w:t>Eastport Holdings, LLC</w:t>
            </w:r>
          </w:p>
        </w:tc>
        <w:tc>
          <w:tcPr>
            <w:tcW w:w="1640" w:type="dxa"/>
            <w:vAlign w:val="bottom"/>
          </w:tcPr>
          <w:p>
            <w:pPr>
              <w:spacing w:after="0"/>
              <w:rPr>
                <w:sz w:val="20"/>
                <w:szCs w:val="20"/>
                <w:color w:val="auto"/>
              </w:rPr>
            </w:pPr>
            <w:r>
              <w:rPr>
                <w:rFonts w:ascii="Arial" w:cs="Arial" w:eastAsia="Arial" w:hAnsi="Arial"/>
                <w:sz w:val="14"/>
                <w:szCs w:val="14"/>
                <w:color w:val="auto"/>
              </w:rPr>
              <w:t>Business Services</w:t>
            </w:r>
          </w:p>
        </w:tc>
        <w:tc>
          <w:tcPr>
            <w:tcW w:w="1960" w:type="dxa"/>
            <w:vAlign w:val="bottom"/>
            <w:gridSpan w:val="3"/>
          </w:tcPr>
          <w:p>
            <w:pPr>
              <w:ind w:left="120"/>
              <w:spacing w:after="0" w:line="202" w:lineRule="exact"/>
              <w:rPr>
                <w:sz w:val="20"/>
                <w:szCs w:val="20"/>
                <w:color w:val="auto"/>
              </w:rPr>
            </w:pPr>
            <w:r>
              <w:rPr>
                <w:rFonts w:ascii="Arial" w:cs="Arial" w:eastAsia="Arial" w:hAnsi="Arial"/>
                <w:sz w:val="14"/>
                <w:szCs w:val="14"/>
                <w:color w:val="auto"/>
              </w:rPr>
              <w:t xml:space="preserve">Written Call Option </w:t>
            </w:r>
            <w:r>
              <w:rPr>
                <w:rFonts w:ascii="Arial" w:cs="Arial" w:eastAsia="Arial" w:hAnsi="Arial"/>
                <w:sz w:val="23"/>
                <w:szCs w:val="23"/>
                <w:color w:val="auto"/>
                <w:vertAlign w:val="superscript"/>
              </w:rPr>
              <w:t>(16)</w:t>
            </w:r>
          </w:p>
        </w:tc>
        <w:tc>
          <w:tcPr>
            <w:tcW w:w="15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(6,815)</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Sub Total Derivatives - United States</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(6,815)</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TOTAL DERIVATIVES- (3.1)%</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80"/>
              <w:spacing w:after="0" w:line="176" w:lineRule="exact"/>
              <w:rPr>
                <w:sz w:val="20"/>
                <w:szCs w:val="20"/>
                <w:color w:val="auto"/>
              </w:rPr>
            </w:pPr>
            <w:r>
              <w:rPr>
                <w:rFonts w:ascii="Arial" w:cs="Arial" w:eastAsia="Arial" w:hAnsi="Arial"/>
                <w:sz w:val="12"/>
                <w:szCs w:val="12"/>
                <w:b w:val="1"/>
                <w:bCs w:val="1"/>
                <w:color w:val="auto"/>
              </w:rPr>
              <w:t>(20</w:t>
            </w:r>
            <w:r>
              <w:rPr>
                <w:rFonts w:ascii="Arial" w:cs="Arial" w:eastAsia="Arial" w:hAnsi="Arial"/>
                <w:sz w:val="20"/>
                <w:szCs w:val="20"/>
                <w:b w:val="1"/>
                <w:bCs w:val="1"/>
                <w:color w:val="auto"/>
                <w:vertAlign w:val="superscript"/>
              </w:rPr>
              <w:t>)</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160"/>
              <w:spacing w:after="0" w:line="176" w:lineRule="exact"/>
              <w:rPr>
                <w:sz w:val="20"/>
                <w:szCs w:val="20"/>
                <w:color w:val="auto"/>
              </w:rPr>
            </w:pPr>
            <w:r>
              <w:rPr>
                <w:rFonts w:ascii="Arial" w:cs="Arial" w:eastAsia="Arial" w:hAnsi="Arial"/>
                <w:sz w:val="12"/>
                <w:szCs w:val="12"/>
                <w:b w:val="1"/>
                <w:bCs w:val="1"/>
                <w:color w:val="auto"/>
              </w:rPr>
              <w:t>(6,815</w:t>
            </w:r>
            <w:r>
              <w:rPr>
                <w:rFonts w:ascii="Arial" w:cs="Arial" w:eastAsia="Arial" w:hAnsi="Arial"/>
                <w:sz w:val="20"/>
                <w:szCs w:val="20"/>
                <w:b w:val="1"/>
                <w:bCs w:val="1"/>
                <w:color w:val="auto"/>
                <w:vertAlign w:val="superscript"/>
              </w:rPr>
              <w:t>)</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2"/>
                <w:szCs w:val="12"/>
                <w:b w:val="1"/>
                <w:bCs w:val="1"/>
                <w:color w:val="auto"/>
              </w:rPr>
              <w:t>(3.1</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investments valued by the Board of Directors.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Percentages are based on net assets of $221,887 as of December 31, 2017.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equity investment has an excercisable put option.</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a $2.0 million unfunded commitment.</w:t>
      </w:r>
    </w:p>
    <w:p>
      <w:pPr>
        <w:spacing w:after="0" w:line="9" w:lineRule="exact"/>
        <w:rPr>
          <w:rFonts w:ascii="Arial" w:cs="Arial" w:eastAsia="Arial" w:hAnsi="Arial"/>
          <w:sz w:val="18"/>
          <w:szCs w:val="18"/>
          <w:color w:val="auto"/>
        </w:rPr>
      </w:pPr>
    </w:p>
    <w:p>
      <w:pPr>
        <w:ind w:right="100" w:firstLine="8"/>
        <w:spacing w:after="0" w:line="250" w:lineRule="auto"/>
        <w:tabs>
          <w:tab w:leader="none" w:pos="338"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2017, 5.0% of the Company's total assets were non-qualifying assets.</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headquartered in Brazil.</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addition to the stated rate, the Company is charging 3% default interest on the investment.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to be settled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a $0.7 million unfunded commitment.</w:t>
      </w:r>
    </w:p>
    <w:p>
      <w:pPr>
        <w:spacing w:after="0" w:line="9" w:lineRule="exact"/>
        <w:rPr>
          <w:rFonts w:ascii="Arial" w:cs="Arial" w:eastAsia="Arial" w:hAnsi="Arial"/>
          <w:sz w:val="18"/>
          <w:szCs w:val="18"/>
          <w:color w:val="auto"/>
        </w:rPr>
      </w:pPr>
    </w:p>
    <w:p>
      <w:pPr>
        <w:ind w:right="300" w:firstLine="8"/>
        <w:spacing w:after="0" w:line="250" w:lineRule="auto"/>
        <w:tabs>
          <w:tab w:leader="none" w:pos="34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has written a call option that enables CapitalSouth Partners Florida Sidecar Fund II, L.P. to purchase up to 31.25% of the Company's interest at a strike price of $1.5 million. As of December 31, 2017, the fair value of the written call option is approximately $6.8 million. See Note 4 to the consolidated financial statements for further detail on the written call option transaction.</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a $3.1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and earnout to be settled post-closing.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231F20"/>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is an ‘‘emerging growth company’’ within the meaning of the Jumpstart Our Business Startups Act of 2012 (the ‘‘JOBS Act’’), and as such, is subject to reduced public company reporting requirements.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(the ‘‘Advisors Act’’), and Capitala Advisors Corp.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231F20"/>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subordinated loans, and, to a lesser extent, equity securities issued by lower middle-market companies and traditional middle-market companies.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31F20"/>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231F20"/>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w:t>
      </w:r>
    </w:p>
    <w:p>
      <w:pPr>
        <w:jc w:val="both"/>
        <w:ind w:firstLine="8"/>
        <w:spacing w:after="0" w:line="254" w:lineRule="auto"/>
        <w:tabs>
          <w:tab w:leader="none" w:pos="237"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retained their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During the fourth quarter of 2017, Florida Sidecar transferred all of its assets to Capitala Finance Corp. and was legally dissolved as a standalone partnership.</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The Company has formed and expects to continue to form certain consolidated taxable subsidiaries (the ‘‘Taxable Subsidiaries’’), which are taxed as corporations for income tax purposes. These Taxable Subsidiaries allow the Company to make equity investments in companies organized as pass-through entities while continuing to satisfy the requirements of a RIC under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 xml:space="preserve">The Company is considered an investment company as defined in Accounting Standards Codification (‘‘ASC’’) Topic 946 — </w:t>
      </w:r>
      <w:r>
        <w:rPr>
          <w:rFonts w:ascii="Arial" w:cs="Arial" w:eastAsia="Arial" w:hAnsi="Arial"/>
          <w:sz w:val="17"/>
          <w:szCs w:val="17"/>
          <w:i w:val="1"/>
          <w:iCs w:val="1"/>
          <w:color w:val="231F20"/>
        </w:rPr>
        <w:t>Financial Services —</w:t>
      </w:r>
      <w:r>
        <w:rPr>
          <w:rFonts w:ascii="Arial" w:cs="Arial" w:eastAsia="Arial" w:hAnsi="Arial"/>
          <w:sz w:val="17"/>
          <w:szCs w:val="17"/>
          <w:color w:val="231F20"/>
        </w:rPr>
        <w:t xml:space="preserve"> </w:t>
      </w:r>
      <w:r>
        <w:rPr>
          <w:rFonts w:ascii="Arial" w:cs="Arial" w:eastAsia="Arial" w:hAnsi="Arial"/>
          <w:sz w:val="17"/>
          <w:szCs w:val="17"/>
          <w:i w:val="1"/>
          <w:iCs w:val="1"/>
          <w:color w:val="231F20"/>
        </w:rPr>
        <w:t xml:space="preserve">Investment Companies </w:t>
      </w:r>
      <w:r>
        <w:rPr>
          <w:rFonts w:ascii="Arial" w:cs="Arial" w:eastAsia="Arial" w:hAnsi="Arial"/>
          <w:sz w:val="17"/>
          <w:szCs w:val="17"/>
          <w:color w:val="231F20"/>
        </w:rPr>
        <w:t>(‘‘ASC 946’’)</w:t>
      </w:r>
      <w:r>
        <w:rPr>
          <w:rFonts w:ascii="Arial" w:cs="Arial" w:eastAsia="Arial" w:hAnsi="Arial"/>
          <w:sz w:val="17"/>
          <w:szCs w:val="17"/>
          <w:i w:val="1"/>
          <w:iCs w:val="1"/>
          <w:color w:val="231F20"/>
        </w:rPr>
        <w:t xml:space="preserve">. </w:t>
      </w:r>
      <w:r>
        <w:rPr>
          <w:rFonts w:ascii="Arial" w:cs="Arial" w:eastAsia="Arial" w:hAnsi="Arial"/>
          <w:sz w:val="17"/>
          <w:szCs w:val="17"/>
          <w:color w:val="231F20"/>
        </w:rPr>
        <w:t>The accompanying unaudited consolidated financial statements have been prepared on the accrual basis of accounting</w:t>
      </w:r>
      <w:r>
        <w:rPr>
          <w:rFonts w:ascii="Arial" w:cs="Arial" w:eastAsia="Arial" w:hAnsi="Arial"/>
          <w:sz w:val="17"/>
          <w:szCs w:val="17"/>
          <w:i w:val="1"/>
          <w:iCs w:val="1"/>
          <w:color w:val="231F20"/>
        </w:rPr>
        <w:t xml:space="preserve"> </w:t>
      </w:r>
      <w:r>
        <w:rPr>
          <w:rFonts w:ascii="Arial" w:cs="Arial" w:eastAsia="Arial" w:hAnsi="Arial"/>
          <w:sz w:val="17"/>
          <w:szCs w:val="17"/>
          <w:color w:val="231F20"/>
        </w:rPr>
        <w:t>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Florida Sidecar, and the Taxable Subsidiaries.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ind w:firstLine="648"/>
        <w:spacing w:after="0" w:line="257" w:lineRule="auto"/>
        <w:rPr>
          <w:sz w:val="20"/>
          <w:szCs w:val="20"/>
          <w:color w:val="auto"/>
        </w:rPr>
      </w:pPr>
      <w:r>
        <w:rPr>
          <w:rFonts w:ascii="Arial" w:cs="Arial" w:eastAsia="Arial" w:hAnsi="Arial"/>
          <w:sz w:val="18"/>
          <w:szCs w:val="18"/>
          <w:color w:val="231F20"/>
        </w:rPr>
        <w:t>The Company’s financial statements as of March 31, 2018 and December 31, 2017 are presented on a consolidated basis. The effects of all intercompany transactions between the Company and its subsidiaries (Fund II, Fund III, Florida Sidecar,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2017, filed with the U.S. Securities and Exchange Commission (“SEC”) on February 27,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Use of Estimates in the Preparation of Financial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Consolidation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As provided under Regulation S-X and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Florida Sidecar, and the Taxable Subsidiaries) in its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Segments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231F20"/>
        </w:rPr>
        <w:t xml:space="preserve">In accordance with ASC Topic 280 — </w:t>
      </w:r>
      <w:r>
        <w:rPr>
          <w:rFonts w:ascii="Arial" w:cs="Arial" w:eastAsia="Arial" w:hAnsi="Arial"/>
          <w:sz w:val="18"/>
          <w:szCs w:val="18"/>
          <w:i w:val="1"/>
          <w:iCs w:val="1"/>
          <w:color w:val="231F20"/>
        </w:rPr>
        <w:t>Segment Reporting</w:t>
      </w:r>
      <w:r>
        <w:rPr>
          <w:rFonts w:ascii="Arial" w:cs="Arial" w:eastAsia="Arial" w:hAnsi="Arial"/>
          <w:sz w:val="18"/>
          <w:szCs w:val="18"/>
          <w:color w:val="231F20"/>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Cash and Cash Equivalents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Investment Classification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31F20"/>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Valuation of Investments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 xml:space="preserve">The Company applies fair value accounting to all of its financial instruments in accordance with the 1940 Act and ASC Topic 820 — </w:t>
      </w:r>
      <w:r>
        <w:rPr>
          <w:rFonts w:ascii="Arial" w:cs="Arial" w:eastAsia="Arial" w:hAnsi="Arial"/>
          <w:sz w:val="18"/>
          <w:szCs w:val="18"/>
          <w:i w:val="1"/>
          <w:iCs w:val="1"/>
          <w:color w:val="231F20"/>
        </w:rPr>
        <w:t>Fair Value</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Measurements and Disclosures </w:t>
      </w:r>
      <w:r>
        <w:rPr>
          <w:rFonts w:ascii="Arial" w:cs="Arial" w:eastAsia="Arial" w:hAnsi="Arial"/>
          <w:sz w:val="18"/>
          <w:szCs w:val="18"/>
          <w:color w:val="231F20"/>
        </w:rPr>
        <w:t>(‘‘ASC 820’’). ASC 820 defines fair value, establishes a framework used to measure fair value and requires disclosures for</w:t>
      </w:r>
      <w:r>
        <w:rPr>
          <w:rFonts w:ascii="Arial" w:cs="Arial" w:eastAsia="Arial" w:hAnsi="Arial"/>
          <w:sz w:val="18"/>
          <w:szCs w:val="18"/>
          <w:i w:val="1"/>
          <w:iCs w:val="1"/>
          <w:color w:val="231F20"/>
        </w:rPr>
        <w:t xml:space="preserve"> </w:t>
      </w:r>
      <w:r>
        <w:rPr>
          <w:rFonts w:ascii="Arial" w:cs="Arial" w:eastAsia="Arial" w:hAnsi="Arial"/>
          <w:sz w:val="18"/>
          <w:szCs w:val="18"/>
          <w:color w:val="231F20"/>
        </w:rPr>
        <w:t>fair value measurements. In accordance with ASC 820, the Company has categorized its financial instruments carried at fair value, based on the priority of the valuation technique, into a three-level fair value hierarchy, as discussed in Note 4.</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In determining fair value, the Company’s board of directors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4" w:name="page25"/>
    <w:bookmarkEnd w:id="24"/>
    <w:p>
      <w:pPr>
        <w:jc w:val="both"/>
        <w:ind w:firstLine="648"/>
        <w:spacing w:after="0" w:line="264" w:lineRule="auto"/>
        <w:rPr>
          <w:sz w:val="20"/>
          <w:szCs w:val="20"/>
          <w:color w:val="auto"/>
        </w:rPr>
      </w:pPr>
      <w:r>
        <w:rPr>
          <w:rFonts w:ascii="Arial" w:cs="Arial" w:eastAsia="Arial" w:hAnsi="Arial"/>
          <w:sz w:val="18"/>
          <w:szCs w:val="18"/>
          <w:color w:val="231F20"/>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231F20"/>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31F20"/>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The valuation methodologies summarized below are utilized by the Company in estimating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Enterprise Value Waterfall Approach</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231F20"/>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231F20"/>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Asset Approach</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231F20"/>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231F20"/>
        </w:rPr>
        <w:t>Revenue Recognition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The Company’s revenue recognition policies are as follows: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231F20"/>
        </w:rPr>
        <w:t xml:space="preserve">Interest income and paid-in-kind interest income: </w:t>
      </w:r>
      <w:r>
        <w:rPr>
          <w:rFonts w:ascii="Arial" w:cs="Arial" w:eastAsia="Arial" w:hAnsi="Arial"/>
          <w:sz w:val="16"/>
          <w:szCs w:val="16"/>
          <w:color w:val="231F20"/>
        </w:rPr>
        <w:t>Interest income is recorded on the accrual basis to the extent that such amounts are expected to be</w:t>
      </w:r>
      <w:r>
        <w:rPr>
          <w:rFonts w:ascii="Arial" w:cs="Arial" w:eastAsia="Arial" w:hAnsi="Arial"/>
          <w:sz w:val="16"/>
          <w:szCs w:val="16"/>
          <w:i w:val="1"/>
          <w:iCs w:val="1"/>
          <w:color w:val="231F20"/>
        </w:rPr>
        <w:t xml:space="preserve"> </w:t>
      </w:r>
      <w:r>
        <w:rPr>
          <w:rFonts w:ascii="Arial" w:cs="Arial" w:eastAsia="Arial" w:hAnsi="Arial"/>
          <w:sz w:val="16"/>
          <w:szCs w:val="16"/>
          <w:color w:val="231F20"/>
        </w:rPr>
        <w:t>collected. The Company has loans in the portfolio that contain a payment-in-kind interest (‘‘PIK interest’’) provision. The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231F20"/>
        </w:rPr>
        <w:t xml:space="preserve">Non-accrual investments: </w:t>
      </w:r>
      <w:r>
        <w:rPr>
          <w:rFonts w:ascii="Arial" w:cs="Arial" w:eastAsia="Arial" w:hAnsi="Arial"/>
          <w:sz w:val="16"/>
          <w:szCs w:val="16"/>
          <w:color w:val="231F20"/>
        </w:rPr>
        <w:t>Management reviews all loans that become 90 days or more past due, or when there is reasonable doubt that principal or</w:t>
      </w:r>
      <w:r>
        <w:rPr>
          <w:rFonts w:ascii="Arial" w:cs="Arial" w:eastAsia="Arial" w:hAnsi="Arial"/>
          <w:sz w:val="16"/>
          <w:szCs w:val="16"/>
          <w:i w:val="1"/>
          <w:iCs w:val="1"/>
          <w:color w:val="231F20"/>
        </w:rPr>
        <w:t xml:space="preserve"> </w:t>
      </w:r>
      <w:r>
        <w:rPr>
          <w:rFonts w:ascii="Arial" w:cs="Arial" w:eastAsia="Arial" w:hAnsi="Arial"/>
          <w:sz w:val="16"/>
          <w:szCs w:val="16"/>
          <w:color w:val="231F20"/>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231F20"/>
        </w:rPr>
        <w:t xml:space="preserve">Gains and losses on investment sales and paydowns: </w:t>
      </w:r>
      <w:r>
        <w:rPr>
          <w:rFonts w:ascii="Arial" w:cs="Arial" w:eastAsia="Arial" w:hAnsi="Arial"/>
          <w:sz w:val="16"/>
          <w:szCs w:val="16"/>
          <w:color w:val="231F20"/>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231F20"/>
        </w:rPr>
        <w:t xml:space="preserve">Dividend income and paid-in-kind dividends: </w:t>
      </w:r>
      <w:r>
        <w:rPr>
          <w:rFonts w:ascii="Arial" w:cs="Arial" w:eastAsia="Arial" w:hAnsi="Arial"/>
          <w:sz w:val="17"/>
          <w:szCs w:val="17"/>
          <w:color w:val="231F20"/>
        </w:rPr>
        <w:t>Dividend income is recognized on the date dividends are declared. The Company holds preferred</w:t>
      </w:r>
      <w:r>
        <w:rPr>
          <w:rFonts w:ascii="Arial" w:cs="Arial" w:eastAsia="Arial" w:hAnsi="Arial"/>
          <w:sz w:val="17"/>
          <w:szCs w:val="17"/>
          <w:i w:val="1"/>
          <w:iCs w:val="1"/>
          <w:color w:val="231F20"/>
        </w:rPr>
        <w:t xml:space="preserve"> </w:t>
      </w:r>
      <w:r>
        <w:rPr>
          <w:rFonts w:ascii="Arial" w:cs="Arial" w:eastAsia="Arial" w:hAnsi="Arial"/>
          <w:sz w:val="17"/>
          <w:szCs w:val="17"/>
          <w:color w:val="231F20"/>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231F20"/>
        </w:rPr>
        <w:t xml:space="preserve">Original issue discount: </w:t>
      </w:r>
      <w:r>
        <w:rPr>
          <w:rFonts w:ascii="Arial" w:cs="Arial" w:eastAsia="Arial" w:hAnsi="Arial"/>
          <w:sz w:val="18"/>
          <w:szCs w:val="18"/>
          <w:color w:val="231F20"/>
        </w:rPr>
        <w:t>Discounts received to par on loans purchased are capitalized and accreted into income over the life of the loan. Any</w:t>
      </w:r>
      <w:r>
        <w:rPr>
          <w:rFonts w:ascii="Arial" w:cs="Arial" w:eastAsia="Arial" w:hAnsi="Arial"/>
          <w:sz w:val="18"/>
          <w:szCs w:val="18"/>
          <w:i w:val="1"/>
          <w:iCs w:val="1"/>
          <w:color w:val="231F20"/>
        </w:rPr>
        <w:t xml:space="preserve"> </w:t>
      </w:r>
      <w:r>
        <w:rPr>
          <w:rFonts w:ascii="Arial" w:cs="Arial" w:eastAsia="Arial" w:hAnsi="Arial"/>
          <w:sz w:val="18"/>
          <w:szCs w:val="18"/>
          <w:color w:val="231F20"/>
        </w:rPr>
        <w:t>remaining discount is accreted into income upon prepayment of the loan.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231F20"/>
        </w:rPr>
        <w:t xml:space="preserve">Other income: </w:t>
      </w:r>
      <w:r>
        <w:rPr>
          <w:rFonts w:ascii="Arial" w:cs="Arial" w:eastAsia="Arial" w:hAnsi="Arial"/>
          <w:sz w:val="18"/>
          <w:szCs w:val="18"/>
          <w:color w:val="231F20"/>
        </w:rPr>
        <w:t>Origination fees (to the extent services are performed to earn such income), amendment fees, consent fees, and other fees associated</w:t>
      </w:r>
      <w:r>
        <w:rPr>
          <w:rFonts w:ascii="Arial" w:cs="Arial" w:eastAsia="Arial" w:hAnsi="Arial"/>
          <w:sz w:val="18"/>
          <w:szCs w:val="18"/>
          <w:i w:val="1"/>
          <w:iCs w:val="1"/>
          <w:color w:val="231F20"/>
        </w:rPr>
        <w:t xml:space="preserve"> </w:t>
      </w:r>
      <w:r>
        <w:rPr>
          <w:rFonts w:ascii="Arial" w:cs="Arial" w:eastAsia="Arial" w:hAnsi="Arial"/>
          <w:sz w:val="18"/>
          <w:szCs w:val="18"/>
          <w:color w:val="231F20"/>
        </w:rPr>
        <w:t>with investments in portfolio companies are recognized as 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Loan Sales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231F20"/>
        </w:rPr>
        <w:t xml:space="preserve">The Company follows the guidance in ASC Topic 860 — </w:t>
      </w:r>
      <w:r>
        <w:rPr>
          <w:rFonts w:ascii="Arial" w:cs="Arial" w:eastAsia="Arial" w:hAnsi="Arial"/>
          <w:sz w:val="16"/>
          <w:szCs w:val="16"/>
          <w:i w:val="1"/>
          <w:iCs w:val="1"/>
          <w:color w:val="231F20"/>
        </w:rPr>
        <w:t>Transfers and Servicing</w:t>
      </w:r>
      <w:r>
        <w:rPr>
          <w:rFonts w:ascii="Arial" w:cs="Arial" w:eastAsia="Arial" w:hAnsi="Arial"/>
          <w:sz w:val="16"/>
          <w:szCs w:val="16"/>
          <w:color w:val="231F20"/>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and Administrative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General and administrative expenses are paid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Deferred Financing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Costs incurred to issue the Company’s debt obligations are capitalized and are amortized over the term of the debt agreements under the effective interest method.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231F20"/>
        </w:rPr>
        <w:t>Commitments and Contingencies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As of March 31, 2018, the Company had outstanding unfunded commitments related to debt investments in existing portfolio companies of $3.0 million (Portrait Studio, LLC), $2.0 million (CIS Secure Computing, Inc.), $1.1 million (MC Sign Lessor Corp), $0.8 million (Kelle’s Transport Service, LLC) and $0.7 million (U.S. Well Services, LLC). As of December 31, 2017, the Company had outstanding unfunded commitments related to debt investments in existing portfolio companies of $3.1 million (Portrait Studio, LLC), $2.0 million (CIS Secure Computing, Inc.), $1.0 million (Kelle’s Transport Service, LLC), and $0.7 million (U.S. Well Services, LLC).</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31F20"/>
        </w:rPr>
        <w:t>In addition to unfunded commitments related to debt investments, the Company also has extended a guaranty on behalf of one of our portfolio companies, whereby we have guaranteed $1.9 million of obligations of Kelle’s Transport Service, LLC. As of March 31, 2018 we have not been required to make payments on this or any previous guaranties, and we consider the credit risks to be remote and the fair value of this guaranty to be immaterial.</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231F20"/>
        </w:rPr>
        <w:t>On December 28, 2017, an alleged stockholder filed a putative class action lawsuit complaint, Paskowitz v. Capitala Finance Corp., et al., in the United States District Court for the Central District of California (case number 2:17-cv-09251-MWF-AS) (the “Paskowitz Action”), against the Company and certain of its current officers on behalf of all persons who purchased or otherwise acquired the Company’s common stock between January 4, 2016 and August 7, 2017. On January 3, 2018, another alleged stockholder filed a putative class action complaint, Sandifer v. Capitala Finance Corp., et al., in the United States District Court for the Central District of California (case number 2:18-cv-00052-MWF-AS) (the “Sandifer Action”), asserting substantially similar claims on behalf of the same putative class and against the same defendants. The complaints in the Paskowitz Action and the Sandifer Action allege certain violations of the securities laws, including, inter alia, that the defendants made certain materially false and misleading statements and omissions regarding the Company’s business, operations, and prospects. On February 2, 2018, the Sandifer Action was transferred, on stipulation of the parties, to the United States District Court for the Western District of North Carolina. The Sandifer Action was voluntarily dismissed on February 28, 2018. On March 1, 2018, the Paskowitz Action was transferred, on stipulation of the parties, to the United States District Court for the Western District of North Carolina (case number 3:18-cv-00096-RJC-DSC). While the Company intends to vigorously defend itself in this litigation, the outcome of these legal proceedings cannot be predicted with certainty.</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231F20"/>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the currently pending legal matters described above will be material to the Company’s results of operations or financial condition. However, in light of the inherent uncertainties involved in such matters, an adverse outcome in this litigation could materially and adversely affect the Company’s financial condition, results of operations or cash flows in any particular reporting period.</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31F20"/>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In management’s opinion, no direct losses with respect to litigation contingencies were probable as of March 31, 2018 and December 31, 2017.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Income Taxes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ind w:firstLine="648"/>
        <w:spacing w:after="0" w:line="257" w:lineRule="auto"/>
        <w:rPr>
          <w:sz w:val="20"/>
          <w:szCs w:val="20"/>
          <w:color w:val="auto"/>
        </w:rPr>
      </w:pPr>
      <w:r>
        <w:rPr>
          <w:rFonts w:ascii="Arial" w:cs="Arial" w:eastAsia="Arial" w:hAnsi="Arial"/>
          <w:sz w:val="18"/>
          <w:szCs w:val="18"/>
          <w:color w:val="231F20"/>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231F20"/>
        </w:rPr>
        <w:t>For U.S. federal income tax purposes, as of March 31, 2018, the aggregate net unrealized appreciation for all securities was $27.7 million. As of March 31, 2018, gross unrealized appreciation was $82.0 million and gross unrealized depreciation was $54.3 million. The aggregate cost of securities for U.S. federal income tax purposes was $476.0 million.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The Company’s Taxable Subsidiaries record deferred tax assets or liabilities related to temporary book versus tax differences on the income or loss generated by the underlying equity investments held by the Taxable Subsidiaries. As of March 31, 2018 and December 31, 2017, the Company recorded a net deferred tax liability of $1.3 million and $1.3 million, respectively. For the three months ended March 31, 2018, the Company recorded a tax provision of $50 thousand. For the three months ended March 31, 2017, no tax provision was recorded.</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31F20"/>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For income tax purposes, the Company has paid distributions on its common stock from ordinary income in the amount of $25.2 million, $24.5 million, and $25.1 million during the tax years ended August 31, 2017, 2016 and 2015, respectively.</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31F20"/>
        </w:rPr>
        <w:t xml:space="preserve">ASC Topic 740 — </w:t>
      </w:r>
      <w:r>
        <w:rPr>
          <w:rFonts w:ascii="Arial" w:cs="Arial" w:eastAsia="Arial" w:hAnsi="Arial"/>
          <w:sz w:val="18"/>
          <w:szCs w:val="18"/>
          <w:i w:val="1"/>
          <w:iCs w:val="1"/>
          <w:color w:val="231F20"/>
        </w:rPr>
        <w:t>Income Taxes</w:t>
      </w:r>
      <w:r>
        <w:rPr>
          <w:rFonts w:ascii="Arial" w:cs="Arial" w:eastAsia="Arial" w:hAnsi="Arial"/>
          <w:sz w:val="18"/>
          <w:szCs w:val="18"/>
          <w:color w:val="231F20"/>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2018 and December 31, 2017, there were no uncertain tax positions.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231F20"/>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231F20"/>
        </w:rPr>
        <w:t>The tax years ended August 31, 2017, 2016 and 2015 remain subject to examination by U.S. federal, state, and local tax authorities. No interest expense or penalties have been assessed for the three months ended March 31, 2018 and March 31, 2017. If the Company was required to recognize interest and penalties, if any, related to unrecognized tax benefits this would be recognized as income tax expense in the consolidated statements of operations.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The Company has elected to amend its tax year end from August 31 to December 31 and will file a tax return for the four months ended December 31, 2017. The election to change the tax year end is not expected to have a material impact on the Company’s consolidated statements of operations, the Company’s tax status as a RIC, or the nature of distributions paid to our stockholders.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On December 22, 2017, the United States enacted tax reform legislation through the Tax Cuts and Jobs Act, which significantly changes the existing U.S. tax laws, including a reduction in the corporate tax rate from 35% to 21%, a move from a worldwide tax system to a territorial system, as well as other changes. The Taxable Subsidiaries’ provisional tax is based on the new lower blended federal and state corporate tax rate of 25%. This estimate incorporates assumptions made based on the Taxable Subsidiaries’ current interpretation of the Tax Act and may change, possibly materially, as we complete our analysis and receive additional clarification and implementation guidance.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Distributions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231F20"/>
        </w:rPr>
        <w:t>Distributions to common stockholders are recorded as payable on the declaration date. The amount to be paid out as a dividend is determined by the Board. Net capital gains, if any, are generally distributed at least annually, although we may decide to retain such capital gains for reinvestment.</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31F20"/>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464"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231F20"/>
        </w:rPr>
        <w:t>Company Investment Risk, Concentration of Credit Risk, and Liquidity Risk</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231F20"/>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The value of the Company’s investments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31F20"/>
        </w:rPr>
        <w:t>The Investment Advisor may attempt to minimize this risk by maintaining low debt-to-liquidation values with each debt investment and the collateral underlying the debt investment.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31F20"/>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3. Recent Accounting Pronouncements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In October 2016, the SEC adopted new rules and amended existing rules (together, ‘‘final rules’’) intended to modernize the reporting and disclosure of information by registered investment companies. In part, the final rules amend Regulation S-X and require standardized, enhanced disclosures about derivatives in investment company financial statements, as well as other amendments. The compliance date for the amendments to Regulation S-X was August 1, 2017. Management has adopted the amendments to Regulation S-X and included required disclosures in the Company’s consolidated financial statements and related disclosures.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231F20"/>
        </w:rPr>
        <w:t>In May 2014, the FASB issued Accounting Standards Update 2014-09, Revenue from Contracts with Customers (ASC Topic 606) (“ASU 2014-09”). ASU 2014-09 supersedes the revenue recognition requirements under ASC Topic 605, Revenue Recognition, and most industry-specific guidance throughout the ASC. The core principle of the guidance is that an entity should recognize revenue to depict the transfer of promised goods or services to customers in an amount that reflects the consideration to which an entity expects to be entitled in exchange for those goods or services. The new guidance significantly enhances comparability of revenue recognition practices across entities, industries, jurisdictions and capital markets. Additionally, the guidance requires improved disclosures as to the nature, amount, timing and uncertainty of revenue that is recognized. The new guidance became effective for the annual reporting period beginning January 1, 2018, including interim periods within that reporting period. The Company completed its assessment in evaluating the potential impact on its consolidated financial statements and based on its assessment, determined that its financial contracts are excluded from the scope of ASU 2014-09. As a result of the scope exception for financial contracts, the Company’s management has determined that there will be no material changes to the recognition timing and classification of revenues and expenses; additionally, the Company’s management determined that the adoption of ASU 2014-09 does not have a significant impact on its consolidated financial statement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231F20"/>
        </w:rPr>
        <w:t>The Company’s investment objective is to generate both current income and capital appreciation through debt and equity investments. Both directly and through the Company’s subsidiaries that are licensed by the SBA under the SBIC Act,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and subordinated loans. Most of the Company’s debt investments are coupled with equity interests, whether in the form of detachable ‘‘penny’’ warrants or equity co-investments made pari-passu with our borrowers’ financial sponsors. As of March 31, 2018, our portfolio consisted of investments in 46 portfolio companies with a fair value of approximately $503.7 million.</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Unitranche debt, a form of first lien loan, typically involves issuing one debt security that blends the risk and return profiles of both senior secured and subordinated debt in one debt security, bifurcating the loan into a first-out tranche and last-out tranche. As of March 31, 2018, 12.9% of the fair value of our first lien loans consisted of last-out loans. In some cases, first lien loans may be subordinated, solely with respect to the payment of cash interest, to an asset based revolving credit facility.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9" w:name="page30"/>
    <w:bookmarkEnd w:id="29"/>
    <w:p>
      <w:pPr>
        <w:jc w:val="both"/>
        <w:ind w:firstLine="648"/>
        <w:spacing w:after="0" w:line="264" w:lineRule="auto"/>
        <w:rPr>
          <w:sz w:val="20"/>
          <w:szCs w:val="20"/>
          <w:color w:val="auto"/>
        </w:rPr>
      </w:pPr>
      <w:r>
        <w:rPr>
          <w:rFonts w:ascii="Arial" w:cs="Arial" w:eastAsia="Arial" w:hAnsi="Arial"/>
          <w:sz w:val="18"/>
          <w:szCs w:val="18"/>
          <w:color w:val="231F20"/>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the Company at the first lien lender’s discretion.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In addition to first and second lien loans, the Company may also invest in subordinated loans. Subordinated loans typically have a second lien on all or substantially all of the borrower’s assets, and unlike second lien loans, may be subject to the interruption of cash interest payments upon certain events of default, at the discretion of the first lien lender.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During the three months ended March 31, 2018, the Company made approximately $27.8 million of investments and had approximately $21.4 million in repayments and sales resulting in net investments of approximately $6.4 million for the period. During the three months ended March 31, 2017, the Company made approximately $21.7 million of investments and had approximately $33.0 million in repayments and sales resulting in net repayments and sales of approximately $11.3 million for the period.</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During the three months ended March 31, 2018, the Company funded $1.0 million of previously committed capital to existing portfolio companies. During the three months ended March 31, 2018, the Company funded $26.8 million of investments in portfolio companies for which it was not previously committed to fund. During the three months ended March 31, 2017, the Company funded $1.2 million of previously committed capital to existing portfolio companies. During the three months ended March 31, 2017, the Company funded $20.5 million of investments in portfolio companies for which it was not previously committed to fund. In addition to investing directly in portfolio companies, the Company may assist portfolio companies in securing financing from other sources by introducing portfolio companies to sponsors or by leading a syndicate of investors to provide the portfolio companies with financing. During the three months ended March 31, 2018 and March 31, 2017, the Company did not lead any syndicates and did not assist any portfolio companies in obtaining indirect financing.</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31F20"/>
        </w:rPr>
        <w:t>On August 31, 2016, the Company sold a portion of 14 securities across 10 portfolio companies to CapitalSouth Partners Florida Sidecar Fund II, L.P. (‘‘FSC II’’), including granting an option to acquire a portion of the Company’s equity investment in Eastport Holdings, LLC (the ‘‘Written Call Option’’), in exchange for 100% of the partnership interests in FSC II. Concurrent with the sale of these assets to FSC II, the Company received cash consideration of $47.6 million from an affiliated third-party purchaser in exchange for 100% of the partnership interests of FSC II. These assets were sold to FSC II at their June 30, 2016 fair market values, resulting in a net realized gain of $0.1 million. The Company’s Board pre-approved this transaction pursuant to Section 57(f) of the 1940 Act.</w:t>
      </w:r>
    </w:p>
    <w:p>
      <w:pPr>
        <w:spacing w:after="0" w:line="1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231F20"/>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31F20"/>
        </w:rPr>
        <w:t>The Written Call Option granted FSC II the right to purchase up to 31.25% of the Company’s equity investment in Eastport Holdings, LLC. The Written Call Option has a strike price of $1.5 million and a termination date of August 31, 2018. The fair value of the Written Call Option, which has been treated as a derivative liability and is recorded in the financial statement line item Written Call Option at fair value in the Company’s consolidated statements of assets and liabilities, was approximately $6.8 million and $6.8 million as of March 31, 2018 and December 31, 2017, respectively. For purposes of determining the fair value of the Written Call Option, the Company calculated the difference in the fair value of the underlying equity investment in Eastport Holdings, LLC and the strike price of the Written Call Option, or intrinsic value. The time value of the Written Call Option as of March 31, 2018 was determined to be insignificant. The Written Call Option is classified as a Level 3 financial instrument.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March 31, 2018,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3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354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0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268,504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256,594</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Second Lien Debt</w:t>
            </w:r>
          </w:p>
        </w:tc>
        <w:tc>
          <w:tcPr>
            <w:tcW w:w="2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32,647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31,761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6.3</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2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111,849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92,780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18.4</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Equity and Warrants</w:t>
            </w:r>
          </w:p>
        </w:tc>
        <w:tc>
          <w:tcPr>
            <w:tcW w:w="2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56,202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122,587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24.3</w:t>
            </w:r>
          </w:p>
        </w:tc>
      </w:tr>
      <w:tr>
        <w:trPr>
          <w:trHeight w:val="223"/>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30</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The composition of our investments as of December 31, 2017,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257,147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32,465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30,794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120,235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103,385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20.7</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55,180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122,271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24.5</w:t>
            </w:r>
          </w:p>
        </w:tc>
      </w:tr>
      <w:tr>
        <w:trPr>
          <w:trHeight w:val="223"/>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840" w:hanging="332"/>
        <w:spacing w:after="0"/>
        <w:tabs>
          <w:tab w:leader="none" w:pos="840" w:val="left"/>
        </w:tabs>
        <w:numPr>
          <w:ilvl w:val="0"/>
          <w:numId w:val="4"/>
        </w:numPr>
        <w:rPr>
          <w:rFonts w:ascii="Arial" w:cs="Arial" w:eastAsia="Arial" w:hAnsi="Arial"/>
          <w:sz w:val="17"/>
          <w:szCs w:val="17"/>
          <w:color w:val="231F20"/>
        </w:rPr>
      </w:pPr>
      <w:r>
        <w:rPr>
          <w:rFonts w:ascii="Arial" w:cs="Arial" w:eastAsia="Arial" w:hAnsi="Arial"/>
          <w:sz w:val="17"/>
          <w:szCs w:val="17"/>
          <w:color w:val="231F20"/>
        </w:rPr>
        <w:t>Level 1 — Valuations based on quoted prices in active markets for identical assets or liabilities that the Company has the ability to access.</w:t>
      </w:r>
    </w:p>
    <w:p>
      <w:pPr>
        <w:spacing w:after="0" w:line="236" w:lineRule="exact"/>
        <w:rPr>
          <w:rFonts w:ascii="Arial" w:cs="Arial" w:eastAsia="Arial" w:hAnsi="Arial"/>
          <w:sz w:val="17"/>
          <w:szCs w:val="17"/>
          <w:color w:val="231F20"/>
        </w:rPr>
      </w:pPr>
    </w:p>
    <w:p>
      <w:pPr>
        <w:ind w:left="840" w:hanging="332"/>
        <w:spacing w:after="0"/>
        <w:tabs>
          <w:tab w:leader="none" w:pos="84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Level 2 — Valuations based on inputs other than quoted prices in active markets, which are either directly or indirectly observable.</w:t>
      </w:r>
    </w:p>
    <w:p>
      <w:pPr>
        <w:spacing w:after="0" w:line="225" w:lineRule="exact"/>
        <w:rPr>
          <w:rFonts w:ascii="Arial" w:cs="Arial" w:eastAsia="Arial" w:hAnsi="Arial"/>
          <w:sz w:val="18"/>
          <w:szCs w:val="18"/>
          <w:color w:val="231F20"/>
        </w:rPr>
      </w:pPr>
    </w:p>
    <w:p>
      <w:pPr>
        <w:ind w:left="840" w:hanging="332"/>
        <w:spacing w:after="0"/>
        <w:tabs>
          <w:tab w:leader="none" w:pos="84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Level 3 — Valuations based on inputs that are unobservable and significant to the overall fair value measurement.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31F20"/>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measurements of investments, by major class, as of March 31, 2018 (dollars in thousands), according to the fair value hierarchy:</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rPr>
              <w:t>Fair Value Measurements</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256,594</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Second Lien Debt</w:t>
            </w:r>
          </w:p>
        </w:tc>
        <w:tc>
          <w:tcPr>
            <w:tcW w:w="9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31,761</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92,780</w:t>
            </w:r>
          </w:p>
        </w:tc>
        <w:tc>
          <w:tcPr>
            <w:tcW w:w="120" w:type="dxa"/>
            <w:vAlign w:val="bottom"/>
            <w:shd w:val="clear" w:color="auto" w:fill="CCEEFF"/>
          </w:tcPr>
          <w:p>
            <w:pPr>
              <w:spacing w:after="0"/>
              <w:rPr>
                <w:sz w:val="18"/>
                <w:szCs w:val="18"/>
                <w:color w:val="auto"/>
              </w:rPr>
            </w:pPr>
          </w:p>
        </w:tc>
      </w:tr>
      <w:tr>
        <w:trPr>
          <w:trHeight w:val="230"/>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and Warrants</w:t>
            </w: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122,587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122,587</w:t>
            </w:r>
          </w:p>
        </w:tc>
        <w:tc>
          <w:tcPr>
            <w:tcW w:w="120" w:type="dxa"/>
            <w:vAlign w:val="bottom"/>
            <w:tcBorders>
              <w:bottom w:val="single" w:sz="8" w:color="CCEEFF"/>
            </w:tcBorders>
          </w:tcPr>
          <w:p>
            <w:pPr>
              <w:spacing w:after="0"/>
              <w:rPr>
                <w:sz w:val="19"/>
                <w:szCs w:val="19"/>
                <w:color w:val="auto"/>
              </w:rPr>
            </w:pPr>
          </w:p>
        </w:tc>
      </w:tr>
      <w:tr>
        <w:trPr>
          <w:trHeight w:val="22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503,722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503,722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fair value measurements of the Written Call Option as of March 31, 2018 (dollars in thousands), according to the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w w:val="94"/>
              </w:rPr>
              <w:t>Fair Value Measurements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3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6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30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Written Call Option</w:t>
            </w:r>
          </w:p>
        </w:tc>
        <w:tc>
          <w:tcPr>
            <w:tcW w:w="1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29"/>
        </w:trPr>
        <w:tc>
          <w:tcPr>
            <w:tcW w:w="3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1960"/>
              <w:spacing w:after="0"/>
              <w:rPr>
                <w:sz w:val="20"/>
                <w:szCs w:val="20"/>
                <w:color w:val="auto"/>
              </w:rPr>
            </w:pPr>
            <w:r>
              <w:rPr>
                <w:rFonts w:ascii="Arial" w:cs="Arial" w:eastAsia="Arial" w:hAnsi="Arial"/>
                <w:sz w:val="18"/>
                <w:szCs w:val="18"/>
                <w:color w:val="auto"/>
              </w:rPr>
              <w:t>31</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1" w:name="page32"/>
    <w:bookmarkEnd w:id="31"/>
    <w:p>
      <w:pPr>
        <w:ind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2017 (dollars in thousands), according to the fair value hierarchy:</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rPr>
              <w:t>Fair Value Measurements</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Second Lien Debt</w:t>
            </w:r>
          </w:p>
        </w:tc>
        <w:tc>
          <w:tcPr>
            <w:tcW w:w="9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30,794</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103,385</w:t>
            </w:r>
          </w:p>
        </w:tc>
        <w:tc>
          <w:tcPr>
            <w:tcW w:w="120" w:type="dxa"/>
            <w:vAlign w:val="bottom"/>
            <w:shd w:val="clear" w:color="auto" w:fill="CCEEFF"/>
          </w:tcPr>
          <w:p>
            <w:pPr>
              <w:spacing w:after="0"/>
              <w:rPr>
                <w:sz w:val="18"/>
                <w:szCs w:val="18"/>
                <w:color w:val="auto"/>
              </w:rPr>
            </w:pPr>
          </w:p>
        </w:tc>
      </w:tr>
      <w:tr>
        <w:trPr>
          <w:trHeight w:val="230"/>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and Warrants</w:t>
            </w: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122,271</w:t>
            </w:r>
          </w:p>
        </w:tc>
        <w:tc>
          <w:tcPr>
            <w:tcW w:w="120" w:type="dxa"/>
            <w:vAlign w:val="bottom"/>
            <w:tcBorders>
              <w:bottom w:val="single" w:sz="8" w:color="CCEEFF"/>
            </w:tcBorders>
          </w:tcPr>
          <w:p>
            <w:pPr>
              <w:spacing w:after="0"/>
              <w:rPr>
                <w:sz w:val="19"/>
                <w:szCs w:val="19"/>
                <w:color w:val="auto"/>
              </w:rPr>
            </w:pPr>
          </w:p>
        </w:tc>
      </w:tr>
      <w:tr>
        <w:trPr>
          <w:trHeight w:val="22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fair value measurements of the Written Call Option as of December 31, 2017 (dollars in thousands), according to the fair value hierarchy:</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Fair Value Measurements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Written Call Option</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70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March 31, 2018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First Lien</w:t>
            </w:r>
          </w:p>
        </w:tc>
        <w:tc>
          <w:tcPr>
            <w:tcW w:w="1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Second Lien</w:t>
            </w:r>
          </w:p>
        </w:tc>
        <w:tc>
          <w:tcPr>
            <w:tcW w:w="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Subordinated</w:t>
            </w: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20"/>
                <w:szCs w:val="20"/>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Debt</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and Warrants</w:t>
            </w: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30,794</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103,385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122,271</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(8,828)</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(20,676)</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(21,400)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27,000</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27,800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 accrued</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from investments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(4,579)</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(3,855)</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Net unrealized appreciation (depreciation) on</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412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(2,218)</w:t>
            </w:r>
          </w:p>
        </w:tc>
        <w:tc>
          <w:tcPr>
            <w:tcW w:w="2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(705)</w:t>
            </w: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256,594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122,587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the Written Call Option that use Level 3 inputs for the three months ended March 31, 2018 (dollars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Written</w:t>
            </w:r>
          </w:p>
        </w:tc>
      </w:tr>
      <w:tr>
        <w:trPr>
          <w:trHeight w:val="234"/>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Call Option</w:t>
            </w: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March 31, 2017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First Lien</w:t>
            </w:r>
          </w:p>
        </w:tc>
        <w:tc>
          <w:tcPr>
            <w:tcW w:w="100" w:type="dxa"/>
            <w:vAlign w:val="bottom"/>
          </w:tcPr>
          <w:p>
            <w:pPr>
              <w:spacing w:after="0"/>
              <w:rPr>
                <w:sz w:val="18"/>
                <w:szCs w:val="18"/>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Second Lien</w:t>
            </w:r>
          </w:p>
        </w:tc>
        <w:tc>
          <w:tcPr>
            <w:tcW w:w="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Subordinated</w:t>
            </w: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Debt</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and Warrants</w:t>
            </w: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71,483</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150,232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93,346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6,701</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(14,667)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(33,049)</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18,526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1,182</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21,708</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 accrued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from investments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4,846</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Net unrealized appreciation (depreciation) on</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412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(581)</w:t>
            </w: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(4,671)</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32</w:t>
            </w: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2" w:name="page33"/>
    <w:bookmarkEnd w:id="32"/>
    <w:p>
      <w:pPr>
        <w:ind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the Written Call Option that use Level 3 inputs for the three months ended March 31, 2017 (dollars in thousands):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540" w:type="dxa"/>
            <w:vAlign w:val="bottom"/>
            <w:gridSpan w:val="4"/>
          </w:tcPr>
          <w:p>
            <w:pPr>
              <w:ind w:left="1900"/>
              <w:spacing w:after="0"/>
              <w:rPr>
                <w:sz w:val="20"/>
                <w:szCs w:val="20"/>
                <w:color w:val="auto"/>
              </w:rPr>
            </w:pPr>
            <w:r>
              <w:rPr>
                <w:rFonts w:ascii="Arial" w:cs="Arial" w:eastAsia="Arial" w:hAnsi="Arial"/>
                <w:sz w:val="18"/>
                <w:szCs w:val="18"/>
                <w:b w:val="1"/>
                <w:bCs w:val="1"/>
                <w:color w:val="auto"/>
                <w:w w:val="99"/>
              </w:rPr>
              <w:t>Written Call Option</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9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77"/>
              </w:rPr>
              <w:t>(2,736)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1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w w:val="91"/>
              </w:rPr>
              <w:t>(1,485)</w:t>
            </w:r>
          </w:p>
        </w:tc>
      </w:tr>
      <w:tr>
        <w:trPr>
          <w:trHeight w:val="223"/>
        </w:trPr>
        <w:tc>
          <w:tcPr>
            <w:tcW w:w="20" w:type="dxa"/>
            <w:vAlign w:val="bottom"/>
          </w:tcPr>
          <w:p>
            <w:pPr>
              <w:spacing w:after="0"/>
              <w:rPr>
                <w:sz w:val="19"/>
                <w:szCs w:val="19"/>
                <w:color w:val="auto"/>
              </w:rPr>
            </w:pPr>
          </w:p>
        </w:tc>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2017</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6"/>
              </w:rPr>
              <w:t>(4,221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net change in unrealized depreciation on investments held as of March 31, 2018 and March 31, 2017, was $(4.1) million and $(4.8) million, respectively, and is included in net unrealized appreciation (depreciation) on investments in the consolidated statements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valuation techniques and significant unobservable inputs used in recurring Level 3 fair value measurements of assets and (liabilities)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18"/>
                <w:szCs w:val="18"/>
                <w:color w:val="auto"/>
              </w:rPr>
            </w:pPr>
          </w:p>
        </w:tc>
        <w:tc>
          <w:tcPr>
            <w:tcW w:w="2400" w:type="dxa"/>
            <w:vAlign w:val="bottom"/>
            <w:gridSpan w:val="2"/>
          </w:tcPr>
          <w:p>
            <w:pPr>
              <w:ind w:left="780"/>
              <w:spacing w:after="0"/>
              <w:rPr>
                <w:sz w:val="20"/>
                <w:szCs w:val="20"/>
                <w:color w:val="auto"/>
              </w:rPr>
            </w:pPr>
            <w:r>
              <w:rPr>
                <w:rFonts w:ascii="Arial" w:cs="Arial" w:eastAsia="Arial" w:hAnsi="Arial"/>
                <w:sz w:val="18"/>
                <w:szCs w:val="18"/>
                <w:b w:val="1"/>
                <w:bCs w:val="1"/>
                <w:color w:val="auto"/>
              </w:rPr>
              <w:t>Valuation</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(in millions)</w:t>
            </w:r>
          </w:p>
        </w:tc>
        <w:tc>
          <w:tcPr>
            <w:tcW w:w="80" w:type="dxa"/>
            <w:vAlign w:val="bottom"/>
          </w:tcPr>
          <w:p>
            <w:pPr>
              <w:spacing w:after="0"/>
              <w:rPr>
                <w:sz w:val="20"/>
                <w:szCs w:val="20"/>
                <w:color w:val="auto"/>
              </w:rPr>
            </w:pPr>
          </w:p>
        </w:tc>
        <w:tc>
          <w:tcPr>
            <w:tcW w:w="2400" w:type="dxa"/>
            <w:vAlign w:val="bottom"/>
            <w:gridSpan w:val="2"/>
          </w:tcPr>
          <w:p>
            <w:pPr>
              <w:ind w:left="760"/>
              <w:spacing w:after="0"/>
              <w:rPr>
                <w:sz w:val="20"/>
                <w:szCs w:val="20"/>
                <w:color w:val="auto"/>
              </w:rPr>
            </w:pPr>
            <w:r>
              <w:rPr>
                <w:rFonts w:ascii="Arial" w:cs="Arial" w:eastAsia="Arial" w:hAnsi="Arial"/>
                <w:sz w:val="18"/>
                <w:szCs w:val="18"/>
                <w:b w:val="1"/>
                <w:bCs w:val="1"/>
                <w:color w:val="auto"/>
              </w:rPr>
              <w:t>Approach</w:t>
            </w:r>
          </w:p>
        </w:tc>
        <w:tc>
          <w:tcPr>
            <w:tcW w:w="2960" w:type="dxa"/>
            <w:vAlign w:val="bottom"/>
            <w:gridSpan w:val="2"/>
          </w:tcPr>
          <w:p>
            <w:pPr>
              <w:ind w:left="640"/>
              <w:spacing w:after="0"/>
              <w:rPr>
                <w:sz w:val="20"/>
                <w:szCs w:val="20"/>
                <w:color w:val="auto"/>
              </w:rPr>
            </w:pPr>
            <w:r>
              <w:rPr>
                <w:rFonts w:ascii="Arial" w:cs="Arial" w:eastAsia="Arial" w:hAnsi="Arial"/>
                <w:sz w:val="18"/>
                <w:szCs w:val="18"/>
                <w:b w:val="1"/>
                <w:bCs w:val="1"/>
                <w:color w:val="auto"/>
              </w:rPr>
              <w:t>Unobservable Input</w:t>
            </w:r>
          </w:p>
        </w:tc>
        <w:tc>
          <w:tcPr>
            <w:tcW w:w="320" w:type="dxa"/>
            <w:vAlign w:val="bottom"/>
          </w:tcPr>
          <w:p>
            <w:pPr>
              <w:spacing w:after="0"/>
              <w:rPr>
                <w:sz w:val="20"/>
                <w:szCs w:val="20"/>
                <w:color w:val="auto"/>
              </w:rPr>
            </w:pPr>
          </w:p>
        </w:tc>
        <w:tc>
          <w:tcPr>
            <w:tcW w:w="2520" w:type="dxa"/>
            <w:vAlign w:val="bottom"/>
          </w:tcPr>
          <w:p>
            <w:pPr>
              <w:ind w:left="80"/>
              <w:spacing w:after="0"/>
              <w:rPr>
                <w:sz w:val="20"/>
                <w:szCs w:val="20"/>
                <w:color w:val="auto"/>
              </w:rPr>
            </w:pPr>
            <w:r>
              <w:rPr>
                <w:rFonts w:ascii="Arial" w:cs="Arial" w:eastAsia="Arial" w:hAnsi="Arial"/>
                <w:sz w:val="18"/>
                <w:szCs w:val="18"/>
                <w:b w:val="1"/>
                <w:bCs w:val="1"/>
                <w:color w:val="auto"/>
              </w:rPr>
              <w:t>Range (Weighted Average)</w:t>
            </w:r>
          </w:p>
        </w:tc>
      </w:tr>
      <w:tr>
        <w:trPr>
          <w:trHeight w:val="195"/>
        </w:trPr>
        <w:tc>
          <w:tcPr>
            <w:tcW w:w="13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 lien debt</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218.9</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120" w:type="dxa"/>
            <w:vAlign w:val="bottom"/>
            <w:tcBorders>
              <w:top w:val="single" w:sz="8" w:color="CCEEFF"/>
            </w:tcBorders>
            <w:shd w:val="clear" w:color="auto" w:fill="CCEEFF"/>
          </w:tcPr>
          <w:p>
            <w:pPr>
              <w:spacing w:after="0"/>
              <w:rPr>
                <w:sz w:val="16"/>
                <w:szCs w:val="16"/>
                <w:color w:val="auto"/>
              </w:rPr>
            </w:pPr>
          </w:p>
        </w:tc>
        <w:tc>
          <w:tcPr>
            <w:tcW w:w="2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Required Rate of Return</w:t>
            </w:r>
          </w:p>
        </w:tc>
        <w:tc>
          <w:tcPr>
            <w:tcW w:w="120" w:type="dxa"/>
            <w:vAlign w:val="bottom"/>
            <w:tcBorders>
              <w:top w:val="single" w:sz="8" w:color="CCEEFF"/>
            </w:tcBorders>
            <w:shd w:val="clear" w:color="auto" w:fill="CCEEFF"/>
          </w:tcPr>
          <w:p>
            <w:pPr>
              <w:spacing w:after="0"/>
              <w:rPr>
                <w:sz w:val="16"/>
                <w:szCs w:val="16"/>
                <w:color w:val="auto"/>
              </w:rPr>
            </w:pPr>
          </w:p>
        </w:tc>
        <w:tc>
          <w:tcPr>
            <w:tcW w:w="28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8.9% – 20.0% (13.2%)</w:t>
            </w:r>
          </w:p>
        </w:tc>
      </w:tr>
      <w:tr>
        <w:trPr>
          <w:trHeight w:val="216"/>
        </w:trPr>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8"/>
              </w:rPr>
              <w:t>1.8x</w:t>
            </w: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6.2x (3.5x)</w:t>
            </w:r>
          </w:p>
        </w:tc>
      </w:tr>
      <w:tr>
        <w:trPr>
          <w:trHeight w:val="216"/>
        </w:trPr>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 million – $122.2 million</w:t>
            </w:r>
          </w:p>
        </w:tc>
      </w:tr>
      <w:tr>
        <w:trPr>
          <w:trHeight w:val="230"/>
        </w:trPr>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($21.4 million)</w:t>
            </w: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rPr>
              <w:t>First lien debt</w:t>
            </w:r>
          </w:p>
        </w:tc>
        <w:tc>
          <w:tcPr>
            <w:tcW w:w="32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37.7</w:t>
            </w:r>
          </w:p>
        </w:tc>
        <w:tc>
          <w:tcPr>
            <w:tcW w:w="248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Enterprise Value Waterfall</w:t>
            </w:r>
          </w:p>
        </w:tc>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EBITDA Multiple</w:t>
            </w:r>
          </w:p>
        </w:tc>
        <w:tc>
          <w:tcPr>
            <w:tcW w:w="320" w:type="dxa"/>
            <w:vAlign w:val="bottom"/>
          </w:tcPr>
          <w:p>
            <w:pPr>
              <w:spacing w:after="0" w:line="201" w:lineRule="exact"/>
              <w:rPr>
                <w:sz w:val="20"/>
                <w:szCs w:val="20"/>
                <w:color w:val="auto"/>
              </w:rPr>
            </w:pPr>
            <w:r>
              <w:rPr>
                <w:rFonts w:ascii="Arial" w:cs="Arial" w:eastAsia="Arial" w:hAnsi="Arial"/>
                <w:sz w:val="18"/>
                <w:szCs w:val="18"/>
                <w:color w:val="auto"/>
                <w:w w:val="88"/>
              </w:rPr>
              <w:t>3.5x</w:t>
            </w:r>
          </w:p>
        </w:tc>
        <w:tc>
          <w:tcPr>
            <w:tcW w:w="2520" w:type="dxa"/>
            <w:vAlign w:val="bottom"/>
          </w:tcPr>
          <w:p>
            <w:pPr>
              <w:ind w:left="40"/>
              <w:spacing w:after="0" w:line="201" w:lineRule="exact"/>
              <w:rPr>
                <w:sz w:val="20"/>
                <w:szCs w:val="20"/>
                <w:color w:val="auto"/>
              </w:rPr>
            </w:pPr>
            <w:r>
              <w:rPr>
                <w:rFonts w:ascii="Arial" w:cs="Arial" w:eastAsia="Arial" w:hAnsi="Arial"/>
                <w:sz w:val="18"/>
                <w:szCs w:val="18"/>
                <w:color w:val="auto"/>
              </w:rPr>
              <w:t>– 6.0x (5.2x)</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840" w:type="dxa"/>
            <w:vAlign w:val="bottom"/>
            <w:gridSpan w:val="2"/>
          </w:tcPr>
          <w:p>
            <w:pPr>
              <w:spacing w:after="0"/>
              <w:rPr>
                <w:sz w:val="20"/>
                <w:szCs w:val="20"/>
                <w:color w:val="auto"/>
              </w:rPr>
            </w:pPr>
            <w:r>
              <w:rPr>
                <w:rFonts w:ascii="Arial" w:cs="Arial" w:eastAsia="Arial" w:hAnsi="Arial"/>
                <w:sz w:val="18"/>
                <w:szCs w:val="18"/>
                <w:color w:val="auto"/>
              </w:rPr>
              <w:t>$1.3 million – $3.2 million</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($2.1 million)</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Revenue Multiple</w:t>
            </w:r>
          </w:p>
        </w:tc>
        <w:tc>
          <w:tcPr>
            <w:tcW w:w="320" w:type="dxa"/>
            <w:vAlign w:val="bottom"/>
          </w:tcPr>
          <w:p>
            <w:pPr>
              <w:spacing w:after="0"/>
              <w:rPr>
                <w:sz w:val="20"/>
                <w:szCs w:val="20"/>
                <w:color w:val="auto"/>
              </w:rPr>
            </w:pPr>
            <w:r>
              <w:rPr>
                <w:rFonts w:ascii="Arial" w:cs="Arial" w:eastAsia="Arial" w:hAnsi="Arial"/>
                <w:sz w:val="18"/>
                <w:szCs w:val="18"/>
                <w:color w:val="auto"/>
                <w:w w:val="88"/>
              </w:rPr>
              <w:t>0.2x</w:t>
            </w:r>
          </w:p>
        </w:tc>
        <w:tc>
          <w:tcPr>
            <w:tcW w:w="2520" w:type="dxa"/>
            <w:vAlign w:val="bottom"/>
          </w:tcPr>
          <w:p>
            <w:pPr>
              <w:ind w:left="40"/>
              <w:spacing w:after="0"/>
              <w:rPr>
                <w:sz w:val="20"/>
                <w:szCs w:val="20"/>
                <w:color w:val="auto"/>
              </w:rPr>
            </w:pPr>
            <w:r>
              <w:rPr>
                <w:rFonts w:ascii="Arial" w:cs="Arial" w:eastAsia="Arial" w:hAnsi="Arial"/>
                <w:sz w:val="18"/>
                <w:szCs w:val="18"/>
                <w:color w:val="auto"/>
              </w:rPr>
              <w:t>– 0.2x (0.2x)</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840" w:type="dxa"/>
            <w:vAlign w:val="bottom"/>
            <w:gridSpan w:val="2"/>
          </w:tcPr>
          <w:p>
            <w:pPr>
              <w:spacing w:after="0"/>
              <w:rPr>
                <w:sz w:val="20"/>
                <w:szCs w:val="20"/>
                <w:color w:val="auto"/>
              </w:rPr>
            </w:pPr>
            <w:r>
              <w:rPr>
                <w:rFonts w:ascii="Arial" w:cs="Arial" w:eastAsia="Arial" w:hAnsi="Arial"/>
                <w:sz w:val="18"/>
                <w:szCs w:val="18"/>
                <w:color w:val="auto"/>
              </w:rPr>
              <w:t>$51.5 million – $51.5 million</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($51.5 million)</w:t>
            </w:r>
          </w:p>
        </w:tc>
      </w:tr>
      <w:tr>
        <w:trPr>
          <w:trHeight w:val="202"/>
        </w:trPr>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lien debt</w:t>
            </w:r>
          </w:p>
        </w:tc>
        <w:tc>
          <w:tcPr>
            <w:tcW w:w="320" w:type="dxa"/>
            <w:vAlign w:val="bottom"/>
            <w:gridSpan w:val="2"/>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31.8</w:t>
            </w:r>
          </w:p>
        </w:tc>
        <w:tc>
          <w:tcPr>
            <w:tcW w:w="24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Income</w:t>
            </w:r>
          </w:p>
        </w:tc>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Required Rate of Return</w:t>
            </w:r>
          </w:p>
        </w:tc>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11.9% – 17.6% (14.5%)</w:t>
            </w:r>
          </w:p>
        </w:tc>
      </w:tr>
      <w:tr>
        <w:trPr>
          <w:trHeight w:val="216"/>
        </w:trPr>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8"/>
              </w:rPr>
              <w:t>4.9x</w:t>
            </w: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7.1x (6.0x)</w:t>
            </w:r>
          </w:p>
        </w:tc>
      </w:tr>
      <w:tr>
        <w:trPr>
          <w:trHeight w:val="216"/>
        </w:trPr>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$7.3 million – $78.5 million</w:t>
            </w:r>
          </w:p>
        </w:tc>
      </w:tr>
      <w:tr>
        <w:trPr>
          <w:trHeight w:val="230"/>
        </w:trPr>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($41.5 million)</w:t>
            </w: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w w:val="92"/>
              </w:rPr>
              <w:t>Subordinated debt</w:t>
            </w:r>
          </w:p>
        </w:tc>
        <w:tc>
          <w:tcPr>
            <w:tcW w:w="32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56.2</w:t>
            </w:r>
          </w:p>
        </w:tc>
        <w:tc>
          <w:tcPr>
            <w:tcW w:w="248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Income</w:t>
            </w:r>
          </w:p>
        </w:tc>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Required Rate of Return</w:t>
            </w:r>
          </w:p>
        </w:tc>
        <w:tc>
          <w:tcPr>
            <w:tcW w:w="2840" w:type="dxa"/>
            <w:vAlign w:val="bottom"/>
            <w:gridSpan w:val="2"/>
          </w:tcPr>
          <w:p>
            <w:pPr>
              <w:spacing w:after="0" w:line="201" w:lineRule="exact"/>
              <w:rPr>
                <w:sz w:val="20"/>
                <w:szCs w:val="20"/>
                <w:color w:val="auto"/>
              </w:rPr>
            </w:pPr>
            <w:r>
              <w:rPr>
                <w:rFonts w:ascii="Arial" w:cs="Arial" w:eastAsia="Arial" w:hAnsi="Arial"/>
                <w:sz w:val="18"/>
                <w:szCs w:val="18"/>
                <w:color w:val="auto"/>
              </w:rPr>
              <w:t>11.5% – 19.5% (13.9%)</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Leverage Ratio</w:t>
            </w:r>
          </w:p>
        </w:tc>
        <w:tc>
          <w:tcPr>
            <w:tcW w:w="320" w:type="dxa"/>
            <w:vAlign w:val="bottom"/>
          </w:tcPr>
          <w:p>
            <w:pPr>
              <w:spacing w:after="0"/>
              <w:rPr>
                <w:sz w:val="20"/>
                <w:szCs w:val="20"/>
                <w:color w:val="auto"/>
              </w:rPr>
            </w:pPr>
            <w:r>
              <w:rPr>
                <w:rFonts w:ascii="Arial" w:cs="Arial" w:eastAsia="Arial" w:hAnsi="Arial"/>
                <w:sz w:val="18"/>
                <w:szCs w:val="18"/>
                <w:color w:val="auto"/>
                <w:w w:val="88"/>
              </w:rPr>
              <w:t>3.1x</w:t>
            </w:r>
          </w:p>
        </w:tc>
        <w:tc>
          <w:tcPr>
            <w:tcW w:w="2520" w:type="dxa"/>
            <w:vAlign w:val="bottom"/>
          </w:tcPr>
          <w:p>
            <w:pPr>
              <w:ind w:left="40"/>
              <w:spacing w:after="0"/>
              <w:rPr>
                <w:sz w:val="20"/>
                <w:szCs w:val="20"/>
                <w:color w:val="auto"/>
              </w:rPr>
            </w:pPr>
            <w:r>
              <w:rPr>
                <w:rFonts w:ascii="Arial" w:cs="Arial" w:eastAsia="Arial" w:hAnsi="Arial"/>
                <w:sz w:val="18"/>
                <w:szCs w:val="18"/>
                <w:color w:val="auto"/>
              </w:rPr>
              <w:t>– 8.5x (5.6x)</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840" w:type="dxa"/>
            <w:vAlign w:val="bottom"/>
            <w:gridSpan w:val="2"/>
          </w:tcPr>
          <w:p>
            <w:pPr>
              <w:spacing w:after="0"/>
              <w:rPr>
                <w:sz w:val="20"/>
                <w:szCs w:val="20"/>
                <w:color w:val="auto"/>
              </w:rPr>
            </w:pPr>
            <w:r>
              <w:rPr>
                <w:rFonts w:ascii="Arial" w:cs="Arial" w:eastAsia="Arial" w:hAnsi="Arial"/>
                <w:sz w:val="18"/>
                <w:szCs w:val="18"/>
                <w:color w:val="auto"/>
              </w:rPr>
              <w:t>$2.0 million – $14.6 million ($9.6</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million)</w:t>
            </w:r>
          </w:p>
        </w:tc>
      </w:tr>
      <w:tr>
        <w:trPr>
          <w:trHeight w:val="202"/>
        </w:trPr>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Subordinated debt</w:t>
            </w:r>
          </w:p>
        </w:tc>
        <w:tc>
          <w:tcPr>
            <w:tcW w:w="320" w:type="dxa"/>
            <w:vAlign w:val="bottom"/>
            <w:gridSpan w:val="2"/>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36.6</w:t>
            </w:r>
          </w:p>
        </w:tc>
        <w:tc>
          <w:tcPr>
            <w:tcW w:w="24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7"/>
              </w:rPr>
              <w:t>Enterprise Value Waterfall and</w:t>
            </w:r>
          </w:p>
        </w:tc>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EBITDA Multiple</w:t>
            </w:r>
          </w:p>
        </w:tc>
        <w:tc>
          <w:tcPr>
            <w:tcW w:w="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4.5x</w:t>
            </w:r>
          </w:p>
        </w:tc>
        <w:tc>
          <w:tcPr>
            <w:tcW w:w="25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 7.4x (6.7x)</w:t>
            </w:r>
          </w:p>
        </w:tc>
      </w:tr>
      <w:tr>
        <w:trPr>
          <w:trHeight w:val="217"/>
        </w:trPr>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80"/>
              <w:spacing w:after="0" w:line="217" w:lineRule="exact"/>
              <w:rPr>
                <w:sz w:val="20"/>
                <w:szCs w:val="20"/>
                <w:color w:val="auto"/>
              </w:rPr>
            </w:pPr>
            <w:r>
              <w:rPr>
                <w:rFonts w:ascii="Arial" w:cs="Arial" w:eastAsia="Arial" w:hAnsi="Arial"/>
                <w:sz w:val="16"/>
                <w:szCs w:val="16"/>
                <w:color w:val="auto"/>
              </w:rPr>
              <w:t xml:space="preserve">Asset </w:t>
            </w:r>
            <w:r>
              <w:rPr>
                <w:rFonts w:ascii="Arial" w:cs="Arial" w:eastAsia="Arial" w:hAnsi="Arial"/>
                <w:sz w:val="25"/>
                <w:szCs w:val="25"/>
                <w:color w:val="auto"/>
                <w:vertAlign w:val="superscript"/>
              </w:rPr>
              <w:t>(1)</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 million – $32.9 million ($24.0</w:t>
            </w:r>
          </w:p>
        </w:tc>
      </w:tr>
      <w:tr>
        <w:trPr>
          <w:trHeight w:val="230"/>
        </w:trPr>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r>
      <w:tr>
        <w:trPr>
          <w:trHeight w:val="216"/>
        </w:trPr>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Multiple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8"/>
              </w:rPr>
              <w:t>0.2x</w:t>
            </w: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0.2x (0.2x)</w:t>
            </w:r>
          </w:p>
        </w:tc>
      </w:tr>
      <w:tr>
        <w:trPr>
          <w:trHeight w:val="202"/>
        </w:trPr>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$158.7 million – $158.7 million</w:t>
            </w:r>
          </w:p>
        </w:tc>
      </w:tr>
      <w:tr>
        <w:trPr>
          <w:trHeight w:val="230"/>
        </w:trPr>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($158.7 million)</w:t>
            </w: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rPr>
              <w:t>Equity and</w:t>
            </w:r>
          </w:p>
        </w:tc>
        <w:tc>
          <w:tcPr>
            <w:tcW w:w="12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122.6</w:t>
            </w:r>
          </w:p>
        </w:tc>
        <w:tc>
          <w:tcPr>
            <w:tcW w:w="140" w:type="dxa"/>
            <w:vAlign w:val="bottom"/>
          </w:tcPr>
          <w:p>
            <w:pPr>
              <w:spacing w:after="0"/>
              <w:rPr>
                <w:sz w:val="17"/>
                <w:szCs w:val="17"/>
                <w:color w:val="auto"/>
              </w:rPr>
            </w:pPr>
          </w:p>
        </w:tc>
        <w:tc>
          <w:tcPr>
            <w:tcW w:w="248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Enterprise Value Waterfall</w:t>
            </w:r>
          </w:p>
        </w:tc>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EBITDA Multiple</w:t>
            </w:r>
          </w:p>
        </w:tc>
        <w:tc>
          <w:tcPr>
            <w:tcW w:w="320" w:type="dxa"/>
            <w:vAlign w:val="bottom"/>
          </w:tcPr>
          <w:p>
            <w:pPr>
              <w:spacing w:after="0" w:line="201" w:lineRule="exact"/>
              <w:rPr>
                <w:sz w:val="20"/>
                <w:szCs w:val="20"/>
                <w:color w:val="auto"/>
              </w:rPr>
            </w:pPr>
            <w:r>
              <w:rPr>
                <w:rFonts w:ascii="Arial" w:cs="Arial" w:eastAsia="Arial" w:hAnsi="Arial"/>
                <w:sz w:val="18"/>
                <w:szCs w:val="18"/>
                <w:color w:val="auto"/>
                <w:w w:val="88"/>
              </w:rPr>
              <w:t>3.2x</w:t>
            </w:r>
          </w:p>
        </w:tc>
        <w:tc>
          <w:tcPr>
            <w:tcW w:w="2520" w:type="dxa"/>
            <w:vAlign w:val="bottom"/>
          </w:tcPr>
          <w:p>
            <w:pPr>
              <w:ind w:left="40"/>
              <w:spacing w:after="0" w:line="201" w:lineRule="exact"/>
              <w:rPr>
                <w:sz w:val="20"/>
                <w:szCs w:val="20"/>
                <w:color w:val="auto"/>
              </w:rPr>
            </w:pPr>
            <w:r>
              <w:rPr>
                <w:rFonts w:ascii="Arial" w:cs="Arial" w:eastAsia="Arial" w:hAnsi="Arial"/>
                <w:sz w:val="18"/>
                <w:szCs w:val="18"/>
                <w:color w:val="auto"/>
              </w:rPr>
              <w:t>– 14.5x (7.8x)</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840" w:type="dxa"/>
            <w:vAlign w:val="bottom"/>
            <w:gridSpan w:val="2"/>
          </w:tcPr>
          <w:p>
            <w:pPr>
              <w:spacing w:after="0"/>
              <w:rPr>
                <w:sz w:val="20"/>
                <w:szCs w:val="20"/>
                <w:color w:val="auto"/>
              </w:rPr>
            </w:pPr>
            <w:r>
              <w:rPr>
                <w:rFonts w:ascii="Arial" w:cs="Arial" w:eastAsia="Arial" w:hAnsi="Arial"/>
                <w:sz w:val="18"/>
                <w:szCs w:val="18"/>
                <w:color w:val="auto"/>
              </w:rPr>
              <w:t>$1.7 million – $82.1 million (27.2</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million)</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Revenue Multiple</w:t>
            </w:r>
          </w:p>
        </w:tc>
        <w:tc>
          <w:tcPr>
            <w:tcW w:w="320" w:type="dxa"/>
            <w:vAlign w:val="bottom"/>
          </w:tcPr>
          <w:p>
            <w:pPr>
              <w:spacing w:after="0"/>
              <w:rPr>
                <w:sz w:val="20"/>
                <w:szCs w:val="20"/>
                <w:color w:val="auto"/>
              </w:rPr>
            </w:pPr>
            <w:r>
              <w:rPr>
                <w:rFonts w:ascii="Arial" w:cs="Arial" w:eastAsia="Arial" w:hAnsi="Arial"/>
                <w:sz w:val="18"/>
                <w:szCs w:val="18"/>
                <w:color w:val="auto"/>
                <w:w w:val="88"/>
              </w:rPr>
              <w:t>0.5x</w:t>
            </w:r>
          </w:p>
        </w:tc>
        <w:tc>
          <w:tcPr>
            <w:tcW w:w="2520" w:type="dxa"/>
            <w:vAlign w:val="bottom"/>
          </w:tcPr>
          <w:p>
            <w:pPr>
              <w:ind w:left="40"/>
              <w:spacing w:after="0"/>
              <w:rPr>
                <w:sz w:val="20"/>
                <w:szCs w:val="20"/>
                <w:color w:val="auto"/>
              </w:rPr>
            </w:pPr>
            <w:r>
              <w:rPr>
                <w:rFonts w:ascii="Arial" w:cs="Arial" w:eastAsia="Arial" w:hAnsi="Arial"/>
                <w:sz w:val="18"/>
                <w:szCs w:val="18"/>
                <w:color w:val="auto"/>
              </w:rPr>
              <w:t>– 0.5x (0.5x)</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840" w:type="dxa"/>
            <w:vAlign w:val="bottom"/>
            <w:gridSpan w:val="2"/>
          </w:tcPr>
          <w:p>
            <w:pPr>
              <w:spacing w:after="0"/>
              <w:rPr>
                <w:sz w:val="20"/>
                <w:szCs w:val="20"/>
                <w:color w:val="auto"/>
              </w:rPr>
            </w:pPr>
            <w:r>
              <w:rPr>
                <w:rFonts w:ascii="Arial" w:cs="Arial" w:eastAsia="Arial" w:hAnsi="Arial"/>
                <w:sz w:val="18"/>
                <w:szCs w:val="18"/>
                <w:color w:val="auto"/>
              </w:rPr>
              <w:t>$156.1 million – $156.1 million</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($156.1 million)</w:t>
            </w:r>
          </w:p>
        </w:tc>
      </w:tr>
      <w:tr>
        <w:trPr>
          <w:trHeight w:val="202"/>
        </w:trPr>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Written Call</w:t>
            </w:r>
          </w:p>
        </w:tc>
        <w:tc>
          <w:tcPr>
            <w:tcW w:w="320" w:type="dxa"/>
            <w:vAlign w:val="bottom"/>
            <w:gridSpan w:val="2"/>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(6.8)</w:t>
            </w:r>
          </w:p>
        </w:tc>
        <w:tc>
          <w:tcPr>
            <w:tcW w:w="24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Enterprise Value Waterfall</w:t>
            </w:r>
          </w:p>
        </w:tc>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EBITDA Multiple</w:t>
            </w:r>
          </w:p>
        </w:tc>
        <w:tc>
          <w:tcPr>
            <w:tcW w:w="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7.4x</w:t>
            </w:r>
          </w:p>
        </w:tc>
        <w:tc>
          <w:tcPr>
            <w:tcW w:w="25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 7.4x (7.4x)</w:t>
            </w: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Option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$32.9 million – $32.9 million</w:t>
            </w:r>
          </w:p>
        </w:tc>
      </w:tr>
      <w:tr>
        <w:trPr>
          <w:trHeight w:val="230"/>
        </w:trPr>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($32.9 million)</w:t>
            </w:r>
          </w:p>
        </w:tc>
      </w:tr>
    </w:tbl>
    <w:p>
      <w:pPr>
        <w:spacing w:after="0" w:line="202" w:lineRule="exact"/>
        <w:rPr>
          <w:sz w:val="20"/>
          <w:szCs w:val="20"/>
          <w:color w:val="auto"/>
        </w:rPr>
      </w:pPr>
    </w:p>
    <w:p>
      <w:pPr>
        <w:jc w:val="right"/>
        <w:ind w:left="5640" w:right="5600" w:hanging="5281"/>
        <w:spacing w:after="0" w:line="906" w:lineRule="auto"/>
        <w:tabs>
          <w:tab w:leader="none" w:pos="706" w:val="left"/>
        </w:tabs>
        <w:numPr>
          <w:ilvl w:val="0"/>
          <w:numId w:val="5"/>
        </w:numPr>
        <w:rPr>
          <w:rFonts w:ascii="Arial" w:cs="Arial" w:eastAsia="Arial" w:hAnsi="Arial"/>
          <w:sz w:val="16"/>
          <w:szCs w:val="16"/>
          <w:color w:val="auto"/>
        </w:rPr>
      </w:pPr>
      <w:r>
        <w:rPr>
          <w:rFonts w:ascii="Arial" w:cs="Arial" w:eastAsia="Arial" w:hAnsi="Arial"/>
          <w:sz w:val="16"/>
          <w:szCs w:val="16"/>
          <w:color w:val="auto"/>
        </w:rPr>
        <w:t>$1.0 million in subordinated debt was valued using the asset approach.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7"/>
          <w:szCs w:val="17"/>
          <w:color w:val="auto"/>
        </w:rPr>
        <w:t>The valuation techniques and significant unobservable inputs used in recurring Level 3 fair value measurements of assets and (liabilities)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18"/>
                <w:szCs w:val="18"/>
                <w:color w:val="auto"/>
              </w:rPr>
            </w:pPr>
          </w:p>
        </w:tc>
        <w:tc>
          <w:tcPr>
            <w:tcW w:w="2400" w:type="dxa"/>
            <w:vAlign w:val="bottom"/>
            <w:gridSpan w:val="2"/>
          </w:tcPr>
          <w:p>
            <w:pPr>
              <w:ind w:left="780"/>
              <w:spacing w:after="0"/>
              <w:rPr>
                <w:sz w:val="20"/>
                <w:szCs w:val="20"/>
                <w:color w:val="auto"/>
              </w:rPr>
            </w:pPr>
            <w:r>
              <w:rPr>
                <w:rFonts w:ascii="Arial" w:cs="Arial" w:eastAsia="Arial" w:hAnsi="Arial"/>
                <w:sz w:val="18"/>
                <w:szCs w:val="18"/>
                <w:b w:val="1"/>
                <w:bCs w:val="1"/>
                <w:color w:val="auto"/>
              </w:rPr>
              <w:t>Valuation</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4"/>
        </w:trPr>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(in millions)</w:t>
            </w:r>
          </w:p>
        </w:tc>
        <w:tc>
          <w:tcPr>
            <w:tcW w:w="80" w:type="dxa"/>
            <w:vAlign w:val="bottom"/>
          </w:tcPr>
          <w:p>
            <w:pPr>
              <w:spacing w:after="0"/>
              <w:rPr>
                <w:sz w:val="20"/>
                <w:szCs w:val="20"/>
                <w:color w:val="auto"/>
              </w:rPr>
            </w:pPr>
          </w:p>
        </w:tc>
        <w:tc>
          <w:tcPr>
            <w:tcW w:w="2400" w:type="dxa"/>
            <w:vAlign w:val="bottom"/>
            <w:gridSpan w:val="2"/>
          </w:tcPr>
          <w:p>
            <w:pPr>
              <w:ind w:left="760"/>
              <w:spacing w:after="0"/>
              <w:rPr>
                <w:sz w:val="20"/>
                <w:szCs w:val="20"/>
                <w:color w:val="auto"/>
              </w:rPr>
            </w:pPr>
            <w:r>
              <w:rPr>
                <w:rFonts w:ascii="Arial" w:cs="Arial" w:eastAsia="Arial" w:hAnsi="Arial"/>
                <w:sz w:val="18"/>
                <w:szCs w:val="18"/>
                <w:b w:val="1"/>
                <w:bCs w:val="1"/>
                <w:color w:val="auto"/>
              </w:rPr>
              <w:t>Approach</w:t>
            </w:r>
          </w:p>
        </w:tc>
        <w:tc>
          <w:tcPr>
            <w:tcW w:w="2960" w:type="dxa"/>
            <w:vAlign w:val="bottom"/>
            <w:gridSpan w:val="2"/>
          </w:tcPr>
          <w:p>
            <w:pPr>
              <w:ind w:left="640"/>
              <w:spacing w:after="0"/>
              <w:rPr>
                <w:sz w:val="20"/>
                <w:szCs w:val="20"/>
                <w:color w:val="auto"/>
              </w:rPr>
            </w:pPr>
            <w:r>
              <w:rPr>
                <w:rFonts w:ascii="Arial" w:cs="Arial" w:eastAsia="Arial" w:hAnsi="Arial"/>
                <w:sz w:val="18"/>
                <w:szCs w:val="18"/>
                <w:b w:val="1"/>
                <w:bCs w:val="1"/>
                <w:color w:val="auto"/>
              </w:rPr>
              <w:t>Unobservable Input</w:t>
            </w:r>
          </w:p>
        </w:tc>
        <w:tc>
          <w:tcPr>
            <w:tcW w:w="2840" w:type="dxa"/>
            <w:vAlign w:val="bottom"/>
          </w:tcPr>
          <w:p>
            <w:pPr>
              <w:ind w:left="400"/>
              <w:spacing w:after="0"/>
              <w:rPr>
                <w:sz w:val="20"/>
                <w:szCs w:val="20"/>
                <w:color w:val="auto"/>
              </w:rPr>
            </w:pPr>
            <w:r>
              <w:rPr>
                <w:rFonts w:ascii="Arial" w:cs="Arial" w:eastAsia="Arial" w:hAnsi="Arial"/>
                <w:sz w:val="18"/>
                <w:szCs w:val="18"/>
                <w:b w:val="1"/>
                <w:bCs w:val="1"/>
                <w:color w:val="auto"/>
              </w:rPr>
              <w:t>Range (Weighted Average)</w:t>
            </w:r>
          </w:p>
        </w:tc>
      </w:tr>
      <w:tr>
        <w:trPr>
          <w:trHeight w:val="195"/>
        </w:trPr>
        <w:tc>
          <w:tcPr>
            <w:tcW w:w="15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 lien debt</w:t>
            </w:r>
          </w:p>
        </w:tc>
        <w:tc>
          <w:tcPr>
            <w:tcW w:w="200" w:type="dxa"/>
            <w:vAlign w:val="bottom"/>
            <w:tcBorders>
              <w:top w:val="single" w:sz="8" w:color="auto"/>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211.2</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120" w:type="dxa"/>
            <w:vAlign w:val="bottom"/>
            <w:tcBorders>
              <w:top w:val="single" w:sz="8" w:color="CCEEFF"/>
            </w:tcBorders>
            <w:shd w:val="clear" w:color="auto" w:fill="CCEEFF"/>
          </w:tcPr>
          <w:p>
            <w:pPr>
              <w:spacing w:after="0"/>
              <w:rPr>
                <w:sz w:val="16"/>
                <w:szCs w:val="16"/>
                <w:color w:val="auto"/>
              </w:rPr>
            </w:pPr>
          </w:p>
        </w:tc>
        <w:tc>
          <w:tcPr>
            <w:tcW w:w="2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Required Rate of Return</w:t>
            </w:r>
          </w:p>
        </w:tc>
        <w:tc>
          <w:tcPr>
            <w:tcW w:w="120" w:type="dxa"/>
            <w:vAlign w:val="bottom"/>
            <w:tcBorders>
              <w:top w:val="single" w:sz="8" w:color="CCEEFF"/>
            </w:tcBorders>
            <w:shd w:val="clear" w:color="auto" w:fill="CCEEFF"/>
          </w:tcPr>
          <w:p>
            <w:pPr>
              <w:spacing w:after="0"/>
              <w:rPr>
                <w:sz w:val="16"/>
                <w:szCs w:val="16"/>
                <w:color w:val="auto"/>
              </w:rPr>
            </w:pPr>
          </w:p>
        </w:tc>
        <w:tc>
          <w:tcPr>
            <w:tcW w:w="2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8.6% – 21.2% (13.5%)</w:t>
            </w:r>
          </w:p>
        </w:tc>
      </w:tr>
      <w:tr>
        <w:trPr>
          <w:trHeight w:val="216"/>
        </w:trPr>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1.7x – 7.0x (3.6x)</w:t>
            </w:r>
          </w:p>
        </w:tc>
      </w:tr>
      <w:tr>
        <w:trPr>
          <w:trHeight w:val="216"/>
        </w:trPr>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$1.8 million – $131.2 million</w:t>
            </w:r>
          </w:p>
        </w:tc>
      </w:tr>
      <w:tr>
        <w:trPr>
          <w:trHeight w:val="230"/>
        </w:trPr>
        <w:tc>
          <w:tcPr>
            <w:tcW w:w="1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($21.1 million)</w:t>
            </w:r>
          </w:p>
        </w:tc>
      </w:tr>
      <w:tr>
        <w:trPr>
          <w:trHeight w:val="202"/>
        </w:trPr>
        <w:tc>
          <w:tcPr>
            <w:tcW w:w="1500" w:type="dxa"/>
            <w:vAlign w:val="bottom"/>
          </w:tcPr>
          <w:p>
            <w:pPr>
              <w:spacing w:after="0" w:line="201" w:lineRule="exact"/>
              <w:rPr>
                <w:sz w:val="20"/>
                <w:szCs w:val="20"/>
                <w:color w:val="auto"/>
              </w:rPr>
            </w:pPr>
            <w:r>
              <w:rPr>
                <w:rFonts w:ascii="Arial" w:cs="Arial" w:eastAsia="Arial" w:hAnsi="Arial"/>
                <w:sz w:val="18"/>
                <w:szCs w:val="18"/>
                <w:color w:val="auto"/>
              </w:rPr>
              <w:t>First lien debt</w:t>
            </w: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32.3</w:t>
            </w:r>
          </w:p>
        </w:tc>
        <w:tc>
          <w:tcPr>
            <w:tcW w:w="248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7"/>
              </w:rPr>
              <w:t>Enterprise Value Waterfall and</w:t>
            </w:r>
          </w:p>
        </w:tc>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EBITDA Multiple</w:t>
            </w: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4.0x – 7.0x (5.5x)</w:t>
            </w:r>
          </w:p>
        </w:tc>
      </w:tr>
      <w:tr>
        <w:trPr>
          <w:trHeight w:val="217"/>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3"/>
          </w:tcPr>
          <w:p>
            <w:pPr>
              <w:ind w:left="80"/>
              <w:spacing w:after="0" w:line="217" w:lineRule="exact"/>
              <w:rPr>
                <w:sz w:val="20"/>
                <w:szCs w:val="20"/>
                <w:color w:val="auto"/>
              </w:rPr>
            </w:pPr>
            <w:r>
              <w:rPr>
                <w:rFonts w:ascii="Arial" w:cs="Arial" w:eastAsia="Arial" w:hAnsi="Arial"/>
                <w:sz w:val="16"/>
                <w:szCs w:val="16"/>
                <w:color w:val="auto"/>
              </w:rPr>
              <w:t xml:space="preserve">Asset </w:t>
            </w:r>
            <w:r>
              <w:rPr>
                <w:rFonts w:ascii="Arial" w:cs="Arial" w:eastAsia="Arial" w:hAnsi="Arial"/>
                <w:sz w:val="25"/>
                <w:szCs w:val="25"/>
                <w:color w:val="auto"/>
                <w:vertAlign w:val="superscript"/>
              </w:rPr>
              <w:t>(1)</w:t>
            </w:r>
          </w:p>
        </w:tc>
        <w:tc>
          <w:tcPr>
            <w:tcW w:w="29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840" w:type="dxa"/>
            <w:vAlign w:val="bottom"/>
          </w:tcPr>
          <w:p>
            <w:pPr>
              <w:spacing w:after="0"/>
              <w:rPr>
                <w:sz w:val="20"/>
                <w:szCs w:val="20"/>
                <w:color w:val="auto"/>
              </w:rPr>
            </w:pPr>
            <w:r>
              <w:rPr>
                <w:rFonts w:ascii="Arial" w:cs="Arial" w:eastAsia="Arial" w:hAnsi="Arial"/>
                <w:sz w:val="18"/>
                <w:szCs w:val="18"/>
                <w:color w:val="auto"/>
              </w:rPr>
              <w:t>$2.1 million – $3.1 million</w:t>
            </w:r>
          </w:p>
        </w:tc>
      </w:tr>
      <w:tr>
        <w:trPr>
          <w:trHeight w:val="230"/>
        </w:trPr>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($2.6 million)</w:t>
            </w:r>
          </w:p>
        </w:tc>
      </w:tr>
      <w:tr>
        <w:trPr>
          <w:trHeight w:val="202"/>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lien debt</w:t>
            </w:r>
          </w:p>
        </w:tc>
        <w:tc>
          <w:tcPr>
            <w:tcW w:w="20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30.8</w:t>
            </w:r>
          </w:p>
        </w:tc>
        <w:tc>
          <w:tcPr>
            <w:tcW w:w="24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Income</w:t>
            </w:r>
          </w:p>
        </w:tc>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Required Rate of Return</w:t>
            </w: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11.6% – 17.6% (14.4%)</w:t>
            </w:r>
          </w:p>
        </w:tc>
      </w:tr>
      <w:tr>
        <w:trPr>
          <w:trHeight w:val="216"/>
        </w:trPr>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4.9x – 7.0x (6.0x)</w:t>
            </w:r>
          </w:p>
        </w:tc>
      </w:tr>
      <w:tr>
        <w:trPr>
          <w:trHeight w:val="216"/>
        </w:trPr>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$7.3 million – $78.5 million</w:t>
            </w:r>
          </w:p>
        </w:tc>
      </w:tr>
      <w:tr>
        <w:trPr>
          <w:trHeight w:val="230"/>
        </w:trPr>
        <w:tc>
          <w:tcPr>
            <w:tcW w:w="1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($41.1 million)</w:t>
            </w:r>
          </w:p>
        </w:tc>
      </w:tr>
      <w:tr>
        <w:trPr>
          <w:trHeight w:val="202"/>
        </w:trPr>
        <w:tc>
          <w:tcPr>
            <w:tcW w:w="1500" w:type="dxa"/>
            <w:vAlign w:val="bottom"/>
          </w:tcPr>
          <w:p>
            <w:pPr>
              <w:spacing w:after="0" w:line="201" w:lineRule="exact"/>
              <w:rPr>
                <w:sz w:val="20"/>
                <w:szCs w:val="20"/>
                <w:color w:val="auto"/>
              </w:rPr>
            </w:pPr>
            <w:r>
              <w:rPr>
                <w:rFonts w:ascii="Arial" w:cs="Arial" w:eastAsia="Arial" w:hAnsi="Arial"/>
                <w:sz w:val="18"/>
                <w:szCs w:val="18"/>
                <w:color w:val="auto"/>
              </w:rPr>
              <w:t>Subordinated debt</w:t>
            </w: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64.4</w:t>
            </w:r>
          </w:p>
        </w:tc>
        <w:tc>
          <w:tcPr>
            <w:tcW w:w="248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Income</w:t>
            </w:r>
          </w:p>
        </w:tc>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Required Rate of Return</w:t>
            </w: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11.5% – 19.0% (14.2%)</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Leverage Ratio</w:t>
            </w:r>
          </w:p>
        </w:tc>
        <w:tc>
          <w:tcPr>
            <w:tcW w:w="2840" w:type="dxa"/>
            <w:vAlign w:val="bottom"/>
          </w:tcPr>
          <w:p>
            <w:pPr>
              <w:spacing w:after="0"/>
              <w:rPr>
                <w:sz w:val="20"/>
                <w:szCs w:val="20"/>
                <w:color w:val="auto"/>
              </w:rPr>
            </w:pPr>
            <w:r>
              <w:rPr>
                <w:rFonts w:ascii="Arial" w:cs="Arial" w:eastAsia="Arial" w:hAnsi="Arial"/>
                <w:sz w:val="18"/>
                <w:szCs w:val="18"/>
                <w:color w:val="auto"/>
              </w:rPr>
              <w:t>3.2x – 8.1x (5.6x)</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840" w:type="dxa"/>
            <w:vAlign w:val="bottom"/>
          </w:tcPr>
          <w:p>
            <w:pPr>
              <w:spacing w:after="0"/>
              <w:rPr>
                <w:sz w:val="20"/>
                <w:szCs w:val="20"/>
                <w:color w:val="auto"/>
              </w:rPr>
            </w:pPr>
            <w:r>
              <w:rPr>
                <w:rFonts w:ascii="Arial" w:cs="Arial" w:eastAsia="Arial" w:hAnsi="Arial"/>
                <w:sz w:val="18"/>
                <w:szCs w:val="18"/>
                <w:color w:val="auto"/>
              </w:rPr>
              <w:t>3.2 million – $15.1 million ($9.7</w:t>
            </w:r>
          </w:p>
        </w:tc>
      </w:tr>
      <w:tr>
        <w:trPr>
          <w:trHeight w:val="230"/>
        </w:trPr>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million)</w:t>
            </w:r>
          </w:p>
        </w:tc>
      </w:tr>
      <w:tr>
        <w:trPr>
          <w:trHeight w:val="202"/>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Subordinated debt</w:t>
            </w:r>
          </w:p>
        </w:tc>
        <w:tc>
          <w:tcPr>
            <w:tcW w:w="20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39.0</w:t>
            </w:r>
          </w:p>
        </w:tc>
        <w:tc>
          <w:tcPr>
            <w:tcW w:w="24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7"/>
              </w:rPr>
              <w:t>Enterprise Value Waterfall and</w:t>
            </w:r>
          </w:p>
        </w:tc>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EBITDA Multiple</w:t>
            </w: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6.0x – 7.5x (7.2x)</w:t>
            </w:r>
          </w:p>
        </w:tc>
      </w:tr>
      <w:tr>
        <w:trPr>
          <w:trHeight w:val="217"/>
        </w:trPr>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80"/>
              <w:spacing w:after="0" w:line="217" w:lineRule="exact"/>
              <w:rPr>
                <w:sz w:val="20"/>
                <w:szCs w:val="20"/>
                <w:color w:val="auto"/>
              </w:rPr>
            </w:pPr>
            <w:r>
              <w:rPr>
                <w:rFonts w:ascii="Arial" w:cs="Arial" w:eastAsia="Arial" w:hAnsi="Arial"/>
                <w:sz w:val="16"/>
                <w:szCs w:val="16"/>
                <w:color w:val="auto"/>
              </w:rPr>
              <w:t xml:space="preserve">Asset </w:t>
            </w:r>
            <w:r>
              <w:rPr>
                <w:rFonts w:ascii="Arial" w:cs="Arial" w:eastAsia="Arial" w:hAnsi="Arial"/>
                <w:sz w:val="25"/>
                <w:szCs w:val="25"/>
                <w:color w:val="auto"/>
                <w:vertAlign w:val="superscript"/>
              </w:rPr>
              <w:t>(1)</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$1.8 million – $30.1 million ($21.2</w:t>
            </w:r>
          </w:p>
        </w:tc>
      </w:tr>
      <w:tr>
        <w:trPr>
          <w:trHeight w:val="215"/>
        </w:trPr>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r>
      <w:tr>
        <w:trPr>
          <w:trHeight w:val="216"/>
        </w:trPr>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Multiple</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0.2x – 0.2x (0.2x)</w:t>
            </w:r>
          </w:p>
        </w:tc>
      </w:tr>
      <w:tr>
        <w:trPr>
          <w:trHeight w:val="216"/>
        </w:trPr>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$150.7 million – $150.7 million</w:t>
            </w:r>
          </w:p>
        </w:tc>
      </w:tr>
      <w:tr>
        <w:trPr>
          <w:trHeight w:val="230"/>
        </w:trPr>
        <w:tc>
          <w:tcPr>
            <w:tcW w:w="1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($150.7 million)</w:t>
            </w:r>
          </w:p>
        </w:tc>
      </w:tr>
      <w:tr>
        <w:trPr>
          <w:trHeight w:val="202"/>
        </w:trPr>
        <w:tc>
          <w:tcPr>
            <w:tcW w:w="1500" w:type="dxa"/>
            <w:vAlign w:val="bottom"/>
          </w:tcPr>
          <w:p>
            <w:pPr>
              <w:spacing w:after="0" w:line="201" w:lineRule="exact"/>
              <w:rPr>
                <w:sz w:val="20"/>
                <w:szCs w:val="20"/>
                <w:color w:val="auto"/>
              </w:rPr>
            </w:pPr>
            <w:r>
              <w:rPr>
                <w:rFonts w:ascii="Arial" w:cs="Arial" w:eastAsia="Arial" w:hAnsi="Arial"/>
                <w:sz w:val="18"/>
                <w:szCs w:val="18"/>
                <w:color w:val="auto"/>
              </w:rPr>
              <w:t>Equity and</w:t>
            </w: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122.3</w:t>
            </w:r>
          </w:p>
        </w:tc>
        <w:tc>
          <w:tcPr>
            <w:tcW w:w="140" w:type="dxa"/>
            <w:vAlign w:val="bottom"/>
          </w:tcPr>
          <w:p>
            <w:pPr>
              <w:spacing w:after="0"/>
              <w:rPr>
                <w:sz w:val="17"/>
                <w:szCs w:val="17"/>
                <w:color w:val="auto"/>
              </w:rPr>
            </w:pPr>
          </w:p>
        </w:tc>
        <w:tc>
          <w:tcPr>
            <w:tcW w:w="248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Enterprise Value Waterfall</w:t>
            </w:r>
          </w:p>
        </w:tc>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EBITDA Multiple</w:t>
            </w: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3.5x – 14.5x (7.9x)</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840" w:type="dxa"/>
            <w:vAlign w:val="bottom"/>
          </w:tcPr>
          <w:p>
            <w:pPr>
              <w:spacing w:after="0"/>
              <w:rPr>
                <w:sz w:val="20"/>
                <w:szCs w:val="20"/>
                <w:color w:val="auto"/>
              </w:rPr>
            </w:pPr>
            <w:r>
              <w:rPr>
                <w:rFonts w:ascii="Arial" w:cs="Arial" w:eastAsia="Arial" w:hAnsi="Arial"/>
                <w:sz w:val="18"/>
                <w:szCs w:val="18"/>
                <w:color w:val="auto"/>
              </w:rPr>
              <w:t>$1.8 million – $77.6 million ($24.3</w:t>
            </w:r>
          </w:p>
        </w:tc>
      </w:tr>
      <w:tr>
        <w:trPr>
          <w:trHeight w:val="230"/>
        </w:trPr>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million)</w:t>
            </w:r>
          </w:p>
        </w:tc>
      </w:tr>
      <w:tr>
        <w:trPr>
          <w:trHeight w:val="202"/>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Written Call</w:t>
            </w:r>
          </w:p>
        </w:tc>
        <w:tc>
          <w:tcPr>
            <w:tcW w:w="20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(6.8)</w:t>
            </w:r>
          </w:p>
        </w:tc>
        <w:tc>
          <w:tcPr>
            <w:tcW w:w="24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Enterprise Value Waterfall</w:t>
            </w:r>
          </w:p>
        </w:tc>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EBITDA Multiple</w:t>
            </w: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7.25x – 7.25x (7.25x)</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Option</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$30.1 million – $30.1 million</w:t>
            </w:r>
          </w:p>
        </w:tc>
      </w:tr>
      <w:tr>
        <w:trPr>
          <w:trHeight w:val="230"/>
        </w:trPr>
        <w:tc>
          <w:tcPr>
            <w:tcW w:w="1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($30.1 million)</w:t>
            </w:r>
          </w:p>
        </w:tc>
      </w:tr>
    </w:tbl>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 $1.0 million in subordinated debt and $1.9 million in first lien debt were valued using the asset approach</w:t>
      </w:r>
    </w:p>
    <w:p>
      <w:pPr>
        <w:spacing w:after="0" w:line="225" w:lineRule="exact"/>
        <w:rPr>
          <w:sz w:val="20"/>
          <w:szCs w:val="20"/>
          <w:color w:val="auto"/>
        </w:rPr>
      </w:pPr>
    </w:p>
    <w:p>
      <w:pPr>
        <w:jc w:val="both"/>
        <w:ind w:firstLine="707"/>
        <w:spacing w:after="0" w:line="279" w:lineRule="auto"/>
        <w:rPr>
          <w:sz w:val="20"/>
          <w:szCs w:val="20"/>
          <w:color w:val="auto"/>
        </w:rPr>
      </w:pPr>
      <w:r>
        <w:rPr>
          <w:rFonts w:ascii="Arial" w:cs="Arial" w:eastAsia="Arial" w:hAnsi="Arial"/>
          <w:sz w:val="17"/>
          <w:szCs w:val="17"/>
          <w:color w:val="231F20"/>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three months ended March 31, 2018, the Company had investments in portfolio companies designated as affiliates under the 1940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Amount of Interest, Fees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or Dividends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w:t>
            </w:r>
          </w:p>
        </w:tc>
        <w:tc>
          <w:tcPr>
            <w:tcW w:w="244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7"/>
              </w:rPr>
              <w:t>Type of Investment Principal Amount</w:t>
            </w: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Credited to</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Realized</w:t>
            </w:r>
          </w:p>
        </w:tc>
        <w:tc>
          <w:tcPr>
            <w:tcW w:w="6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Unrealized</w:t>
            </w: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244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20"/>
              <w:spacing w:after="0" w:line="176" w:lineRule="exact"/>
              <w:rPr>
                <w:sz w:val="20"/>
                <w:szCs w:val="20"/>
                <w:color w:val="auto"/>
              </w:rPr>
            </w:pPr>
            <w:r>
              <w:rPr>
                <w:rFonts w:ascii="Arial" w:cs="Arial" w:eastAsia="Arial" w:hAnsi="Arial"/>
                <w:sz w:val="13"/>
                <w:szCs w:val="13"/>
                <w:b w:val="1"/>
                <w:bCs w:val="1"/>
                <w:color w:val="auto"/>
                <w:w w:val="94"/>
              </w:rPr>
              <w:t xml:space="preserve">Income </w:t>
            </w:r>
            <w:r>
              <w:rPr>
                <w:rFonts w:ascii="Arial" w:cs="Arial" w:eastAsia="Arial" w:hAnsi="Arial"/>
                <w:sz w:val="20"/>
                <w:szCs w:val="20"/>
                <w:b w:val="1"/>
                <w:bCs w:val="1"/>
                <w:color w:val="auto"/>
                <w:w w:val="94"/>
                <w:vertAlign w:val="superscript"/>
              </w:rPr>
              <w:t>(1)</w:t>
            </w:r>
          </w:p>
        </w:tc>
        <w:tc>
          <w:tcPr>
            <w:tcW w:w="16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5"/>
                <w:szCs w:val="15"/>
                <w:color w:val="auto"/>
              </w:rPr>
            </w:pPr>
          </w:p>
        </w:tc>
        <w:tc>
          <w:tcPr>
            <w:tcW w:w="84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 xml:space="preserve">Additions </w:t>
            </w:r>
            <w:r>
              <w:rPr>
                <w:rFonts w:ascii="Arial" w:cs="Arial" w:eastAsia="Arial" w:hAnsi="Arial"/>
                <w:sz w:val="20"/>
                <w:szCs w:val="20"/>
                <w:b w:val="1"/>
                <w:bCs w:val="1"/>
                <w:color w:val="auto"/>
                <w:vertAlign w:val="superscript"/>
              </w:rPr>
              <w:t>(2)</w:t>
            </w:r>
          </w:p>
        </w:tc>
        <w:tc>
          <w:tcPr>
            <w:tcW w:w="1040" w:type="dxa"/>
            <w:vAlign w:val="bottom"/>
            <w:gridSpan w:val="4"/>
          </w:tcPr>
          <w:p>
            <w:pPr>
              <w:ind w:left="60"/>
              <w:spacing w:after="0" w:line="176" w:lineRule="exact"/>
              <w:rPr>
                <w:sz w:val="20"/>
                <w:szCs w:val="20"/>
                <w:color w:val="auto"/>
              </w:rPr>
            </w:pPr>
            <w:r>
              <w:rPr>
                <w:rFonts w:ascii="Arial" w:cs="Arial" w:eastAsia="Arial" w:hAnsi="Arial"/>
                <w:sz w:val="13"/>
                <w:szCs w:val="13"/>
                <w:b w:val="1"/>
                <w:bCs w:val="1"/>
                <w:color w:val="auto"/>
              </w:rPr>
              <w:t xml:space="preserve">Reductions </w:t>
            </w:r>
            <w:r>
              <w:rPr>
                <w:rFonts w:ascii="Arial" w:cs="Arial" w:eastAsia="Arial" w:hAnsi="Arial"/>
                <w:sz w:val="20"/>
                <w:szCs w:val="20"/>
                <w:b w:val="1"/>
                <w:bCs w:val="1"/>
                <w:color w:val="auto"/>
                <w:vertAlign w:val="superscript"/>
              </w:rPr>
              <w:t>(3)</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Gain/(Loss)</w:t>
            </w:r>
          </w:p>
        </w:tc>
        <w:tc>
          <w:tcPr>
            <w:tcW w:w="6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i w:val="1"/>
                <w:iCs w:val="1"/>
                <w:color w:val="auto"/>
              </w:rPr>
              <w:t>Affiliate investments</w:t>
            </w: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1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Debt</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 Cash, 4% PIK,</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8/24/19)</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16,004</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318</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15,603</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15,952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Membership Units</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(2.19% fully</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Warrants (37.78%</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fully diluted)</w:t>
            </w:r>
          </w:p>
        </w:tc>
        <w:tc>
          <w:tcPr>
            <w:tcW w:w="3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318</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15,603</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15,952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Burgaflex Holdings,</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 Cash, 1%</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PIK, Due 3/23/21)</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14,688</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14,688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14,688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Burgaflex Holdings,</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 Cash, Due</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8/9/19)</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3,000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Burgaflex Holdings,</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 Cash, Due</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8/9/19)</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199</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5,828</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(5,828)</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Burgaflex Holdings,</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Class A (1,253,198</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Burgaflex Holdings,</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Class B (900,000</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w:t>
            </w:r>
          </w:p>
        </w:tc>
        <w:tc>
          <w:tcPr>
            <w:tcW w:w="3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354</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9,285</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14,988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(8,828)</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14,988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Chef'n Corporation</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Series A Preferred</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(1,000,000</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w:t>
            </w:r>
          </w:p>
        </w:tc>
        <w:tc>
          <w:tcPr>
            <w:tcW w:w="3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(644)</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644</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(644)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644</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 Cash, Due</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10/20/19)</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8,231</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268</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8,231</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440" w:type="dxa"/>
            <w:vAlign w:val="bottom"/>
            <w:gridSpan w:val="3"/>
            <w:shd w:val="clear" w:color="auto" w:fill="CCEEFF"/>
          </w:tcPr>
          <w:p>
            <w:pPr>
              <w:spacing w:after="0" w:line="162" w:lineRule="exact"/>
              <w:rPr>
                <w:sz w:val="20"/>
                <w:szCs w:val="20"/>
                <w:color w:val="auto"/>
              </w:rPr>
            </w:pPr>
            <w:r>
              <w:rPr>
                <w:rFonts w:ascii="Arial" w:cs="Arial" w:eastAsia="Arial" w:hAnsi="Arial"/>
                <w:sz w:val="12"/>
                <w:szCs w:val="12"/>
                <w:color w:val="auto"/>
              </w:rPr>
              <w:t xml:space="preserve">City Gear, LLC </w:t>
            </w:r>
            <w:r>
              <w:rPr>
                <w:rFonts w:ascii="Arial" w:cs="Arial" w:eastAsia="Arial" w:hAnsi="Arial"/>
                <w:sz w:val="18"/>
                <w:szCs w:val="18"/>
                <w:color w:val="auto"/>
                <w:vertAlign w:val="superscript"/>
              </w:rPr>
              <w:t>(5)</w:t>
            </w: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Preferred</w:t>
            </w: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Membership Units</w:t>
            </w:r>
          </w:p>
        </w:tc>
        <w:tc>
          <w:tcPr>
            <w:tcW w:w="3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(2.78% fully</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9% Cash</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1,269</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Membership Unit</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Warrants (11.38%</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fully diluted)</w:t>
            </w:r>
          </w:p>
        </w:tc>
        <w:tc>
          <w:tcPr>
            <w:tcW w:w="3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8,248</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(617)</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17,748</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(617)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17,131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GA Communications,</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5"/>
              </w:rPr>
              <w:t>Series A-1 Preferred</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440" w:type="dxa"/>
            <w:vAlign w:val="bottom"/>
            <w:gridSpan w:val="3"/>
            <w:shd w:val="clear" w:color="auto" w:fill="CCEEFF"/>
          </w:tcPr>
          <w:p>
            <w:pPr>
              <w:spacing w:after="0" w:line="161" w:lineRule="exact"/>
              <w:rPr>
                <w:sz w:val="20"/>
                <w:szCs w:val="20"/>
                <w:color w:val="auto"/>
              </w:rPr>
            </w:pPr>
            <w:r>
              <w:rPr>
                <w:rFonts w:ascii="Arial" w:cs="Arial" w:eastAsia="Arial" w:hAnsi="Arial"/>
                <w:sz w:val="12"/>
                <w:szCs w:val="12"/>
                <w:color w:val="auto"/>
              </w:rPr>
              <w:t xml:space="preserve">Inc. </w:t>
            </w:r>
            <w:r>
              <w:rPr>
                <w:rFonts w:ascii="Arial" w:cs="Arial" w:eastAsia="Arial" w:hAnsi="Arial"/>
                <w:sz w:val="18"/>
                <w:szCs w:val="18"/>
                <w:color w:val="auto"/>
                <w:vertAlign w:val="superscript"/>
              </w:rPr>
              <w:t>(5)</w:t>
            </w: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4"/>
              </w:rPr>
              <w:t>Stock (1,998 shares,</w:t>
            </w:r>
          </w:p>
        </w:tc>
        <w:tc>
          <w:tcPr>
            <w:tcW w:w="3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3,225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66</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8% PIK Dividend)</w:t>
            </w:r>
          </w:p>
        </w:tc>
        <w:tc>
          <w:tcPr>
            <w:tcW w:w="3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GA Communications,</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6"/>
              </w:rPr>
              <w:t>Series B-1 Common</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Inc.</w:t>
            </w: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(200,000</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w:t>
            </w:r>
          </w:p>
        </w:tc>
        <w:tc>
          <w:tcPr>
            <w:tcW w:w="3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1,932</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5,157</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Inc.</w:t>
            </w: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 Cash, Due</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6/16/19)</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6,406</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6,170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w:t>
            </w: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(8,182 shares)</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Inc.</w:t>
            </w: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Warrants (6,369</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w:t>
            </w:r>
          </w:p>
        </w:tc>
        <w:tc>
          <w:tcPr>
            <w:tcW w:w="3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6,170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LJS Partners, LLC</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(1,500,000 shares)</w:t>
            </w:r>
          </w:p>
        </w:tc>
        <w:tc>
          <w:tcPr>
            <w:tcW w:w="3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7,650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7,650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 Cash, Due</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1/31/19)</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2,600</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2,600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Subordinated Debt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w:t>
            </w: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(6% Cash, Due</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1/31/19)</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400" w:type="dxa"/>
            <w:vAlign w:val="bottom"/>
            <w:gridSpan w:val="3"/>
            <w:shd w:val="clear" w:color="auto" w:fill="CCEEFF"/>
          </w:tcPr>
          <w:p>
            <w:pPr>
              <w:spacing w:after="0" w:line="162" w:lineRule="exact"/>
              <w:rPr>
                <w:sz w:val="20"/>
                <w:szCs w:val="20"/>
                <w:color w:val="auto"/>
              </w:rPr>
            </w:pPr>
            <w:r>
              <w:rPr>
                <w:rFonts w:ascii="Arial" w:cs="Arial" w:eastAsia="Arial" w:hAnsi="Arial"/>
                <w:sz w:val="12"/>
                <w:szCs w:val="12"/>
                <w:color w:val="auto"/>
              </w:rPr>
              <w:t xml:space="preserve">MMI Holdings, LLC </w:t>
            </w:r>
            <w:r>
              <w:rPr>
                <w:rFonts w:ascii="Arial" w:cs="Arial" w:eastAsia="Arial" w:hAnsi="Arial"/>
                <w:sz w:val="18"/>
                <w:szCs w:val="18"/>
                <w:color w:val="auto"/>
                <w:vertAlign w:val="superscript"/>
              </w:rPr>
              <w:t>(5)</w:t>
            </w:r>
          </w:p>
        </w:tc>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Units</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580" w:type="dxa"/>
            <w:vAlign w:val="bottom"/>
            <w:shd w:val="clear" w:color="auto" w:fill="CCEEFF"/>
          </w:tcPr>
          <w:p>
            <w:pPr>
              <w:ind w:left="40"/>
              <w:spacing w:after="0" w:line="116" w:lineRule="exact"/>
              <w:rPr>
                <w:sz w:val="20"/>
                <w:szCs w:val="20"/>
                <w:color w:val="auto"/>
              </w:rPr>
            </w:pPr>
            <w:r>
              <w:rPr>
                <w:rFonts w:ascii="Arial" w:cs="Arial" w:eastAsia="Arial" w:hAnsi="Arial"/>
                <w:sz w:val="13"/>
                <w:szCs w:val="13"/>
                <w:color w:val="auto"/>
              </w:rPr>
              <w:t>(1,000 units, 6%</w:t>
            </w:r>
          </w:p>
        </w:tc>
        <w:tc>
          <w:tcPr>
            <w:tcW w:w="9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PIK Dividend)</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1,520</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5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Common</w:t>
            </w: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Membership Units</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(45 units)</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w:t>
            </w: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4,713</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MTI Holdings, LLC</w:t>
            </w:r>
          </w:p>
        </w:tc>
        <w:tc>
          <w:tcPr>
            <w:tcW w:w="15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Membership Units</w:t>
            </w: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(2,000,000 units)</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Sierra Hamilton</w:t>
            </w:r>
          </w:p>
        </w:tc>
        <w:tc>
          <w:tcPr>
            <w:tcW w:w="15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Common Stock</w:t>
            </w: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Corporation</w:t>
            </w:r>
          </w:p>
        </w:tc>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(15,068,000 shares)</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8,528</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8,891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8,528</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8,891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5"/>
              </w:rPr>
              <w:t>Source Capital Penray,</w:t>
            </w:r>
          </w:p>
        </w:tc>
        <w:tc>
          <w:tcPr>
            <w:tcW w:w="15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Membership Units</w:t>
            </w: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(11.3% ownership)</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STX Healthcare</w:t>
            </w:r>
          </w:p>
        </w:tc>
        <w:tc>
          <w:tcPr>
            <w:tcW w:w="15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Common Stock</w:t>
            </w: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6"/>
              </w:rPr>
              <w:t>Management Services,</w:t>
            </w:r>
          </w:p>
        </w:tc>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(1,200,000 shares)</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w:t>
            </w:r>
          </w:p>
        </w:tc>
        <w:tc>
          <w:tcPr>
            <w:tcW w:w="15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w:t>
            </w:r>
          </w:p>
        </w:tc>
        <w:tc>
          <w:tcPr>
            <w:tcW w:w="3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(93)</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w:t>
            </w: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(93)</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US Bath Group, LLC</w:t>
            </w:r>
          </w:p>
        </w:tc>
        <w:tc>
          <w:tcPr>
            <w:tcW w:w="15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w:t>
            </w: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(10.67% Cash (1</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month LIBOR +</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9.0%, 1% Floor),</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1/2/23)</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14,688</w:t>
            </w:r>
          </w:p>
        </w:tc>
        <w:tc>
          <w:tcPr>
            <w:tcW w:w="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614</w:t>
            </w: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15,000</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(313)</w:t>
            </w: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14,688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US Bath Group, LLC</w:t>
            </w:r>
          </w:p>
        </w:tc>
        <w:tc>
          <w:tcPr>
            <w:tcW w:w="15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Membership Units</w:t>
            </w: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(500,000 units)</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614</w:t>
            </w: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15,500</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(313)</w:t>
            </w: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15,188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U.S. Well Services,</w:t>
            </w:r>
          </w:p>
        </w:tc>
        <w:tc>
          <w:tcPr>
            <w:tcW w:w="15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w:t>
            </w: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(7.65% Cash (1</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month LIBOR +</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6%, 1% floor), Due</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2/2/22)</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2,299</w:t>
            </w:r>
          </w:p>
        </w:tc>
        <w:tc>
          <w:tcPr>
            <w:tcW w:w="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w:t>
            </w: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2,299</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2,299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U.S. Well Services,</w:t>
            </w:r>
          </w:p>
        </w:tc>
        <w:tc>
          <w:tcPr>
            <w:tcW w:w="15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w:t>
            </w: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(10.65% Cash (1</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month LIBOR +</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9%, 1% floor), Due</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2/2/22)</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9,713</w:t>
            </w:r>
          </w:p>
        </w:tc>
        <w:tc>
          <w:tcPr>
            <w:tcW w:w="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w:t>
            </w: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9,516</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197</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9,713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U.S. Well Services,</w:t>
            </w:r>
          </w:p>
        </w:tc>
        <w:tc>
          <w:tcPr>
            <w:tcW w:w="15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Class A Units</w:t>
            </w: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(5,680,688 Units)</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15,004</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U.S. Well Services,</w:t>
            </w:r>
          </w:p>
        </w:tc>
        <w:tc>
          <w:tcPr>
            <w:tcW w:w="15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Class B Units</w:t>
            </w: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(2,076,298 Units)</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w:t>
            </w: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27,774</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197</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27,971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Subordinated Debt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1,035</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1,035</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0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i w:val="1"/>
                <w:iCs w:val="1"/>
                <w:color w:val="auto"/>
              </w:rPr>
              <w:t>Total Affiliate</w:t>
            </w:r>
          </w:p>
        </w:tc>
        <w:tc>
          <w:tcPr>
            <w:tcW w:w="1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gridSpan w:val="3"/>
            <w:vMerge w:val="restart"/>
            <w:shd w:val="clear" w:color="auto" w:fill="CCEEFF"/>
          </w:tcPr>
          <w:p>
            <w:pPr>
              <w:jc w:val="right"/>
              <w:ind w:right="240"/>
              <w:spacing w:after="0" w:line="277" w:lineRule="exact"/>
              <w:rPr>
                <w:sz w:val="20"/>
                <w:szCs w:val="20"/>
                <w:color w:val="auto"/>
              </w:rPr>
            </w:pPr>
            <w:r>
              <w:rPr>
                <w:rFonts w:ascii="Arial" w:cs="Arial" w:eastAsia="Arial" w:hAnsi="Arial"/>
                <w:sz w:val="14"/>
                <w:szCs w:val="14"/>
                <w:color w:val="auto"/>
              </w:rPr>
              <w:t>(9,865</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jc w:val="right"/>
              <w:ind w:right="200"/>
              <w:spacing w:after="0" w:line="277" w:lineRule="exact"/>
              <w:rPr>
                <w:sz w:val="20"/>
                <w:szCs w:val="20"/>
                <w:color w:val="auto"/>
              </w:rPr>
            </w:pPr>
            <w:r>
              <w:rPr>
                <w:rFonts w:ascii="Arial" w:cs="Arial" w:eastAsia="Arial" w:hAnsi="Arial"/>
                <w:sz w:val="14"/>
                <w:szCs w:val="14"/>
                <w:color w:val="auto"/>
              </w:rPr>
              <w:t>(776</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w w:val="86"/>
              </w:rPr>
              <w:t>investments</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58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CCEEFF"/>
              <w:bottom w:val="single" w:sz="8" w:color="CCEEFF"/>
            </w:tcBorders>
            <w:gridSpan w:val="2"/>
            <w:shd w:val="clear" w:color="auto" w:fill="CCEEFF"/>
          </w:tcPr>
          <w:p>
            <w:pPr>
              <w:jc w:val="right"/>
              <w:ind w:right="560"/>
              <w:spacing w:after="0" w:line="129"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CCEEFF"/>
              <w:bottom w:val="single" w:sz="8" w:color="CCEEFF"/>
            </w:tcBorders>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1,970</w:t>
            </w:r>
          </w:p>
        </w:tc>
        <w:tc>
          <w:tcPr>
            <w:tcW w:w="380" w:type="dxa"/>
            <w:vAlign w:val="bottom"/>
            <w:tcBorders>
              <w:top w:val="single" w:sz="8" w:color="CCEEFF"/>
              <w:bottom w:val="single" w:sz="8" w:color="CCEEFF"/>
            </w:tcBorders>
            <w:shd w:val="clear" w:color="auto" w:fill="CCEEFF"/>
          </w:tcPr>
          <w:p>
            <w:pPr>
              <w:jc w:val="right"/>
              <w:ind w:right="228"/>
              <w:spacing w:after="0" w:line="12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CCEEFF"/>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103,957</w:t>
            </w:r>
          </w:p>
        </w:tc>
        <w:tc>
          <w:tcPr>
            <w:tcW w:w="280" w:type="dxa"/>
            <w:vAlign w:val="bottom"/>
            <w:tcBorders>
              <w:top w:val="single" w:sz="8" w:color="CCEEFF"/>
              <w:bottom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CCEEFF"/>
              <w:bottom w:val="single" w:sz="8" w:color="CCEEFF"/>
            </w:tcBorders>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30,972</w:t>
            </w:r>
          </w:p>
        </w:tc>
        <w:tc>
          <w:tcPr>
            <w:tcW w:w="340" w:type="dxa"/>
            <w:vAlign w:val="bottom"/>
            <w:tcBorders>
              <w:top w:val="single" w:sz="8" w:color="CCEEFF"/>
              <w:bottom w:val="single" w:sz="8" w:color="CCEEFF"/>
            </w:tcBorders>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CCEEFF"/>
              <w:bottom w:val="single" w:sz="8" w:color="CCEEFF"/>
            </w:tcBorders>
            <w:gridSpan w:val="3"/>
            <w:vMerge w:val="continue"/>
            <w:shd w:val="clear" w:color="auto" w:fill="CCEEFF"/>
          </w:tcPr>
          <w:p>
            <w:pPr>
              <w:spacing w:after="0"/>
              <w:rPr>
                <w:sz w:val="14"/>
                <w:szCs w:val="14"/>
                <w:color w:val="auto"/>
              </w:rPr>
            </w:pPr>
          </w:p>
        </w:tc>
        <w:tc>
          <w:tcPr>
            <w:tcW w:w="500" w:type="dxa"/>
            <w:vAlign w:val="bottom"/>
            <w:tcBorders>
              <w:top w:val="single" w:sz="8" w:color="CCEEFF"/>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724</w:t>
            </w:r>
          </w:p>
        </w:tc>
        <w:tc>
          <w:tcPr>
            <w:tcW w:w="340" w:type="dxa"/>
            <w:vAlign w:val="bottom"/>
            <w:tcBorders>
              <w:top w:val="single" w:sz="8" w:color="CCEEFF"/>
              <w:bottom w:val="single" w:sz="8" w:color="CCEEFF"/>
            </w:tcBorders>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CCEEFF"/>
              <w:bottom w:val="single" w:sz="8" w:color="CCEEFF"/>
            </w:tcBorders>
            <w:gridSpan w:val="3"/>
            <w:vMerge w:val="continue"/>
            <w:shd w:val="clear" w:color="auto" w:fill="CCEEFF"/>
          </w:tcPr>
          <w:p>
            <w:pPr>
              <w:spacing w:after="0"/>
              <w:rPr>
                <w:sz w:val="14"/>
                <w:szCs w:val="14"/>
                <w:color w:val="auto"/>
              </w:rPr>
            </w:pPr>
          </w:p>
        </w:tc>
        <w:tc>
          <w:tcPr>
            <w:tcW w:w="740" w:type="dxa"/>
            <w:vAlign w:val="bottom"/>
            <w:tcBorders>
              <w:top w:val="single" w:sz="8" w:color="CCEEFF"/>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125,012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6" w:name="page37"/>
    <w:bookmarkEnd w:id="3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Amount of Interest, Fees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or Dividends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w:t>
            </w:r>
          </w:p>
        </w:tc>
        <w:tc>
          <w:tcPr>
            <w:tcW w:w="40" w:type="dxa"/>
            <w:vAlign w:val="bottom"/>
          </w:tcPr>
          <w:p>
            <w:pPr>
              <w:spacing w:after="0"/>
              <w:rPr>
                <w:sz w:val="16"/>
                <w:szCs w:val="16"/>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7"/>
              </w:rPr>
              <w:t>Type of Investment Principal Amount</w:t>
            </w: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Credited to</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6"/>
                <w:szCs w:val="16"/>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Realized</w:t>
            </w:r>
          </w:p>
        </w:tc>
        <w:tc>
          <w:tcPr>
            <w:tcW w:w="6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Unrealized</w:t>
            </w: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6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20"/>
              <w:spacing w:after="0" w:line="176" w:lineRule="exact"/>
              <w:rPr>
                <w:sz w:val="20"/>
                <w:szCs w:val="20"/>
                <w:color w:val="auto"/>
              </w:rPr>
            </w:pPr>
            <w:r>
              <w:rPr>
                <w:rFonts w:ascii="Arial" w:cs="Arial" w:eastAsia="Arial" w:hAnsi="Arial"/>
                <w:sz w:val="13"/>
                <w:szCs w:val="13"/>
                <w:b w:val="1"/>
                <w:bCs w:val="1"/>
                <w:color w:val="auto"/>
                <w:w w:val="94"/>
              </w:rPr>
              <w:t xml:space="preserve">Income </w:t>
            </w:r>
            <w:r>
              <w:rPr>
                <w:rFonts w:ascii="Arial" w:cs="Arial" w:eastAsia="Arial" w:hAnsi="Arial"/>
                <w:sz w:val="20"/>
                <w:szCs w:val="20"/>
                <w:b w:val="1"/>
                <w:bCs w:val="1"/>
                <w:color w:val="auto"/>
                <w:w w:val="94"/>
                <w:vertAlign w:val="superscript"/>
              </w:rPr>
              <w:t>(1)</w:t>
            </w:r>
          </w:p>
        </w:tc>
        <w:tc>
          <w:tcPr>
            <w:tcW w:w="16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Additions </w:t>
            </w:r>
            <w:r>
              <w:rPr>
                <w:rFonts w:ascii="Arial" w:cs="Arial" w:eastAsia="Arial" w:hAnsi="Arial"/>
                <w:sz w:val="20"/>
                <w:szCs w:val="20"/>
                <w:b w:val="1"/>
                <w:bCs w:val="1"/>
                <w:color w:val="auto"/>
                <w:vertAlign w:val="superscript"/>
              </w:rPr>
              <w:t>(2)</w:t>
            </w:r>
          </w:p>
        </w:tc>
        <w:tc>
          <w:tcPr>
            <w:tcW w:w="100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Reductions </w:t>
            </w:r>
            <w:r>
              <w:rPr>
                <w:rFonts w:ascii="Arial" w:cs="Arial" w:eastAsia="Arial" w:hAnsi="Arial"/>
                <w:sz w:val="20"/>
                <w:szCs w:val="20"/>
                <w:b w:val="1"/>
                <w:bCs w:val="1"/>
                <w:color w:val="auto"/>
                <w:vertAlign w:val="superscript"/>
              </w:rPr>
              <w:t>(3)</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Gain/(Loss)</w:t>
            </w:r>
          </w:p>
        </w:tc>
        <w:tc>
          <w:tcPr>
            <w:tcW w:w="6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w w:val="98"/>
              </w:rPr>
              <w:t>Control investments</w:t>
            </w: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LLC</w:t>
            </w: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(12% Cash, 4%</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PIK, Due 5/24/18)   $</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12,497</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372</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12,373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(1,191)</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Common Stock</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LLC</w:t>
            </w: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(21.3% fully</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diluted)</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Common Stock</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LLC</w:t>
            </w: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Warrants (10% fully</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diluted)</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372</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12,551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(1,369)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Eastport Holdings,</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Subordinated Debt</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(15.02% Cash (3</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month LIBOR +</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13%, 0.5% Floor),</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Due 4/29/20)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16,500</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799</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16,500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187</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Eastport Holdings,</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Membership Units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6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(33.3% ownership)</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26,449</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26,449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799</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42,949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187</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42,949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Kelle's Transport</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(4%</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Service, LLC</w:t>
            </w:r>
          </w:p>
        </w:tc>
        <w:tc>
          <w:tcPr>
            <w:tcW w:w="16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Cash, Due 2/15/20)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2,227</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227</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Kelle's Transport</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LLC</w:t>
            </w: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(1.46% Cash, Due</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2/15/20)</w:t>
            </w: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13,674</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9,560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9,933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Kelle's Transport</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Membership Units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LLC</w:t>
            </w: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(27.5% fully</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diluted)</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71</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11,560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227</w:t>
            </w: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373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12,160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6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Micro Precision, LLC</w:t>
            </w:r>
          </w:p>
        </w:tc>
        <w:tc>
          <w:tcPr>
            <w:tcW w:w="1680" w:type="dxa"/>
            <w:vAlign w:val="bottom"/>
            <w:tcBorders>
              <w:top w:val="single" w:sz="8" w:color="CCEEFF"/>
            </w:tcBorders>
            <w:gridSpan w:val="4"/>
            <w:shd w:val="clear" w:color="auto" w:fill="CCEEFF"/>
          </w:tcPr>
          <w:p>
            <w:pPr>
              <w:ind w:left="40"/>
              <w:spacing w:after="0" w:line="110" w:lineRule="exact"/>
              <w:rPr>
                <w:sz w:val="20"/>
                <w:szCs w:val="20"/>
                <w:color w:val="auto"/>
              </w:rPr>
            </w:pPr>
            <w:r>
              <w:rPr>
                <w:rFonts w:ascii="Arial" w:cs="Arial" w:eastAsia="Arial" w:hAnsi="Arial"/>
                <w:sz w:val="12"/>
                <w:szCs w:val="12"/>
                <w:color w:val="auto"/>
              </w:rPr>
              <w:t>Subordinated Debt</w:t>
            </w:r>
          </w:p>
        </w:tc>
        <w:tc>
          <w:tcPr>
            <w:tcW w:w="7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3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(10% Cash, Due</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9/15/18)</w:t>
            </w: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1,862</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1,862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Subordinated Debt</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(14% Cash, 4%</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PIK, Due 9/15/18)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4,195</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4,154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4,195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Series A Preferred</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Units (47 units)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1,629</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(452)</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193</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7,645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(15% Cash, Due</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10/30/20)</w:t>
            </w: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7,500</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264</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6,500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Class A Preferred</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2"/>
                <w:szCs w:val="12"/>
                <w:color w:val="auto"/>
              </w:rPr>
              <w:t>(5)</w:t>
            </w: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Stock (1,000 shares,</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10% Cash</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Dividend)</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Common Stock</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(300,000 shares)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5,005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289</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12,505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13,758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On-Site Fuel Services,</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Subordinated Debt</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3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Inc.</w:t>
            </w:r>
          </w:p>
        </w:tc>
        <w:tc>
          <w:tcPr>
            <w:tcW w:w="1680" w:type="dxa"/>
            <w:vAlign w:val="bottom"/>
            <w:gridSpan w:val="4"/>
            <w:shd w:val="clear" w:color="auto" w:fill="CCEEFF"/>
          </w:tcPr>
          <w:p>
            <w:pPr>
              <w:ind w:left="40"/>
              <w:spacing w:after="0" w:line="159" w:lineRule="exact"/>
              <w:rPr>
                <w:sz w:val="20"/>
                <w:szCs w:val="20"/>
                <w:color w:val="auto"/>
              </w:rPr>
            </w:pPr>
            <w:r>
              <w:rPr>
                <w:rFonts w:ascii="Arial" w:cs="Arial" w:eastAsia="Arial" w:hAnsi="Arial"/>
                <w:sz w:val="14"/>
                <w:szCs w:val="14"/>
                <w:color w:val="auto"/>
              </w:rPr>
              <w:t>(18% Cash, Due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40"/>
              <w:spacing w:after="0" w:line="198" w:lineRule="exact"/>
              <w:rPr>
                <w:sz w:val="20"/>
                <w:szCs w:val="20"/>
                <w:color w:val="auto"/>
              </w:rPr>
            </w:pPr>
            <w:r>
              <w:rPr>
                <w:rFonts w:ascii="Arial" w:cs="Arial" w:eastAsia="Arial" w:hAnsi="Arial"/>
                <w:sz w:val="14"/>
                <w:szCs w:val="14"/>
                <w:color w:val="auto"/>
              </w:rPr>
              <w:t xml:space="preserve">12/19/18) </w:t>
            </w:r>
            <w:r>
              <w:rPr>
                <w:rFonts w:ascii="Arial" w:cs="Arial" w:eastAsia="Arial" w:hAnsi="Arial"/>
                <w:sz w:val="22"/>
                <w:szCs w:val="22"/>
                <w:color w:val="auto"/>
                <w:vertAlign w:val="superscript"/>
              </w:rPr>
              <w:t>(6)</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14,778</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On-Site Fuel Services,</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Series A Preferred</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w:t>
            </w: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Stock (32,782</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On-Site Fuel Services,</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Series B Preferred</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w:t>
            </w: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Stock (23,648</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On-Site Fuel Services,</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Common Stock</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16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(33,058 shares)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(8.69% Cash (1</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month LIBOR +</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7%, 1% floor, 2%</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ceiling), Due</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12/31/22)</w:t>
            </w: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2,040</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1,860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8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(8.69% Cash (1</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month LIBOR +</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7%, 1% floor, 5%</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ceiling), Due</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12/31/22)</w:t>
            </w: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4,500</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4,500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Portrait Studio, LLC</w:t>
            </w:r>
          </w:p>
        </w:tc>
        <w:tc>
          <w:tcPr>
            <w:tcW w:w="16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Preferred Units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2,450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(426)</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888"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(4,350,000 Units)</w:t>
            </w:r>
          </w:p>
        </w:tc>
        <w:tc>
          <w:tcPr>
            <w:tcW w:w="7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7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Membership Units</w:t>
            </w: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(150,000 Units)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8,810</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780</w:t>
            </w:r>
          </w:p>
        </w:tc>
        <w:tc>
          <w:tcPr>
            <w:tcW w:w="3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w:t>
            </w:r>
          </w:p>
        </w:tc>
        <w:tc>
          <w:tcPr>
            <w:tcW w:w="3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(426)</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30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i w:val="1"/>
                <w:iCs w:val="1"/>
                <w:color w:val="auto"/>
              </w:rPr>
              <w:t>Total Control</w:t>
            </w:r>
          </w:p>
        </w:tc>
        <w:tc>
          <w:tcPr>
            <w:tcW w:w="17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gridSpan w:val="3"/>
            <w:vMerge w:val="restart"/>
            <w:shd w:val="clear" w:color="auto" w:fill="CCEEFF"/>
          </w:tcPr>
          <w:p>
            <w:pPr>
              <w:jc w:val="right"/>
              <w:ind w:right="320"/>
              <w:spacing w:after="0" w:line="277" w:lineRule="exact"/>
              <w:rPr>
                <w:sz w:val="20"/>
                <w:szCs w:val="20"/>
                <w:color w:val="auto"/>
              </w:rPr>
            </w:pPr>
            <w:r>
              <w:rPr>
                <w:rFonts w:ascii="Arial" w:cs="Arial" w:eastAsia="Arial" w:hAnsi="Arial"/>
                <w:sz w:val="14"/>
                <w:szCs w:val="14"/>
                <w:color w:val="auto"/>
              </w:rPr>
              <w:t>(600</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gridSpan w:val="3"/>
            <w:vMerge w:val="restart"/>
            <w:shd w:val="clear" w:color="auto" w:fill="CCEEFF"/>
          </w:tcPr>
          <w:p>
            <w:pPr>
              <w:jc w:val="right"/>
              <w:ind w:right="200"/>
              <w:spacing w:after="0" w:line="277" w:lineRule="exact"/>
              <w:rPr>
                <w:sz w:val="20"/>
                <w:szCs w:val="20"/>
                <w:color w:val="auto"/>
              </w:rPr>
            </w:pPr>
            <w:r>
              <w:rPr>
                <w:rFonts w:ascii="Arial" w:cs="Arial" w:eastAsia="Arial" w:hAnsi="Arial"/>
                <w:sz w:val="14"/>
                <w:szCs w:val="14"/>
                <w:color w:val="auto"/>
              </w:rPr>
              <w:t>(1,750</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w w:val="86"/>
              </w:rPr>
              <w:t>investments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1780" w:type="dxa"/>
            <w:vAlign w:val="bottom"/>
            <w:tcBorders>
              <w:top w:val="single" w:sz="8" w:color="CCEEFF"/>
              <w:bottom w:val="single" w:sz="8" w:color="CCEEFF"/>
            </w:tcBorders>
            <w:shd w:val="clear" w:color="auto" w:fill="CCEEFF"/>
          </w:tcPr>
          <w:p>
            <w:pPr>
              <w:spacing w:after="0"/>
              <w:rPr>
                <w:sz w:val="14"/>
                <w:szCs w:val="14"/>
                <w:color w:val="auto"/>
              </w:rPr>
            </w:pPr>
          </w:p>
        </w:tc>
        <w:tc>
          <w:tcPr>
            <w:tcW w:w="1400" w:type="dxa"/>
            <w:vAlign w:val="bottom"/>
            <w:tcBorders>
              <w:top w:val="single" w:sz="8" w:color="CCEEFF"/>
              <w:bottom w:val="single" w:sz="8" w:color="CCEEFF"/>
            </w:tcBorders>
            <w:gridSpan w:val="2"/>
            <w:shd w:val="clear" w:color="auto" w:fill="CCEEFF"/>
          </w:tcPr>
          <w:p>
            <w:pPr>
              <w:jc w:val="right"/>
              <w:ind w:right="560"/>
              <w:spacing w:after="0" w:line="129"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CCEEFF"/>
              <w:bottom w:val="single" w:sz="8" w:color="CCEEFF"/>
            </w:tcBorders>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1,874</w:t>
            </w:r>
          </w:p>
        </w:tc>
        <w:tc>
          <w:tcPr>
            <w:tcW w:w="380" w:type="dxa"/>
            <w:vAlign w:val="bottom"/>
            <w:tcBorders>
              <w:top w:val="single" w:sz="8" w:color="CCEEFF"/>
              <w:bottom w:val="single" w:sz="8" w:color="CCEEFF"/>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CCEEFF"/>
              <w:bottom w:val="single" w:sz="8" w:color="CCEEFF"/>
            </w:tcBorders>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107,608</w:t>
            </w:r>
          </w:p>
        </w:tc>
        <w:tc>
          <w:tcPr>
            <w:tcW w:w="320" w:type="dxa"/>
            <w:vAlign w:val="bottom"/>
            <w:tcBorders>
              <w:top w:val="single" w:sz="8" w:color="CCEEFF"/>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CCEEFF"/>
              <w:bottom w:val="single" w:sz="8" w:color="CCEEFF"/>
            </w:tcBorders>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2,360</w:t>
            </w:r>
          </w:p>
        </w:tc>
        <w:tc>
          <w:tcPr>
            <w:tcW w:w="340" w:type="dxa"/>
            <w:vAlign w:val="bottom"/>
            <w:tcBorders>
              <w:top w:val="single" w:sz="8" w:color="CCEEFF"/>
              <w:bottom w:val="single" w:sz="8" w:color="CCEEFF"/>
            </w:tcBorders>
            <w:shd w:val="clear" w:color="auto" w:fill="CCEEFF"/>
          </w:tcPr>
          <w:p>
            <w:pPr>
              <w:jc w:val="right"/>
              <w:ind w:right="188"/>
              <w:spacing w:after="0" w:line="129"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CCEEFF"/>
              <w:bottom w:val="single" w:sz="8" w:color="CCEEFF"/>
            </w:tcBorders>
            <w:gridSpan w:val="3"/>
            <w:vMerge w:val="continue"/>
            <w:shd w:val="clear" w:color="auto" w:fill="CCEEFF"/>
          </w:tcPr>
          <w:p>
            <w:pPr>
              <w:spacing w:after="0"/>
              <w:rPr>
                <w:sz w:val="14"/>
                <w:szCs w:val="14"/>
                <w:color w:val="auto"/>
              </w:rPr>
            </w:pPr>
          </w:p>
        </w:tc>
        <w:tc>
          <w:tcPr>
            <w:tcW w:w="720" w:type="dxa"/>
            <w:vAlign w:val="bottom"/>
            <w:tcBorders>
              <w:top w:val="single" w:sz="8" w:color="CCEEFF"/>
              <w:bottom w:val="single" w:sz="8" w:color="CCEEFF"/>
            </w:tcBorders>
            <w:gridSpan w:val="3"/>
            <w:shd w:val="clear" w:color="auto" w:fill="CCEEFF"/>
          </w:tcPr>
          <w:p>
            <w:pPr>
              <w:ind w:left="300"/>
              <w:spacing w:after="0" w:line="129" w:lineRule="exact"/>
              <w:rPr>
                <w:sz w:val="20"/>
                <w:szCs w:val="20"/>
                <w:color w:val="auto"/>
              </w:rPr>
            </w:pPr>
            <w:r>
              <w:rPr>
                <w:rFonts w:ascii="Arial" w:cs="Arial" w:eastAsia="Arial" w:hAnsi="Arial"/>
                <w:sz w:val="14"/>
                <w:szCs w:val="14"/>
                <w:color w:val="auto"/>
              </w:rPr>
              <w:t>-  $</w:t>
            </w:r>
          </w:p>
        </w:tc>
        <w:tc>
          <w:tcPr>
            <w:tcW w:w="920" w:type="dxa"/>
            <w:vAlign w:val="bottom"/>
            <w:tcBorders>
              <w:top w:val="single" w:sz="8" w:color="CCEEFF"/>
              <w:bottom w:val="single" w:sz="8" w:color="CCEEFF"/>
            </w:tcBorders>
            <w:gridSpan w:val="3"/>
            <w:vMerge w:val="continue"/>
            <w:shd w:val="clear" w:color="auto" w:fill="CCEEFF"/>
          </w:tcPr>
          <w:p>
            <w:pPr>
              <w:spacing w:after="0"/>
              <w:rPr>
                <w:sz w:val="14"/>
                <w:szCs w:val="14"/>
                <w:color w:val="auto"/>
              </w:rPr>
            </w:pPr>
          </w:p>
        </w:tc>
        <w:tc>
          <w:tcPr>
            <w:tcW w:w="740" w:type="dxa"/>
            <w:vAlign w:val="bottom"/>
            <w:tcBorders>
              <w:top w:val="single" w:sz="8" w:color="CCEEFF"/>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107,618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8"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total amount of interest, fees or dividends credited to income for the portion of the year an investment was included in Control or Affiliate categories, respectively.</w:t>
      </w:r>
    </w:p>
    <w:p>
      <w:pPr>
        <w:spacing w:after="0" w:line="1" w:lineRule="exact"/>
        <w:rPr>
          <w:rFonts w:ascii="Arial" w:cs="Arial" w:eastAsia="Arial" w:hAnsi="Arial"/>
          <w:sz w:val="18"/>
          <w:szCs w:val="18"/>
          <w:color w:val="auto"/>
        </w:rPr>
      </w:pPr>
    </w:p>
    <w:p>
      <w:pPr>
        <w:ind w:right="540" w:firstLine="8"/>
        <w:spacing w:after="0" w:line="250"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portfolio investment, follow-on investments, accrued PIK and accretion of OID. Gross Additions also include transfers into affiliate or control classification.</w:t>
      </w: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total cost basis of investments resulting from principal or PIK repayments and sales.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6.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31F20"/>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non-interested directors. The Investment Advisory Agreement was most recently re-approved by the Board, including a majority of our non-interested directors, at an in-person meeting on August 3, 2017.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189" w:lineRule="exact"/>
        <w:rPr>
          <w:sz w:val="20"/>
          <w:szCs w:val="20"/>
          <w:color w:val="auto"/>
        </w:rPr>
      </w:pPr>
    </w:p>
    <w:p>
      <w:pPr>
        <w:ind w:left="800" w:hanging="144"/>
        <w:spacing w:after="0"/>
        <w:tabs>
          <w:tab w:leader="none" w:pos="800" w:val="left"/>
        </w:tabs>
        <w:numPr>
          <w:ilvl w:val="0"/>
          <w:numId w:val="7"/>
        </w:numPr>
        <w:rPr>
          <w:rFonts w:ascii="Arial" w:cs="Arial" w:eastAsia="Arial" w:hAnsi="Arial"/>
          <w:sz w:val="16"/>
          <w:szCs w:val="16"/>
          <w:color w:val="231F20"/>
        </w:rPr>
      </w:pPr>
      <w:r>
        <w:rPr>
          <w:rFonts w:ascii="Arial" w:cs="Arial" w:eastAsia="Arial" w:hAnsi="Arial"/>
          <w:sz w:val="16"/>
          <w:szCs w:val="16"/>
          <w:color w:val="231F20"/>
        </w:rPr>
        <w:t>determines the composition of our portfolio, the nature and timing of the changes to our portfolio and the manner of implementing such changes;</w:t>
      </w:r>
    </w:p>
    <w:p>
      <w:pPr>
        <w:spacing w:after="0" w:line="248" w:lineRule="exact"/>
        <w:rPr>
          <w:rFonts w:ascii="Arial" w:cs="Arial" w:eastAsia="Arial" w:hAnsi="Arial"/>
          <w:sz w:val="16"/>
          <w:szCs w:val="16"/>
          <w:color w:val="231F20"/>
        </w:rPr>
      </w:pPr>
    </w:p>
    <w:p>
      <w:pPr>
        <w:ind w:firstLine="656"/>
        <w:spacing w:after="0" w:line="277" w:lineRule="auto"/>
        <w:tabs>
          <w:tab w:leader="none" w:pos="84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231F20"/>
        </w:rPr>
      </w:pPr>
    </w:p>
    <w:p>
      <w:pPr>
        <w:ind w:left="800" w:hanging="144"/>
        <w:spacing w:after="0"/>
        <w:tabs>
          <w:tab w:leader="none" w:pos="80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closes and monitors the investments we make; and</w:t>
      </w:r>
    </w:p>
    <w:p>
      <w:pPr>
        <w:spacing w:after="0" w:line="225" w:lineRule="exact"/>
        <w:rPr>
          <w:rFonts w:ascii="Arial" w:cs="Arial" w:eastAsia="Arial" w:hAnsi="Arial"/>
          <w:sz w:val="18"/>
          <w:szCs w:val="18"/>
          <w:color w:val="231F20"/>
        </w:rPr>
      </w:pPr>
    </w:p>
    <w:p>
      <w:pPr>
        <w:ind w:left="800" w:hanging="144"/>
        <w:spacing w:after="0"/>
        <w:tabs>
          <w:tab w:leader="none" w:pos="80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provides us with other investment advisory, research and related services as we may from time to time require.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31F20"/>
        </w:rPr>
        <w:t>Pursuant to the Investment Advisory Agreement, the Company has agreed to pay the Investment Advisor a fee for investment advisory and management services consisting of two components — a base management fee and an incentive fee.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31F20"/>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was initially calculated based on the value of the gross assets at the end of the first calendar quarter subsequent to the IPO, and thereafter based on the average value of the gross assets at the end of the two most recently completed calendar quarters, and appropriately adjusted for any share issuances or repurchases during the current calendar quarter.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The incentive fee consists of the following two parts: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231F20"/>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net investment income used to calculate this part of the incentive fee is also included in the amount of the gross assets used to calculate the 1.75% base management fee. The Company pays the Investment Advisor an incentive fee with respect to the pre-incentive fee net investment income in each calendar quarter as follows:</w:t>
      </w:r>
    </w:p>
    <w:p>
      <w:pPr>
        <w:spacing w:after="0" w:line="169" w:lineRule="exact"/>
        <w:rPr>
          <w:sz w:val="20"/>
          <w:szCs w:val="20"/>
          <w:color w:val="auto"/>
        </w:rPr>
      </w:pPr>
    </w:p>
    <w:p>
      <w:pPr>
        <w:ind w:left="800" w:hanging="144"/>
        <w:spacing w:after="0"/>
        <w:tabs>
          <w:tab w:leader="none" w:pos="8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no incentive fee in any calendar quarter in which the pre-incentive fee net investment income does not exceed the hurdle of 2.0%;</w:t>
      </w:r>
    </w:p>
    <w:p>
      <w:pPr>
        <w:spacing w:after="0" w:line="225" w:lineRule="exact"/>
        <w:rPr>
          <w:rFonts w:ascii="Arial" w:cs="Arial" w:eastAsia="Arial" w:hAnsi="Arial"/>
          <w:sz w:val="18"/>
          <w:szCs w:val="18"/>
          <w:color w:val="231F20"/>
        </w:rPr>
      </w:pPr>
    </w:p>
    <w:p>
      <w:pPr>
        <w:jc w:val="both"/>
        <w:ind w:firstLine="656"/>
        <w:spacing w:after="0" w:line="279" w:lineRule="auto"/>
        <w:tabs>
          <w:tab w:leader="none" w:pos="838"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9" w:name="page40"/>
    <w:bookmarkEnd w:id="39"/>
    <w:p>
      <w:pPr>
        <w:jc w:val="both"/>
        <w:ind w:firstLine="656"/>
        <w:spacing w:after="0" w:line="264" w:lineRule="auto"/>
        <w:tabs>
          <w:tab w:leader="none" w:pos="803"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231F20"/>
        </w:rPr>
        <w:t>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231F20"/>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March 31, 2018 and December 31, 2017, the Company had incentive fees payable to the Investment Advisor of $2.4 million and $2.2 million, respectively.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For the three months ended March 31, 2018 and 2017, the Company incurred $2.3 million and $2.5 million in base management fees, respectively. The Company incurred $0.2 million and $1.3 million in incentive fees related to pre-incentive fee net investment income for the three months ended March 31, 2018 and 2017, respectively. For the three months ended March 31, 2018 and 2017, our Investment Advisor waived incentive fees of $0.0 million and $1.0 million, respectively.</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231F20"/>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and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August 3, 2017.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31F20"/>
        </w:rPr>
        <w:t>For the three months ended March 31, 2018 and 2017, the Company paid the Administrator $0.4 million and $0.3 million, respectively, for the Company’s allocable portion of the Administrator’s overhead.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At March 31, 2018 and December 31, 2017, the Company had the following receivables from (payables to) related parties relating to certain management fees, incentive fees, reimbursable expenses, and other payments owed to related parties (dollars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57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CapitalSouth Corporation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CapitalSouth Partners Florida Sidecar Fund II, L.P.</w:t>
            </w:r>
          </w:p>
        </w:tc>
        <w:tc>
          <w:tcPr>
            <w:tcW w:w="2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Capitala Investment Advisors, LLC</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(2,172)</w:t>
            </w: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These amounts are reflected in the accompanying consolidated statements of assets and liabilities under the captions, “Due from related parties”, “Management and incentive fee payable” and “Due to related parties.”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The Administrator also serves as the administrator to FSC II. See Note 4 for a further description of this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231F20"/>
        </w:rPr>
        <w:t>The Company, through its two wholly owned subsidiaries, uses debenture leverage provided through the SBA to fund a portion of its investment portfolio. As of March 31, 2018 and December 31, 2017 the Company had $170.7 million of SBA-guaranteed debentures outstanding. The Company has issued all SBA-guaranteed debentures that were permitted under each of the Legacy Funds’ respective SBIC licenses (as applicable), and there are no unused SBA debenture commitments remaining. SBA-guaranteed debentures are secured by a lien on all assets of Fund II and Fund III. As of March 31, 2018 and December 31, 2017, Fund II and Fund III had total assets of approximately $340.1 million and $341.5 million, respectively.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(the ‘‘1934 Act’’), with respect to Fund II and Fund III. The Company intends to comply with the conditions of the order.</w:t>
      </w:r>
    </w:p>
    <w:p>
      <w:pPr>
        <w:spacing w:after="0" w:line="18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following table summarizes the interest expense and annual charges, deferred financing costs, average balance outstanding, and average stated interest and annual charge rate on the SBA-guaranteed debentures for the three months ended March 31, 2018 and 2017 (dollars in thousands):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5"/>
              </w:rPr>
              <w:t>March 31, 2018</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March 31, 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and annual charges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financing costs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Average outstanding balance</w:t>
            </w: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170,700</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170,700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and annual charge rate</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March 31, 2018 and December 31, 2017, the Company’s issued and outstanding SBA-guaranteed debentures mature as follows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center"/>
              <w:ind w:right="345"/>
              <w:spacing w:after="0"/>
              <w:rPr>
                <w:sz w:val="20"/>
                <w:szCs w:val="20"/>
                <w:color w:val="auto"/>
              </w:rPr>
            </w:pPr>
            <w:r>
              <w:rPr>
                <w:rFonts w:ascii="Arial" w:cs="Arial" w:eastAsia="Arial" w:hAnsi="Arial"/>
                <w:sz w:val="18"/>
                <w:szCs w:val="18"/>
                <w:b w:val="1"/>
                <w:bCs w:val="1"/>
                <w:color w:val="auto"/>
                <w:w w:val="92"/>
              </w:rPr>
              <w:t>SBA Annual</w:t>
            </w: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Fixed Maturity Date</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Interest Rate</w:t>
            </w:r>
          </w:p>
        </w:tc>
        <w:tc>
          <w:tcPr>
            <w:tcW w:w="2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Charge</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March 1, 2019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0.941%</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September 1, 2020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3.215%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0.285%</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4.084%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0.285%</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0.515%</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0.515%</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vMerge w:val="restart"/>
          </w:tcPr>
          <w:p>
            <w:pPr>
              <w:jc w:val="right"/>
              <w:ind w:right="91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2021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On June 16, 2014, the Company issued $113.4 million in aggregate principal amount of 7.125% fixed-rate notes due 2021 (the “2021 Notes”). On May 26, 2017, the Company caused notices to be issued to the holders of its 2021 Notes regarding the Company’s exercise of its option to redeem all of the issued and outstanding 2021 Notes. The Company redeemed all $113.4 million in aggregate principal amount of the 2021 Notes on June 25, 2017. The Notes were redeemed at 100% of their principal amount ($25 per Note), plus the accrued and unpaid interest thereon from June 16, 2017, through, but excluding, June 25, 2017.</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231F20"/>
        </w:rPr>
        <w:t>The following table summarizes the interest expense, deferred financing costs, average outstanding balance and average stated interest rate on the 2021 Notes for the three months ended March 31, 2018 and 2017 (dollars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388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2018</w:t>
            </w:r>
          </w:p>
        </w:tc>
        <w:tc>
          <w:tcPr>
            <w:tcW w:w="2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March 31, 2017</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500" w:type="dxa"/>
            <w:vAlign w:val="bottom"/>
          </w:tcPr>
          <w:p>
            <w:pPr>
              <w:spacing w:after="0"/>
              <w:rPr>
                <w:sz w:val="19"/>
                <w:szCs w:val="19"/>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500" w:type="dxa"/>
            <w:vAlign w:val="bottom"/>
            <w:tcBorders>
              <w:top w:val="single" w:sz="8" w:color="auto"/>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vMerge w:val="continue"/>
          </w:tcPr>
          <w:p>
            <w:pPr>
              <w:spacing w:after="0"/>
              <w:rPr>
                <w:sz w:val="17"/>
                <w:szCs w:val="17"/>
                <w:color w:val="auto"/>
              </w:rPr>
            </w:pPr>
          </w:p>
        </w:tc>
        <w:tc>
          <w:tcPr>
            <w:tcW w:w="1500" w:type="dxa"/>
            <w:vAlign w:val="bottom"/>
          </w:tcPr>
          <w:p>
            <w:pPr>
              <w:jc w:val="right"/>
              <w:ind w:right="1310"/>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Pr>
          <w:p>
            <w:pPr>
              <w:ind w:left="6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113,348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 Interest was payable quarterly beginning August 31, 2017.</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and deferred financing costs on the 2022 Notes for the three months ended March 31, 2018 and 2017 (dollars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gridSpan w:val="5"/>
          </w:tcPr>
          <w:p>
            <w:pPr>
              <w:ind w:left="60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98"/>
              </w:rPr>
              <w:t>March 31, 2018</w:t>
            </w: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March 31, 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16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60" w:type="dxa"/>
            <w:vAlign w:val="bottom"/>
            <w:vMerge w:val="continue"/>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260" w:type="dxa"/>
            <w:vAlign w:val="bottom"/>
            <w:vMerge w:val="continue"/>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Pr>
          <w:p>
            <w:pPr>
              <w:ind w:left="1360"/>
              <w:spacing w:after="0" w:line="196" w:lineRule="exact"/>
              <w:rPr>
                <w:sz w:val="20"/>
                <w:szCs w:val="20"/>
                <w:color w:val="auto"/>
              </w:rPr>
            </w:pPr>
            <w:r>
              <w:rPr>
                <w:rFonts w:ascii="Arial" w:cs="Arial" w:eastAsia="Arial" w:hAnsi="Arial"/>
                <w:sz w:val="18"/>
                <w:szCs w:val="18"/>
                <w:color w:val="auto"/>
                <w:w w:val="88"/>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31F20"/>
        </w:rPr>
        <w:t>On May 26, 2017, the Company issued $50.0 million in aggregate principal amount of 5.75% fixed-rate convertible notes due on May 31, 2022 (the ‘‘2022 Convertible Notes’’). On June 26, 2017, the Company issued an additional $2.1 million in aggregate principal amount of the 2022 Convertible Notes pursuant to a partial exercise of the underwriters’ overallotment option. Interest was payable quarterly beginning August 31, 2017.</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31F20"/>
        </w:rPr>
        <w:t>The 2022 Convertible Notes are convertible, at the holder’s option, into shares of the Company’s common stock at any time on or prior to the close of business on the business day immediately preceding the maturity date. The conversion rate for the 2022 Convertible Notes is initially 1.5913 shares per $25.00 principal amount of 2022 Convertible Notes (equivalent to an initial conversion price of approximately $15.71 per share of common stock). The initial conversion premium is approximately 14.0%.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GAAP.</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interest expense and deferred financing costs on the 2022 Convertible Notes for the three months ended March 31, 2018 and 2017 (dollars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gridSpan w:val="5"/>
          </w:tcPr>
          <w:p>
            <w:pPr>
              <w:ind w:left="60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98"/>
              </w:rPr>
              <w:t>March 31, 2018</w:t>
            </w: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March 31, 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60" w:type="dxa"/>
            <w:vAlign w:val="bottom"/>
            <w:vMerge w:val="continue"/>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60" w:type="dxa"/>
            <w:vAlign w:val="bottom"/>
            <w:vMerge w:val="continue"/>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Pr>
          <w:p>
            <w:pPr>
              <w:ind w:left="1360"/>
              <w:spacing w:after="0" w:line="196" w:lineRule="exact"/>
              <w:rPr>
                <w:sz w:val="20"/>
                <w:szCs w:val="20"/>
                <w:color w:val="auto"/>
              </w:rPr>
            </w:pPr>
            <w:r>
              <w:rPr>
                <w:rFonts w:ascii="Arial" w:cs="Arial" w:eastAsia="Arial" w:hAnsi="Arial"/>
                <w:sz w:val="18"/>
                <w:szCs w:val="18"/>
                <w:color w:val="auto"/>
                <w:w w:val="88"/>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On October 17, 2014, the Company entered into a senior secured revolving credit agreement (the “Credit Facility”) with ING Capital, LLC, as administrative agent, arranger, and bookrunner, and the lenders party thereto. On June 16, 2017, the Company entered into an amendment to its Credit Facility with ING Capital, LLC (the ‘‘Amendment’’). Pursuant to the Amendment, the Credit Facility currently provides for borrowings up to $114.5 million and may be increased up to $200.0 million pursuant to its ‘‘accordion’’ feature. The Credit Facility matures on June 16, 2021.</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231F20"/>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Amendment provides for the ability to step-down the pricing of the Credit Facility from LIBOR plus 3.00% to LIBOR plus 2.75% when certain conditions are met.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unused commitment fees, average outstanding balance, and average stated interest rate on the Credit Facility for the three months ended March 31, 2018 and 2017 (dollars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For the three months ended</w:t>
            </w:r>
          </w:p>
        </w:tc>
      </w:tr>
      <w:tr>
        <w:trPr>
          <w:trHeight w:val="223"/>
        </w:trPr>
        <w:tc>
          <w:tcPr>
            <w:tcW w:w="6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98"/>
              </w:rPr>
              <w:t>March 31, 2018</w:t>
            </w: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March 31, 2017</w:t>
            </w:r>
          </w:p>
        </w:tc>
        <w:tc>
          <w:tcPr>
            <w:tcW w:w="160" w:type="dxa"/>
            <w:vAlign w:val="bottom"/>
          </w:tcPr>
          <w:p>
            <w:pPr>
              <w:spacing w:after="0"/>
              <w:rPr>
                <w:sz w:val="19"/>
                <w:szCs w:val="19"/>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fees</w:t>
            </w:r>
          </w:p>
        </w:tc>
        <w:tc>
          <w:tcPr>
            <w:tcW w:w="1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r>
      <w:tr>
        <w:trPr>
          <w:trHeight w:val="263"/>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and financing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2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60" w:type="dxa"/>
            <w:vAlign w:val="bottom"/>
            <w:tcBorders>
              <w:bottom w:val="single" w:sz="8" w:color="CCEEFF"/>
            </w:tcBorders>
          </w:tcPr>
          <w:p>
            <w:pPr>
              <w:spacing w:after="0"/>
              <w:rPr>
                <w:sz w:val="22"/>
                <w:szCs w:val="22"/>
                <w:color w:val="auto"/>
              </w:rPr>
            </w:pPr>
          </w:p>
        </w:tc>
      </w:tr>
      <w:tr>
        <w:trPr>
          <w:trHeight w:val="197"/>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outstanding balance</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16,344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44,000</w:t>
            </w:r>
          </w:p>
        </w:tc>
        <w:tc>
          <w:tcPr>
            <w:tcW w:w="160" w:type="dxa"/>
            <w:vAlign w:val="bottom"/>
            <w:shd w:val="clear" w:color="auto" w:fill="CCEEFF"/>
          </w:tcPr>
          <w:p>
            <w:pPr>
              <w:spacing w:after="0"/>
              <w:rPr>
                <w:sz w:val="17"/>
                <w:szCs w:val="17"/>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Average stated interest and annual charge rate</w:t>
            </w:r>
          </w:p>
        </w:tc>
        <w:tc>
          <w:tcPr>
            <w:tcW w:w="18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3.44%</w:t>
            </w:r>
          </w:p>
        </w:tc>
      </w:tr>
    </w:tbl>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As of March 31, 2018 and December 31, 2017, the Company had $12.0 million and $9.0 million, respectively, outstanding under the Credit Facility. The Credit Facility is secured by investments and cash held by the Company, exclusive of assets held at our two SBIC subsidiaries. Assets pledged to secure the Credit Facility had a carrying value of $192.2 million and $192.4 million, respectively, at March 31, 2018 and December 31, 2017. As part of the terms of the Credit Facility, the Company may not make cash distributions with respect to any taxable year that exceed 110% (125% if the Company is not in default and our covered debt does not exceed 85% of the borrowing base) of the amounts required to be distributed to maintain eligibility as a RIC and to reduce our tax liability to zero for taxes imposed on our investment company taxable income and net capital gains.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7"/>
          <w:szCs w:val="17"/>
          <w:color w:val="auto"/>
        </w:rPr>
        <w:t>The following table presents the carrying value and fair value of the Company’s financial liabilities disclosed, but not carried, at fair value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the level of each financial liability within the fair value hierarchy (dollars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3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ind w:right="400"/>
              <w:spacing w:after="0" w:line="271" w:lineRule="exact"/>
              <w:rPr>
                <w:sz w:val="20"/>
                <w:szCs w:val="20"/>
                <w:color w:val="auto"/>
              </w:rPr>
            </w:pPr>
            <w:r>
              <w:rPr>
                <w:rFonts w:ascii="Arial" w:cs="Arial" w:eastAsia="Arial" w:hAnsi="Arial"/>
                <w:sz w:val="18"/>
                <w:szCs w:val="18"/>
                <w:b w:val="1"/>
                <w:bCs w:val="1"/>
                <w:color w:val="auto"/>
                <w:w w:val="82"/>
              </w:rPr>
              <w:t xml:space="preserve">Value </w:t>
            </w:r>
            <w:r>
              <w:rPr>
                <w:rFonts w:ascii="Arial" w:cs="Arial" w:eastAsia="Arial" w:hAnsi="Arial"/>
                <w:sz w:val="30"/>
                <w:szCs w:val="30"/>
                <w:b w:val="1"/>
                <w:bCs w:val="1"/>
                <w:color w:val="auto"/>
                <w:w w:val="82"/>
                <w:vertAlign w:val="superscript"/>
              </w:rPr>
              <w:t>(1)</w:t>
            </w:r>
          </w:p>
        </w:tc>
        <w:tc>
          <w:tcPr>
            <w:tcW w:w="140" w:type="dxa"/>
            <w:vAlign w:val="bottom"/>
          </w:tcPr>
          <w:p>
            <w:pPr>
              <w:spacing w:after="0"/>
              <w:rPr>
                <w:sz w:val="23"/>
                <w:szCs w:val="2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23"/>
                <w:szCs w:val="23"/>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3"/>
                <w:szCs w:val="23"/>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171,182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2022 Notes</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74,700</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74,700</w:t>
            </w:r>
          </w:p>
        </w:tc>
        <w:tc>
          <w:tcPr>
            <w:tcW w:w="20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52,088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51,150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51,150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Credit Facility</w:t>
            </w: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12,047</w:t>
            </w: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12,047</w:t>
            </w:r>
          </w:p>
        </w:tc>
      </w:tr>
      <w:tr>
        <w:trPr>
          <w:trHeight w:val="223"/>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carrying value and fair value of the Company’s financial liabilities disclosed, but not carried, at fair value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the level of each financial liability within the fair value hierarchy (dollars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3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ind w:right="400"/>
              <w:spacing w:after="0" w:line="271" w:lineRule="exact"/>
              <w:rPr>
                <w:sz w:val="20"/>
                <w:szCs w:val="20"/>
                <w:color w:val="auto"/>
              </w:rPr>
            </w:pPr>
            <w:r>
              <w:rPr>
                <w:rFonts w:ascii="Arial" w:cs="Arial" w:eastAsia="Arial" w:hAnsi="Arial"/>
                <w:sz w:val="18"/>
                <w:szCs w:val="18"/>
                <w:b w:val="1"/>
                <w:bCs w:val="1"/>
                <w:color w:val="auto"/>
                <w:w w:val="82"/>
              </w:rPr>
              <w:t xml:space="preserve">Value </w:t>
            </w:r>
            <w:r>
              <w:rPr>
                <w:rFonts w:ascii="Arial" w:cs="Arial" w:eastAsia="Arial" w:hAnsi="Arial"/>
                <w:sz w:val="30"/>
                <w:szCs w:val="30"/>
                <w:b w:val="1"/>
                <w:bCs w:val="1"/>
                <w:color w:val="auto"/>
                <w:w w:val="82"/>
                <w:vertAlign w:val="superscript"/>
              </w:rPr>
              <w:t>(1)</w:t>
            </w:r>
          </w:p>
        </w:tc>
        <w:tc>
          <w:tcPr>
            <w:tcW w:w="140" w:type="dxa"/>
            <w:vAlign w:val="bottom"/>
          </w:tcPr>
          <w:p>
            <w:pPr>
              <w:spacing w:after="0"/>
              <w:rPr>
                <w:sz w:val="23"/>
                <w:szCs w:val="2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23"/>
                <w:szCs w:val="23"/>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3"/>
                <w:szCs w:val="23"/>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173,373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2022 Notes</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75,600</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75,600</w:t>
            </w:r>
          </w:p>
        </w:tc>
        <w:tc>
          <w:tcPr>
            <w:tcW w:w="20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52,088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51,775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51,775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Credit Facility</w:t>
            </w: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9,000</w:t>
            </w: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9,038</w:t>
            </w: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9,038</w:t>
            </w:r>
          </w:p>
        </w:tc>
      </w:tr>
      <w:tr>
        <w:trPr>
          <w:trHeight w:val="223"/>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31F20"/>
        </w:rPr>
        <w:t>The estimated fair value of the Company’s SBA debentures was based on future contractual cash payments discounted at market interest rates to borrow from the SBA as of the measurement date.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231F20"/>
        </w:rPr>
        <w:t>The estimated fair value of the Credit Facility was based on future contractual cash payments discounted at estimated market interest rates for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Directors Fees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31F20"/>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months ended March 31, 2018, and 2017, the Company recognized directors fees expense of $0.1 million. No compensation is expected to be paid to directors who are ‘‘interested persons’’ of the Company, as such term is defined in Section 2(a)(19) of the 1940 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Summarized Financial Information of Our Unconsolidated Subsidiaries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The Company holds a control interest, as defined by the 1940 Act, in seven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March 31, 2018 and December 31, 2017, and for the three months ended March 31, 2018 and March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CableOrganizer Acquisition,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CableOrganizer Acquisition, LLC, a Delaware limited liability company that began operations on April 23, 2013, is a leading online provider of cable and wire management products. The income (loss) the Company generated from CableOrganizer Acquisition, LLC, which includes all interest, dividends, PIK interest and PIK dividends, fees, and unrealized appreciation (depreciation), was $(0.9) million and $0.2 million for the three months ended March 31, 2018 and March 31,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Eastport Holdings,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Eastport Holdings, LLC, an Ohio limited liability company organized on November 1, 2011, is a holding company consisting of marketing and advertising companies located across the U.S. The income the Company generated from Eastport Holdings, LLC, which includes all interest, dividends, PIK interest and PIK dividends, fees, and unrealized appreciation, was $0.6 million and $1.7 million for the three months ended March 31, 2018 and March 31, 2017,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41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231F20"/>
        </w:rPr>
        <w:t>Kelle’s Transport Service,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Kelle’s Transport Service, LLC, a Delaware limited liability company organized on March 28, 2014, provides temperature sensitive transportation services throughout North America. The income (loss) the Company generated from Kelle’s Transport Service, LLC, which includes all interest, dividends, PIK interest and PIK dividends, fees, realized losses, and unrealized appreciation (depreciation), was $0.4 million and $(3.4) million for the three months ended March 31, 2018 and March 31,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Micro Precision, LLC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Micro Precision, LLC, formed on August 5, 2011 as a Delaware limited liability company, is a prime contractor supplying critical parts and mechanical assemblies to the U.S. Department of Defense as well as designer and manufacturer of locomotive air horns. The income (loss) the Company generated from Micro Precision, LLC, which includes all interest, dividends, PIK interest and PIK dividends, fees, and unrealized appreciation (depreciation), was $(0.2) million and $0.3 million for the three months ended March 31, 2018 and March 31, 2017,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Navis Holdings, Inc.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31F20"/>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PIK dividends, fees, and unrealized appreciation was $0.5 million and $0.4 million for the three months ended March 31, 2018 and March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On-Site Fuel Services, Inc.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On-Site Fuel Services, Inc. is a 100% owned subsidiary of On-Site Fuel Holdings, Inc., which was incorporated in Delaware on December 19, 2011. On-Site Fuel Services, Inc. provides fueling services for commercial and government vehicle fleets throughout the southeast U.S. The income the Company generated from On-Site Fuel Services, Inc., which includes all interest, dividends, PIK interest and PIK dividends, fees, and unrealized appreciation, was $0.1 million and $0.0 million for the three months ended March 31, 2018 and March 31, 2017,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Portrait Studio, LLC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Portrait Studio, LLC, formed on December 12, 2017 as a Delaware limited liability company, is a professional and personal imaging platform, operating retail studios throughout the U.S. and an ecommerce virtual studio web portal. The loss the Company generated from Portrait Studio, LLC, which includes all interest, dividends, PIK interest, and PIK dividends, fees, and unrealized depreciation, was $(0.3) million for the three months ended March 31, 2018. The company was not formed until December, 2017. As such, comparative financial information for the prior period statement of operations is not presented.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6"/>
                <w:szCs w:val="16"/>
                <w:color w:val="auto"/>
              </w:rPr>
            </w:pPr>
          </w:p>
        </w:tc>
        <w:tc>
          <w:tcPr>
            <w:tcW w:w="144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80" w:type="dxa"/>
            <w:vAlign w:val="bottom"/>
            <w:gridSpan w:val="3"/>
          </w:tcPr>
          <w:p>
            <w:pPr>
              <w:spacing w:after="0"/>
              <w:rPr>
                <w:sz w:val="20"/>
                <w:szCs w:val="20"/>
                <w:color w:val="auto"/>
              </w:rPr>
            </w:pPr>
            <w:r>
              <w:rPr>
                <w:rFonts w:ascii="Arial" w:cs="Arial" w:eastAsia="Arial" w:hAnsi="Arial"/>
                <w:sz w:val="18"/>
                <w:szCs w:val="18"/>
                <w:b w:val="1"/>
                <w:bCs w:val="1"/>
                <w:color w:val="auto"/>
              </w:rPr>
              <w:t>Balance Sheet – CableOrganizer Acquisition, LLC</w:t>
            </w:r>
          </w:p>
        </w:tc>
        <w:tc>
          <w:tcPr>
            <w:tcW w:w="26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8,356</w:t>
            </w:r>
          </w:p>
        </w:tc>
        <w:tc>
          <w:tcPr>
            <w:tcW w:w="1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12,497</w:t>
            </w:r>
          </w:p>
        </w:tc>
        <w:tc>
          <w:tcPr>
            <w:tcW w:w="1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For the three months ended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gridSpan w:val="2"/>
          </w:tcPr>
          <w:p>
            <w:pPr>
              <w:ind w:left="660"/>
              <w:spacing w:after="0"/>
              <w:rPr>
                <w:sz w:val="20"/>
                <w:szCs w:val="20"/>
                <w:color w:val="auto"/>
              </w:rPr>
            </w:pPr>
            <w:r>
              <w:rPr>
                <w:rFonts w:ascii="Arial" w:cs="Arial" w:eastAsia="Arial" w:hAnsi="Arial"/>
                <w:sz w:val="18"/>
                <w:szCs w:val="18"/>
                <w:b w:val="1"/>
                <w:bCs w:val="1"/>
                <w:color w:val="auto"/>
                <w:w w:val="93"/>
              </w:rPr>
              <w:t>Statements of Operations – CableOrganizer Acquisition, LLC</w:t>
            </w:r>
          </w:p>
        </w:tc>
        <w:tc>
          <w:tcPr>
            <w:tcW w:w="30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6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4,926</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6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6,343</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Cost of goods sold</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3,411</w:t>
            </w:r>
          </w:p>
        </w:tc>
        <w:tc>
          <w:tcPr>
            <w:tcW w:w="12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4,491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1,515</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06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1,852</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060" w:type="dxa"/>
            <w:vAlign w:val="bottom"/>
            <w:gridSpan w:val="3"/>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2,015</w:t>
            </w:r>
          </w:p>
        </w:tc>
        <w:tc>
          <w:tcPr>
            <w:tcW w:w="1220" w:type="dxa"/>
            <w:vAlign w:val="bottom"/>
            <w:shd w:val="clear" w:color="auto" w:fill="CCEEFF"/>
          </w:tcPr>
          <w:p>
            <w:pPr>
              <w:jc w:val="right"/>
              <w:ind w:right="106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2,152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1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tcPr>
          <w:p>
            <w:pPr>
              <w:jc w:val="right"/>
              <w:ind w:right="106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720" w:type="dxa"/>
            <w:vAlign w:val="bottom"/>
            <w:vMerge w:val="restart"/>
          </w:tcPr>
          <w:p>
            <w:pPr>
              <w:jc w:val="right"/>
              <w:ind w:right="13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076" w:gutter="0" w:footer="0" w:header="0"/>
        </w:sectPr>
      </w:pPr>
    </w:p>
    <w:bookmarkStart w:id="45" w:name="page46"/>
    <w:bookmarkEnd w:id="45"/>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 Eastport Holdings, LLC</w:t>
            </w:r>
            <w:r>
              <w:rPr>
                <w:rFonts w:ascii="Arial" w:cs="Arial" w:eastAsia="Arial" w:hAnsi="Arial"/>
                <w:sz w:val="30"/>
                <w:szCs w:val="30"/>
                <w:b w:val="1"/>
                <w:bCs w:val="1"/>
                <w:color w:val="auto"/>
                <w:vertAlign w:val="superscript"/>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97"/>
              </w:rPr>
              <w:t>December 31,</w:t>
            </w:r>
          </w:p>
        </w:tc>
        <w:tc>
          <w:tcPr>
            <w:tcW w:w="180" w:type="dxa"/>
            <w:vAlign w:val="bottom"/>
          </w:tcPr>
          <w:p>
            <w:pPr>
              <w:spacing w:after="0"/>
              <w:rPr>
                <w:sz w:val="16"/>
                <w:szCs w:val="16"/>
                <w:color w:val="auto"/>
              </w:rPr>
            </w:pPr>
          </w:p>
        </w:tc>
        <w:tc>
          <w:tcPr>
            <w:tcW w:w="144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185,087</w:t>
            </w:r>
          </w:p>
        </w:tc>
        <w:tc>
          <w:tcPr>
            <w:tcW w:w="1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150,772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279,273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142,250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70,765</w:t>
            </w:r>
          </w:p>
        </w:tc>
        <w:tc>
          <w:tcPr>
            <w:tcW w:w="1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44,558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213,015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66,258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For the three months ended</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Operations – Eastport Holdings, LLC</w:t>
            </w:r>
            <w:r>
              <w:rPr>
                <w:rFonts w:ascii="Arial" w:cs="Arial" w:eastAsia="Arial" w:hAnsi="Arial"/>
                <w:sz w:val="30"/>
                <w:szCs w:val="30"/>
                <w:b w:val="1"/>
                <w:bCs w:val="1"/>
                <w:color w:val="auto"/>
                <w:vertAlign w:val="superscript"/>
              </w:rPr>
              <w:t>(1)</w:t>
            </w: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780" w:type="dxa"/>
            <w:vAlign w:val="bottom"/>
            <w:gridSpan w:val="2"/>
            <w:vMerge w:val="continue"/>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160,257</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goods sold</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102,735</w:t>
            </w:r>
          </w:p>
        </w:tc>
        <w:tc>
          <w:tcPr>
            <w:tcW w:w="1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121,233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10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31,945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33,124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6,758</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5,900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192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8540" w:type="dxa"/>
            <w:vAlign w:val="bottom"/>
            <w:gridSpan w:val="7"/>
          </w:tcPr>
          <w:p>
            <w:pPr>
              <w:spacing w:after="0" w:line="205" w:lineRule="exact"/>
              <w:rPr>
                <w:sz w:val="20"/>
                <w:szCs w:val="20"/>
                <w:color w:val="auto"/>
              </w:rPr>
            </w:pPr>
            <w:r>
              <w:rPr>
                <w:rFonts w:ascii="Arial" w:cs="Arial" w:eastAsia="Arial" w:hAnsi="Arial"/>
                <w:sz w:val="18"/>
                <w:szCs w:val="18"/>
                <w:color w:val="auto"/>
                <w:w w:val="92"/>
              </w:rPr>
              <w:t>(1) March 31, 2018 financial statements are not available. As such, the most recent comparable period is presented.</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16"/>
                <w:szCs w:val="16"/>
                <w:color w:val="auto"/>
              </w:rPr>
            </w:pPr>
          </w:p>
        </w:tc>
        <w:tc>
          <w:tcPr>
            <w:tcW w:w="144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Balance Sheet – Kelle’s Transport Services, LLC</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Noncurrent assets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1,080</w:t>
            </w:r>
          </w:p>
        </w:tc>
        <w:tc>
          <w:tcPr>
            <w:tcW w:w="1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738</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10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14,307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15,016</w:t>
            </w:r>
          </w:p>
        </w:tc>
        <w:tc>
          <w:tcPr>
            <w:tcW w:w="1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17,923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vMerge w:val="continue"/>
          </w:tcPr>
          <w:p>
            <w:pPr>
              <w:spacing w:after="0"/>
              <w:rPr>
                <w:sz w:val="21"/>
                <w:szCs w:val="21"/>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210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(21,270)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(21,353)</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For the three months ended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6"/>
              </w:rPr>
              <w:t>March 31,</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w w:val="93"/>
              </w:rPr>
              <w:t>Statements of Operations – Kelle’s Transport Services, LLC</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goods sold</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12,129</w:t>
            </w:r>
          </w:p>
        </w:tc>
        <w:tc>
          <w:tcPr>
            <w:tcW w:w="1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13,864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10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(2,900)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income (loss)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0" w:type="dxa"/>
            <w:vAlign w:val="bottom"/>
            <w:vMerge w:val="restart"/>
          </w:tcPr>
          <w:p>
            <w:pPr>
              <w:jc w:val="right"/>
              <w:ind w:right="13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46" w:name="page47"/>
    <w:bookmarkEnd w:id="46"/>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6"/>
                <w:szCs w:val="16"/>
                <w:color w:val="auto"/>
              </w:rPr>
            </w:pPr>
          </w:p>
        </w:tc>
        <w:tc>
          <w:tcPr>
            <w:tcW w:w="144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80" w:type="dxa"/>
            <w:vAlign w:val="bottom"/>
            <w:gridSpan w:val="3"/>
          </w:tcPr>
          <w:p>
            <w:pPr>
              <w:spacing w:after="0"/>
              <w:rPr>
                <w:sz w:val="20"/>
                <w:szCs w:val="20"/>
                <w:color w:val="auto"/>
              </w:rPr>
            </w:pPr>
            <w:r>
              <w:rPr>
                <w:rFonts w:ascii="Arial" w:cs="Arial" w:eastAsia="Arial" w:hAnsi="Arial"/>
                <w:sz w:val="18"/>
                <w:szCs w:val="18"/>
                <w:b w:val="1"/>
                <w:bCs w:val="1"/>
                <w:color w:val="auto"/>
              </w:rPr>
              <w:t>Balance Sheet – Micro Precision, LLC</w:t>
            </w:r>
          </w:p>
        </w:tc>
        <w:tc>
          <w:tcPr>
            <w:tcW w:w="26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19,644</w:t>
            </w:r>
          </w:p>
        </w:tc>
        <w:tc>
          <w:tcPr>
            <w:tcW w:w="1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19,707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7,395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13,951</w:t>
            </w:r>
          </w:p>
        </w:tc>
        <w:tc>
          <w:tcPr>
            <w:tcW w:w="1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8"/>
                <w:szCs w:val="18"/>
                <w:b w:val="1"/>
                <w:bCs w:val="1"/>
                <w:color w:val="auto"/>
              </w:rPr>
              <w:t>For the three months ended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Micro Precision, LLC</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57"/>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2,367</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1,308</w:t>
            </w:r>
          </w:p>
        </w:tc>
        <w:tc>
          <w:tcPr>
            <w:tcW w:w="122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1,039</w:t>
            </w:r>
          </w:p>
        </w:tc>
      </w:tr>
      <w:tr>
        <w:trPr>
          <w:trHeight w:val="210"/>
        </w:trPr>
        <w:tc>
          <w:tcPr>
            <w:tcW w:w="6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918" w:right="239" w:bottom="36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provision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Balance Sheet - Navis Holdings,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1,216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1,135</w:t>
            </w:r>
          </w:p>
        </w:tc>
        <w:tc>
          <w:tcPr>
            <w:tcW w:w="40" w:type="dxa"/>
            <w:vAlign w:val="bottom"/>
          </w:tcPr>
          <w:p>
            <w:pPr>
              <w:spacing w:after="0"/>
              <w:rPr>
                <w:sz w:val="18"/>
                <w:szCs w:val="18"/>
                <w:color w:val="auto"/>
              </w:rPr>
            </w:pPr>
          </w:p>
        </w:tc>
      </w:tr>
      <w:tr>
        <w:trPr>
          <w:trHeight w:val="230"/>
        </w:trPr>
        <w:tc>
          <w:tcPr>
            <w:tcW w:w="26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26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5"/>
        </w:trPr>
        <w:tc>
          <w:tcPr>
            <w:tcW w:w="260" w:type="dxa"/>
            <w:vAlign w:val="bottom"/>
          </w:tcPr>
          <w:p>
            <w:pPr>
              <w:spacing w:after="0"/>
              <w:rPr>
                <w:sz w:val="17"/>
                <w:szCs w:val="17"/>
                <w:color w:val="auto"/>
              </w:rPr>
            </w:pPr>
          </w:p>
        </w:tc>
        <w:tc>
          <w:tcPr>
            <w:tcW w:w="1600" w:type="dxa"/>
            <w:vAlign w:val="bottom"/>
            <w:gridSpan w:val="2"/>
          </w:tcPr>
          <w:p>
            <w:pPr>
              <w:jc w:val="right"/>
              <w:ind w:right="560"/>
              <w:spacing w:after="0" w:line="205" w:lineRule="exact"/>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7"/>
                <w:szCs w:val="17"/>
                <w:color w:val="auto"/>
              </w:rPr>
            </w:pPr>
          </w:p>
        </w:tc>
        <w:tc>
          <w:tcPr>
            <w:tcW w:w="1440" w:type="dxa"/>
            <w:vAlign w:val="bottom"/>
          </w:tcPr>
          <w:p>
            <w:pPr>
              <w:jc w:val="right"/>
              <w:ind w:right="190"/>
              <w:spacing w:after="0" w:line="205" w:lineRule="exact"/>
              <w:rPr>
                <w:sz w:val="20"/>
                <w:szCs w:val="20"/>
                <w:color w:val="auto"/>
              </w:rPr>
            </w:pPr>
            <w:r>
              <w:rPr>
                <w:rFonts w:ascii="Arial" w:cs="Arial" w:eastAsia="Arial" w:hAnsi="Arial"/>
                <w:sz w:val="18"/>
                <w:szCs w:val="18"/>
                <w:b w:val="1"/>
                <w:bCs w:val="1"/>
                <w:color w:val="auto"/>
                <w:w w:val="97"/>
              </w:rPr>
              <w:t>December 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2"/>
        </w:trPr>
        <w:tc>
          <w:tcPr>
            <w:tcW w:w="26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-1172845</wp:posOffset>
            </wp:positionV>
            <wp:extent cx="651764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-898525</wp:posOffset>
            </wp:positionV>
            <wp:extent cx="6517640"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620" w:space="720"/>
            <w:col w:w="4080"/>
          </w:cols>
          <w:pgMar w:left="240" w:top="918" w:right="239" w:bottom="36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 w:type="dxa"/>
            <w:vAlign w:val="bottom"/>
          </w:tcPr>
          <w:p>
            <w:pPr>
              <w:spacing w:after="0"/>
              <w:rPr>
                <w:sz w:val="16"/>
                <w:szCs w:val="16"/>
                <w:color w:val="auto"/>
              </w:rPr>
            </w:pPr>
          </w:p>
        </w:tc>
        <w:tc>
          <w:tcPr>
            <w:tcW w:w="42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Current assets</w:t>
            </w:r>
          </w:p>
        </w:tc>
        <w:tc>
          <w:tcPr>
            <w:tcW w:w="2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0"/>
              <w:spacing w:after="0" w:line="192"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0"/>
              <w:spacing w:after="0" w:line="192" w:lineRule="exact"/>
              <w:rPr>
                <w:sz w:val="20"/>
                <w:szCs w:val="20"/>
                <w:color w:val="auto"/>
              </w:rPr>
            </w:pPr>
            <w:r>
              <w:rPr>
                <w:rFonts w:ascii="Arial" w:cs="Arial" w:eastAsia="Arial" w:hAnsi="Arial"/>
                <w:sz w:val="18"/>
                <w:szCs w:val="18"/>
                <w:color w:val="auto"/>
              </w:rPr>
              <w:t>4,158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8"/>
                <w:szCs w:val="18"/>
                <w:color w:val="auto"/>
              </w:rPr>
              <w:t>4,721</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Noncurrent assets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3,776</w:t>
            </w:r>
          </w:p>
        </w:tc>
        <w:tc>
          <w:tcPr>
            <w:tcW w:w="1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2,950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7,956</w:t>
            </w:r>
          </w:p>
        </w:tc>
        <w:tc>
          <w:tcPr>
            <w:tcW w:w="1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6,973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2400" w:type="dxa"/>
            <w:vAlign w:val="bottom"/>
            <w:gridSpan w:val="2"/>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6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40" w:type="dxa"/>
            <w:vAlign w:val="bottom"/>
            <w:gridSpan w:val="2"/>
          </w:tcPr>
          <w:p>
            <w:pPr>
              <w:ind w:left="660"/>
              <w:spacing w:after="0"/>
              <w:rPr>
                <w:sz w:val="20"/>
                <w:szCs w:val="20"/>
                <w:color w:val="auto"/>
              </w:rPr>
            </w:pPr>
            <w:r>
              <w:rPr>
                <w:rFonts w:ascii="Arial" w:cs="Arial" w:eastAsia="Arial" w:hAnsi="Arial"/>
                <w:sz w:val="18"/>
                <w:szCs w:val="18"/>
                <w:b w:val="1"/>
                <w:bCs w:val="1"/>
                <w:color w:val="auto"/>
              </w:rPr>
              <w:t>Statement of Operations - Navis Holdings, Inc.</w:t>
            </w: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Cost of goods sold</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2,047</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6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income</w:t>
            </w:r>
          </w:p>
        </w:tc>
        <w:tc>
          <w:tcPr>
            <w:tcW w:w="240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jc w:val="center"/>
              <w:ind w:right="460"/>
              <w:spacing w:after="0" w:line="205" w:lineRule="exact"/>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7"/>
                <w:szCs w:val="17"/>
                <w:color w:val="auto"/>
              </w:rPr>
            </w:pPr>
          </w:p>
        </w:tc>
        <w:tc>
          <w:tcPr>
            <w:tcW w:w="144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gridSpan w:val="2"/>
          </w:tcPr>
          <w:p>
            <w:pPr>
              <w:ind w:left="660"/>
              <w:spacing w:after="0"/>
              <w:rPr>
                <w:sz w:val="20"/>
                <w:szCs w:val="20"/>
                <w:color w:val="auto"/>
              </w:rPr>
            </w:pPr>
            <w:r>
              <w:rPr>
                <w:rFonts w:ascii="Arial" w:cs="Arial" w:eastAsia="Arial" w:hAnsi="Arial"/>
                <w:sz w:val="18"/>
                <w:szCs w:val="18"/>
                <w:b w:val="1"/>
                <w:bCs w:val="1"/>
                <w:color w:val="auto"/>
              </w:rPr>
              <w:t>Balance Sheet - On-Site Fuel Services, Inc.</w:t>
            </w: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Noncurrent assets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22,548</w:t>
            </w:r>
          </w:p>
        </w:tc>
        <w:tc>
          <w:tcPr>
            <w:tcW w:w="1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26,807</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24,032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31,273</w:t>
            </w:r>
          </w:p>
        </w:tc>
        <w:tc>
          <w:tcPr>
            <w:tcW w:w="1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34,515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26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(14,280)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(12,270)</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1330"/>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360" w:gutter="0" w:footer="0" w:header="0"/>
          <w:type w:val="continuous"/>
        </w:sectPr>
      </w:pPr>
    </w:p>
    <w:bookmarkStart w:id="47" w:name="page48"/>
    <w:bookmarkEnd w:id="47"/>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right"/>
              <w:ind w:right="560"/>
              <w:spacing w:after="0" w:line="205" w:lineRule="exact"/>
              <w:rPr>
                <w:sz w:val="20"/>
                <w:szCs w:val="20"/>
                <w:color w:val="auto"/>
              </w:rPr>
            </w:pPr>
            <w:r>
              <w:rPr>
                <w:rFonts w:ascii="Arial" w:cs="Arial" w:eastAsia="Arial" w:hAnsi="Arial"/>
                <w:sz w:val="18"/>
                <w:szCs w:val="18"/>
                <w:b w:val="1"/>
                <w:bCs w:val="1"/>
                <w:color w:val="auto"/>
              </w:rPr>
              <w:t>March 31,</w:t>
            </w: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330"/>
              <w:spacing w:after="0" w:line="205" w:lineRule="exact"/>
              <w:rPr>
                <w:sz w:val="20"/>
                <w:szCs w:val="20"/>
                <w:color w:val="auto"/>
              </w:rPr>
            </w:pPr>
            <w:r>
              <w:rPr>
                <w:rFonts w:ascii="Arial" w:cs="Arial" w:eastAsia="Arial" w:hAnsi="Arial"/>
                <w:sz w:val="18"/>
                <w:szCs w:val="18"/>
                <w:b w:val="1"/>
                <w:bCs w:val="1"/>
                <w:color w:val="auto"/>
              </w:rPr>
              <w:t>March 31,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80" w:type="dxa"/>
            <w:vAlign w:val="bottom"/>
            <w:gridSpan w:val="3"/>
          </w:tcPr>
          <w:p>
            <w:pPr>
              <w:spacing w:after="0"/>
              <w:rPr>
                <w:sz w:val="20"/>
                <w:szCs w:val="20"/>
                <w:color w:val="auto"/>
              </w:rPr>
            </w:pPr>
            <w:r>
              <w:rPr>
                <w:rFonts w:ascii="Arial" w:cs="Arial" w:eastAsia="Arial" w:hAnsi="Arial"/>
                <w:sz w:val="18"/>
                <w:szCs w:val="18"/>
                <w:b w:val="1"/>
                <w:bCs w:val="1"/>
                <w:color w:val="auto"/>
              </w:rPr>
              <w:t>Statement of Operations - On-Site Fuel Services, Inc.</w:t>
            </w:r>
          </w:p>
        </w:tc>
        <w:tc>
          <w:tcPr>
            <w:tcW w:w="26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40,295</w:t>
            </w:r>
          </w:p>
        </w:tc>
        <w:tc>
          <w:tcPr>
            <w:tcW w:w="2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35,400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(1,929)</w:t>
            </w:r>
          </w:p>
        </w:tc>
        <w:tc>
          <w:tcPr>
            <w:tcW w:w="24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center"/>
              <w:ind w:right="20"/>
              <w:spacing w:after="0" w:line="205" w:lineRule="exact"/>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190"/>
              <w:spacing w:after="0" w:line="205" w:lineRule="exact"/>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80" w:type="dxa"/>
            <w:vAlign w:val="bottom"/>
            <w:gridSpan w:val="3"/>
          </w:tcPr>
          <w:p>
            <w:pPr>
              <w:spacing w:after="0"/>
              <w:rPr>
                <w:sz w:val="20"/>
                <w:szCs w:val="20"/>
                <w:color w:val="auto"/>
              </w:rPr>
            </w:pPr>
            <w:r>
              <w:rPr>
                <w:rFonts w:ascii="Arial" w:cs="Arial" w:eastAsia="Arial" w:hAnsi="Arial"/>
                <w:sz w:val="18"/>
                <w:szCs w:val="18"/>
                <w:b w:val="1"/>
                <w:bCs w:val="1"/>
                <w:color w:val="auto"/>
              </w:rPr>
              <w:t>Balance Sheet – Portrait Studio, LLC</w:t>
            </w:r>
          </w:p>
        </w:tc>
        <w:tc>
          <w:tcPr>
            <w:tcW w:w="108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2018</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0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15,737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8,055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6,380</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15,728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equity/(deficit)</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For the three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months ended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80" w:type="dxa"/>
            <w:vAlign w:val="bottom"/>
            <w:gridSpan w:val="3"/>
          </w:tcPr>
          <w:p>
            <w:pPr>
              <w:spacing w:after="0"/>
              <w:rPr>
                <w:sz w:val="20"/>
                <w:szCs w:val="20"/>
                <w:color w:val="auto"/>
              </w:rPr>
            </w:pPr>
            <w:r>
              <w:rPr>
                <w:rFonts w:ascii="Arial" w:cs="Arial" w:eastAsia="Arial" w:hAnsi="Arial"/>
                <w:sz w:val="18"/>
                <w:szCs w:val="18"/>
                <w:b w:val="1"/>
                <w:bCs w:val="1"/>
                <w:color w:val="auto"/>
              </w:rPr>
              <w:t>Statement of Operations – Portrait Studio, LLC</w:t>
            </w:r>
          </w:p>
        </w:tc>
        <w:tc>
          <w:tcPr>
            <w:tcW w:w="108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2018</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0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1,170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-1894840</wp:posOffset>
            </wp:positionV>
            <wp:extent cx="1157605" cy="8578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57605" cy="85788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-891540</wp:posOffset>
            </wp:positionV>
            <wp:extent cx="1157605"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57605" cy="146050"/>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-599440</wp:posOffset>
            </wp:positionV>
            <wp:extent cx="1157605"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57605" cy="137160"/>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-325120</wp:posOffset>
            </wp:positionV>
            <wp:extent cx="1157605"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57605" cy="1460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 xml:space="preserve">In accordance with the provisions of ASC Topic 260 - </w:t>
      </w:r>
      <w:r>
        <w:rPr>
          <w:rFonts w:ascii="Arial" w:cs="Arial" w:eastAsia="Arial" w:hAnsi="Arial"/>
          <w:sz w:val="18"/>
          <w:szCs w:val="18"/>
          <w:i w:val="1"/>
          <w:iCs w:val="1"/>
          <w:color w:val="231F20"/>
        </w:rPr>
        <w:t>Earnings per Share</w:t>
      </w:r>
      <w:r>
        <w:rPr>
          <w:rFonts w:ascii="Arial" w:cs="Arial" w:eastAsia="Arial" w:hAnsi="Arial"/>
          <w:sz w:val="18"/>
          <w:szCs w:val="18"/>
          <w:color w:val="231F20"/>
        </w:rPr>
        <w:t xml:space="preserve"> (‘‘ASC 260’’), basic earnings per share is computed by dividing earnings available to common stockholders by the weighted average number of shares outstanding during the period. Other potentially dilutive common shares, and the related impact to earnings, are considered when calculating earnings per share on a diluted basis. As of March 31, 2018, all convertible shares related to the 2022 Convertible Notes, which would be approximately 3.3 million shares if converted, were considered anti-dilutive. As of March 31, 2018 and March 31, 2017, there were no dilutive shares.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231F20"/>
        </w:rPr>
        <w:t>The following information sets forth the computation of the weighted average basic and diluted net increase in net assets per share resulting from operations for the three months ended March 31, 2018 and March 31, 2017 (dollars in thousands, except share and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For the three months ended</w:t>
            </w:r>
          </w:p>
        </w:tc>
        <w:tc>
          <w:tcPr>
            <w:tcW w:w="500" w:type="dxa"/>
            <w:vAlign w:val="bottom"/>
          </w:tcPr>
          <w:p>
            <w:pPr>
              <w:spacing w:after="0"/>
              <w:rPr>
                <w:sz w:val="20"/>
                <w:szCs w:val="20"/>
                <w:color w:val="auto"/>
              </w:rPr>
            </w:pPr>
          </w:p>
        </w:tc>
      </w:tr>
      <w:tr>
        <w:trPr>
          <w:trHeight w:val="205"/>
        </w:trPr>
        <w:tc>
          <w:tcPr>
            <w:tcW w:w="66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right"/>
              <w:ind w:right="640"/>
              <w:spacing w:after="0" w:line="205" w:lineRule="exact"/>
              <w:rPr>
                <w:sz w:val="20"/>
                <w:szCs w:val="20"/>
                <w:color w:val="auto"/>
              </w:rPr>
            </w:pPr>
            <w:r>
              <w:rPr>
                <w:rFonts w:ascii="Arial" w:cs="Arial" w:eastAsia="Arial" w:hAnsi="Arial"/>
                <w:sz w:val="18"/>
                <w:szCs w:val="18"/>
                <w:b w:val="1"/>
                <w:bCs w:val="1"/>
                <w:color w:val="auto"/>
              </w:rPr>
              <w:t>March 31,</w:t>
            </w: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330"/>
              <w:spacing w:after="0" w:line="205"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34"/>
        </w:trPr>
        <w:tc>
          <w:tcPr>
            <w:tcW w:w="7340" w:type="dxa"/>
            <w:vAlign w:val="bottom"/>
            <w:gridSpan w:val="3"/>
          </w:tcPr>
          <w:p>
            <w:pPr>
              <w:ind w:left="660"/>
              <w:spacing w:after="0"/>
              <w:rPr>
                <w:sz w:val="20"/>
                <w:szCs w:val="20"/>
                <w:color w:val="auto"/>
              </w:rPr>
            </w:pPr>
            <w:r>
              <w:rPr>
                <w:rFonts w:ascii="Arial" w:cs="Arial" w:eastAsia="Arial" w:hAnsi="Arial"/>
                <w:sz w:val="18"/>
                <w:szCs w:val="18"/>
                <w:b w:val="1"/>
                <w:bCs w:val="1"/>
                <w:color w:val="auto"/>
              </w:rPr>
              <w:t>Basic and diluted</w:t>
            </w:r>
          </w:p>
        </w:tc>
        <w:tc>
          <w:tcPr>
            <w:tcW w:w="26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Weighted average common stock outstanding – basic and diluted</w:t>
            </w:r>
          </w:p>
        </w:tc>
        <w:tc>
          <w:tcPr>
            <w:tcW w:w="2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15,959,215</w:t>
            </w: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15,873,655</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per share resulting from operations – basic and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500" w:type="dxa"/>
            <w:vAlign w:val="bottom"/>
          </w:tcPr>
          <w:p>
            <w:pPr>
              <w:spacing w:after="0"/>
              <w:rPr>
                <w:sz w:val="18"/>
                <w:szCs w:val="18"/>
                <w:color w:val="auto"/>
              </w:rPr>
            </w:pPr>
          </w:p>
        </w:tc>
      </w:tr>
      <w:tr>
        <w:trPr>
          <w:trHeight w:val="648"/>
        </w:trPr>
        <w:tc>
          <w:tcPr>
            <w:tcW w:w="7240" w:type="dxa"/>
            <w:vAlign w:val="bottom"/>
            <w:tcBorders>
              <w:bottom w:val="single" w:sz="8" w:color="auto"/>
            </w:tcBorders>
            <w:gridSpan w:val="2"/>
          </w:tcPr>
          <w:p>
            <w:pPr>
              <w:jc w:val="right"/>
              <w:ind w:right="13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Note 12. Distributions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231F20"/>
        </w:rPr>
        <w:t>The Company’s distributions are recorded as payable on the declaration date. Stockholders have the option to receive payment of the distribution in cash, shares of common stock, or a combination of cash and common stock.</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three months ended March 31, 2018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DRIP</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DRIP</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Cash</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Share</w:t>
            </w:r>
          </w:p>
        </w:tc>
      </w:tr>
      <w:tr>
        <w:trPr>
          <w:trHeight w:val="234"/>
        </w:trPr>
        <w:tc>
          <w:tcPr>
            <w:tcW w:w="2080" w:type="dxa"/>
            <w:vAlign w:val="bottom"/>
          </w:tcPr>
          <w:p>
            <w:pPr>
              <w:ind w:left="500"/>
              <w:spacing w:after="0"/>
              <w:rPr>
                <w:sz w:val="20"/>
                <w:szCs w:val="20"/>
                <w:color w:val="auto"/>
              </w:rPr>
            </w:pPr>
            <w:r>
              <w:rPr>
                <w:rFonts w:ascii="Arial" w:cs="Arial" w:eastAsia="Arial" w:hAnsi="Arial"/>
                <w:sz w:val="18"/>
                <w:szCs w:val="18"/>
                <w:b w:val="1"/>
                <w:bCs w:val="1"/>
                <w:color w:val="auto"/>
              </w:rPr>
              <w:t>Date Declared</w:t>
            </w:r>
          </w:p>
        </w:tc>
        <w:tc>
          <w:tcPr>
            <w:tcW w:w="120" w:type="dxa"/>
            <w:vAlign w:val="bottom"/>
          </w:tcPr>
          <w:p>
            <w:pPr>
              <w:spacing w:after="0"/>
              <w:rPr>
                <w:sz w:val="20"/>
                <w:szCs w:val="20"/>
                <w:color w:val="auto"/>
              </w:rPr>
            </w:pPr>
          </w:p>
        </w:tc>
        <w:tc>
          <w:tcPr>
            <w:tcW w:w="2180" w:type="dxa"/>
            <w:vAlign w:val="bottom"/>
            <w:gridSpan w:val="2"/>
          </w:tcPr>
          <w:p>
            <w:pPr>
              <w:ind w:left="540"/>
              <w:spacing w:after="0"/>
              <w:rPr>
                <w:sz w:val="20"/>
                <w:szCs w:val="20"/>
                <w:color w:val="auto"/>
              </w:rPr>
            </w:pPr>
            <w:r>
              <w:rPr>
                <w:rFonts w:ascii="Arial" w:cs="Arial" w:eastAsia="Arial" w:hAnsi="Arial"/>
                <w:sz w:val="18"/>
                <w:szCs w:val="18"/>
                <w:b w:val="1"/>
                <w:bCs w:val="1"/>
                <w:color w:val="auto"/>
              </w:rPr>
              <w:t>Record Date</w:t>
            </w:r>
          </w:p>
        </w:tc>
        <w:tc>
          <w:tcPr>
            <w:tcW w:w="2200" w:type="dxa"/>
            <w:vAlign w:val="bottom"/>
            <w:gridSpan w:val="2"/>
          </w:tcPr>
          <w:p>
            <w:pPr>
              <w:ind w:left="50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Per Share</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Issued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Value</w:t>
            </w:r>
          </w:p>
        </w:tc>
      </w:tr>
      <w:tr>
        <w:trPr>
          <w:trHeight w:val="210"/>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1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22, 2018</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January 2, 2018</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February 20, 2018</w:t>
            </w:r>
          </w:p>
        </w:tc>
        <w:tc>
          <w:tcPr>
            <w:tcW w:w="2200" w:type="dxa"/>
            <w:vAlign w:val="bottom"/>
            <w:gridSpan w:val="2"/>
          </w:tcPr>
          <w:p>
            <w:pPr>
              <w:spacing w:after="0"/>
              <w:rPr>
                <w:sz w:val="20"/>
                <w:szCs w:val="20"/>
                <w:color w:val="auto"/>
              </w:rPr>
            </w:pPr>
            <w:r>
              <w:rPr>
                <w:rFonts w:ascii="Arial" w:cs="Arial" w:eastAsia="Arial" w:hAnsi="Arial"/>
                <w:sz w:val="18"/>
                <w:szCs w:val="18"/>
                <w:color w:val="auto"/>
              </w:rPr>
              <w:t>February 27, 2018</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0.0833</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1,275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r>
      <w:tr>
        <w:trPr>
          <w:trHeight w:val="23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March 23, 2018</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29, 2018</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0.0833</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r>
      <w:tr>
        <w:trPr>
          <w:trHeight w:val="223"/>
        </w:trPr>
        <w:tc>
          <w:tcPr>
            <w:tcW w:w="4380" w:type="dxa"/>
            <w:vAlign w:val="bottom"/>
            <w:gridSpan w:val="4"/>
          </w:tcPr>
          <w:p>
            <w:pPr>
              <w:ind w:left="180"/>
              <w:spacing w:after="0"/>
              <w:rPr>
                <w:sz w:val="20"/>
                <w:szCs w:val="20"/>
                <w:color w:val="auto"/>
              </w:rPr>
            </w:pPr>
            <w:r>
              <w:rPr>
                <w:rFonts w:ascii="Arial" w:cs="Arial" w:eastAsia="Arial" w:hAnsi="Arial"/>
                <w:sz w:val="18"/>
                <w:szCs w:val="18"/>
                <w:color w:val="auto"/>
              </w:rPr>
              <w:t>Total Distributions Declared and Distributed</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3,824</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three months ended March 31, 2017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DRIP</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DRIP</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Cash</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Share</w:t>
            </w:r>
          </w:p>
        </w:tc>
      </w:tr>
      <w:tr>
        <w:trPr>
          <w:trHeight w:val="234"/>
        </w:trPr>
        <w:tc>
          <w:tcPr>
            <w:tcW w:w="2080" w:type="dxa"/>
            <w:vAlign w:val="bottom"/>
          </w:tcPr>
          <w:p>
            <w:pPr>
              <w:ind w:left="500"/>
              <w:spacing w:after="0"/>
              <w:rPr>
                <w:sz w:val="20"/>
                <w:szCs w:val="20"/>
                <w:color w:val="auto"/>
              </w:rPr>
            </w:pPr>
            <w:r>
              <w:rPr>
                <w:rFonts w:ascii="Arial" w:cs="Arial" w:eastAsia="Arial" w:hAnsi="Arial"/>
                <w:sz w:val="18"/>
                <w:szCs w:val="18"/>
                <w:b w:val="1"/>
                <w:bCs w:val="1"/>
                <w:color w:val="auto"/>
              </w:rPr>
              <w:t>Date Declared</w:t>
            </w:r>
          </w:p>
        </w:tc>
        <w:tc>
          <w:tcPr>
            <w:tcW w:w="120" w:type="dxa"/>
            <w:vAlign w:val="bottom"/>
          </w:tcPr>
          <w:p>
            <w:pPr>
              <w:spacing w:after="0"/>
              <w:rPr>
                <w:sz w:val="20"/>
                <w:szCs w:val="20"/>
                <w:color w:val="auto"/>
              </w:rPr>
            </w:pPr>
          </w:p>
        </w:tc>
        <w:tc>
          <w:tcPr>
            <w:tcW w:w="2180" w:type="dxa"/>
            <w:vAlign w:val="bottom"/>
            <w:gridSpan w:val="2"/>
          </w:tcPr>
          <w:p>
            <w:pPr>
              <w:ind w:left="540"/>
              <w:spacing w:after="0"/>
              <w:rPr>
                <w:sz w:val="20"/>
                <w:szCs w:val="20"/>
                <w:color w:val="auto"/>
              </w:rPr>
            </w:pPr>
            <w:r>
              <w:rPr>
                <w:rFonts w:ascii="Arial" w:cs="Arial" w:eastAsia="Arial" w:hAnsi="Arial"/>
                <w:sz w:val="18"/>
                <w:szCs w:val="18"/>
                <w:b w:val="1"/>
                <w:bCs w:val="1"/>
                <w:color w:val="auto"/>
              </w:rPr>
              <w:t>Record Date</w:t>
            </w:r>
          </w:p>
        </w:tc>
        <w:tc>
          <w:tcPr>
            <w:tcW w:w="2200" w:type="dxa"/>
            <w:vAlign w:val="bottom"/>
            <w:gridSpan w:val="2"/>
          </w:tcPr>
          <w:p>
            <w:pPr>
              <w:ind w:left="50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Per Share</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Issued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Value</w:t>
            </w:r>
          </w:p>
        </w:tc>
      </w:tr>
      <w:tr>
        <w:trPr>
          <w:trHeight w:val="210"/>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1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 2017</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January 3, 2017</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February 20, 2017</w:t>
            </w:r>
          </w:p>
        </w:tc>
        <w:tc>
          <w:tcPr>
            <w:tcW w:w="2200" w:type="dxa"/>
            <w:vAlign w:val="bottom"/>
            <w:gridSpan w:val="2"/>
          </w:tcPr>
          <w:p>
            <w:pPr>
              <w:spacing w:after="0"/>
              <w:rPr>
                <w:sz w:val="20"/>
                <w:szCs w:val="20"/>
                <w:color w:val="auto"/>
              </w:rPr>
            </w:pPr>
            <w:r>
              <w:rPr>
                <w:rFonts w:ascii="Arial" w:cs="Arial" w:eastAsia="Arial" w:hAnsi="Arial"/>
                <w:sz w:val="18"/>
                <w:szCs w:val="18"/>
                <w:color w:val="auto"/>
              </w:rPr>
              <w:t>February 27, 2017</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1,993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r>
      <w:tr>
        <w:trPr>
          <w:trHeight w:val="23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March 23, 2017</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30, 2017</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4,948</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r>
      <w:tr>
        <w:trPr>
          <w:trHeight w:val="223"/>
        </w:trPr>
        <w:tc>
          <w:tcPr>
            <w:tcW w:w="4380" w:type="dxa"/>
            <w:vAlign w:val="bottom"/>
            <w:gridSpan w:val="4"/>
          </w:tcPr>
          <w:p>
            <w:pPr>
              <w:ind w:left="180"/>
              <w:spacing w:after="0"/>
              <w:rPr>
                <w:sz w:val="20"/>
                <w:szCs w:val="20"/>
                <w:color w:val="auto"/>
              </w:rPr>
            </w:pPr>
            <w:r>
              <w:rPr>
                <w:rFonts w:ascii="Arial" w:cs="Arial" w:eastAsia="Arial" w:hAnsi="Arial"/>
                <w:sz w:val="18"/>
                <w:szCs w:val="18"/>
                <w:color w:val="auto"/>
              </w:rPr>
              <w:t>Total Distributions Declared and Distributed</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5,984</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Highlights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schedule of financial highlights for the three months ended March 31, 2018 and 2017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March 31, 2018</w:t>
            </w:r>
          </w:p>
        </w:tc>
        <w:tc>
          <w:tcPr>
            <w:tcW w:w="14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March 31, 2017</w:t>
            </w: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13.91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15.79</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0.28</w:t>
            </w: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0.39</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Net realized gain (loss) on investments</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22"/>
                <w:szCs w:val="22"/>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unrealized depreciation on investments</w:t>
            </w:r>
            <w:r>
              <w:rPr>
                <w:rFonts w:ascii="Arial" w:cs="Arial" w:eastAsia="Arial" w:hAnsi="Arial"/>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Net unrealized depreciation on Written Call Option</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Tax provision</w:t>
            </w:r>
            <w:r>
              <w:rPr>
                <w:rFonts w:ascii="Arial" w:cs="Arial" w:eastAsia="Arial" w:hAnsi="Arial"/>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Distributions declared from net investment income</w:t>
            </w:r>
          </w:p>
        </w:tc>
        <w:tc>
          <w:tcPr>
            <w:tcW w:w="14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r>
      <w:tr>
        <w:trPr>
          <w:trHeight w:val="270"/>
        </w:trPr>
        <w:tc>
          <w:tcPr>
            <w:tcW w:w="78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Other</w:t>
            </w:r>
            <w:r>
              <w:rPr>
                <w:rFonts w:ascii="Arial" w:cs="Arial" w:eastAsia="Arial" w:hAnsi="Arial"/>
                <w:sz w:val="30"/>
                <w:szCs w:val="30"/>
                <w:color w:val="auto"/>
                <w:vertAlign w:val="superscript"/>
              </w:rPr>
              <w:t>(7)</w:t>
            </w:r>
          </w:p>
        </w:tc>
        <w:tc>
          <w:tcPr>
            <w:tcW w:w="14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10"/>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 value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60" w:type="dxa"/>
            <w:vAlign w:val="bottom"/>
            <w:tcBorders>
              <w:bottom w:val="single" w:sz="8" w:color="CCEEFF"/>
            </w:tcBorders>
          </w:tcPr>
          <w:p>
            <w:pPr>
              <w:spacing w:after="0"/>
              <w:rPr>
                <w:sz w:val="18"/>
                <w:szCs w:val="18"/>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249,479</w:t>
            </w:r>
          </w:p>
        </w:tc>
        <w:tc>
          <w:tcPr>
            <w:tcW w:w="16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15,974,218</w:t>
            </w: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15,883,492</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14.36</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9"/>
                <w:szCs w:val="29"/>
                <w:color w:val="auto"/>
                <w:vertAlign w:val="superscript"/>
              </w:rPr>
              <w:t>(2)</w:t>
            </w:r>
          </w:p>
        </w:tc>
        <w:tc>
          <w:tcPr>
            <w:tcW w:w="140" w:type="dxa"/>
            <w:vAlign w:val="bottom"/>
          </w:tcPr>
          <w:p>
            <w:pPr>
              <w:spacing w:after="0"/>
              <w:rPr>
                <w:sz w:val="22"/>
                <w:szCs w:val="22"/>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22"/>
                <w:szCs w:val="22"/>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11.23%</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(9)</w:t>
            </w:r>
          </w:p>
        </w:tc>
        <w:tc>
          <w:tcPr>
            <w:tcW w:w="140" w:type="dxa"/>
            <w:vAlign w:val="bottom"/>
          </w:tcPr>
          <w:p>
            <w:pPr>
              <w:spacing w:after="0"/>
              <w:rPr>
                <w:sz w:val="22"/>
                <w:szCs w:val="22"/>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8.43%</w:t>
            </w:r>
          </w:p>
        </w:tc>
        <w:tc>
          <w:tcPr>
            <w:tcW w:w="140" w:type="dxa"/>
            <w:vAlign w:val="bottom"/>
          </w:tcPr>
          <w:p>
            <w:pPr>
              <w:spacing w:after="0"/>
              <w:rPr>
                <w:sz w:val="22"/>
                <w:szCs w:val="22"/>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incentive fee, net of incentive fee waiver, to average net assets</w:t>
            </w:r>
            <w:r>
              <w:rPr>
                <w:rFonts w:ascii="Arial" w:cs="Arial" w:eastAsia="Arial" w:hAnsi="Arial"/>
                <w:sz w:val="29"/>
                <w:szCs w:val="29"/>
                <w:color w:val="auto"/>
                <w:vertAlign w:val="superscript"/>
              </w:rPr>
              <w:t>(6)(10)</w:t>
            </w:r>
          </w:p>
        </w:tc>
        <w:tc>
          <w:tcPr>
            <w:tcW w:w="14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0.14%</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Ratio of interest and financing expenses to average net assets</w:t>
            </w:r>
            <w:r>
              <w:rPr>
                <w:rFonts w:ascii="Arial" w:cs="Arial" w:eastAsia="Arial" w:hAnsi="Arial"/>
                <w:sz w:val="29"/>
                <w:szCs w:val="29"/>
                <w:color w:val="auto"/>
                <w:vertAlign w:val="superscript"/>
              </w:rPr>
              <w:t>(8)</w:t>
            </w:r>
          </w:p>
        </w:tc>
        <w:tc>
          <w:tcPr>
            <w:tcW w:w="140" w:type="dxa"/>
            <w:vAlign w:val="bottom"/>
          </w:tcPr>
          <w:p>
            <w:pPr>
              <w:spacing w:after="0"/>
              <w:rPr>
                <w:sz w:val="22"/>
                <w:szCs w:val="22"/>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22"/>
                <w:szCs w:val="22"/>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7.55%</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Ratio of tax provision to average net assets </w:t>
            </w:r>
            <w:r>
              <w:rPr>
                <w:rFonts w:ascii="Arial" w:cs="Arial" w:eastAsia="Arial" w:hAnsi="Arial"/>
                <w:sz w:val="29"/>
                <w:szCs w:val="29"/>
                <w:color w:val="auto"/>
                <w:vertAlign w:val="superscript"/>
              </w:rPr>
              <w:t>(8)</w:t>
            </w:r>
          </w:p>
        </w:tc>
        <w:tc>
          <w:tcPr>
            <w:tcW w:w="14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 xml:space="preserve">Ratio of other operating expenses to average net assets </w:t>
            </w:r>
            <w:r>
              <w:rPr>
                <w:rFonts w:ascii="Arial" w:cs="Arial" w:eastAsia="Arial" w:hAnsi="Arial"/>
                <w:sz w:val="29"/>
                <w:szCs w:val="29"/>
                <w:color w:val="auto"/>
                <w:vertAlign w:val="superscript"/>
              </w:rPr>
              <w:t>(8)</w:t>
            </w:r>
          </w:p>
        </w:tc>
        <w:tc>
          <w:tcPr>
            <w:tcW w:w="140" w:type="dxa"/>
            <w:vAlign w:val="bottom"/>
          </w:tcPr>
          <w:p>
            <w:pPr>
              <w:spacing w:after="0"/>
              <w:rPr>
                <w:sz w:val="22"/>
                <w:szCs w:val="22"/>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22"/>
                <w:szCs w:val="22"/>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5.87%</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total expenses including tax provision, net of fee waivers to average net assets</w:t>
            </w:r>
            <w:r>
              <w:rPr>
                <w:rFonts w:ascii="Arial" w:cs="Arial" w:eastAsia="Arial" w:hAnsi="Arial"/>
                <w:sz w:val="29"/>
                <w:szCs w:val="29"/>
                <w:color w:val="auto"/>
                <w:vertAlign w:val="superscript"/>
              </w:rPr>
              <w:t>(6)(9)</w:t>
            </w:r>
          </w:p>
        </w:tc>
        <w:tc>
          <w:tcPr>
            <w:tcW w:w="14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14.75%</w:t>
            </w: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13.56%</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(3)</w:t>
            </w:r>
          </w:p>
        </w:tc>
        <w:tc>
          <w:tcPr>
            <w:tcW w:w="140" w:type="dxa"/>
            <w:vAlign w:val="bottom"/>
          </w:tcPr>
          <w:p>
            <w:pPr>
              <w:spacing w:after="0"/>
              <w:rPr>
                <w:sz w:val="22"/>
                <w:szCs w:val="22"/>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22"/>
                <w:szCs w:val="22"/>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9"/>
                <w:szCs w:val="29"/>
                <w:color w:val="auto"/>
                <w:vertAlign w:val="superscript"/>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314,132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328,138</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Average debt outstanding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19.66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20.67</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Asset coverage ratio per unit</w:t>
            </w:r>
            <w:r>
              <w:rPr>
                <w:rFonts w:ascii="Arial" w:cs="Arial" w:eastAsia="Arial" w:hAnsi="Arial"/>
                <w:sz w:val="29"/>
                <w:szCs w:val="29"/>
                <w:color w:val="auto"/>
                <w:vertAlign w:val="superscript"/>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2,585</w:t>
            </w:r>
          </w:p>
        </w:tc>
      </w:tr>
      <w:tr>
        <w:trPr>
          <w:trHeight w:val="648"/>
        </w:trPr>
        <w:tc>
          <w:tcPr>
            <w:tcW w:w="7820" w:type="dxa"/>
            <w:vAlign w:val="bottom"/>
            <w:tcBorders>
              <w:bottom w:val="single" w:sz="8" w:color="auto"/>
            </w:tcBorders>
          </w:tcPr>
          <w:p>
            <w:pPr>
              <w:ind w:left="5640"/>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9" w:name="page50"/>
    <w:bookmarkEnd w:id="49"/>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outstanding during the period.</w:t>
      </w:r>
    </w:p>
    <w:p>
      <w:pPr>
        <w:spacing w:after="0" w:line="23"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daily weighted average balance of debt outstanding during the period.</w:t>
      </w:r>
    </w:p>
    <w:p>
      <w:pPr>
        <w:spacing w:after="0" w:line="9" w:lineRule="exact"/>
        <w:rPr>
          <w:rFonts w:ascii="Arial" w:cs="Arial" w:eastAsia="Arial" w:hAnsi="Arial"/>
          <w:sz w:val="18"/>
          <w:szCs w:val="18"/>
          <w:color w:val="auto"/>
        </w:rPr>
      </w:pPr>
    </w:p>
    <w:p>
      <w:pPr>
        <w:jc w:val="both"/>
        <w:ind w:left="460" w:hanging="452"/>
        <w:spacing w:after="0" w:line="265"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March 31, 2018 and March 31, 2017 pursuant to the exemptive relief granted by the SEC in June 2014 that permits us to exclude such debentures from the definition of senior securities in the 200% asset coverage ratio we are required to maintain under the 1940 Act. Asset coverage per unit is expressed in terms of dollar amounts per $1,000 of indebtedness.</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ratio of waived incentive fees to average net assets was 0.00% and 0.38%, for the three months ended March 31, 2018 and March 31, 2017.</w:t>
      </w:r>
    </w:p>
    <w:p>
      <w:pPr>
        <w:spacing w:after="0" w:line="20" w:lineRule="exact"/>
        <w:rPr>
          <w:rFonts w:ascii="Arial" w:cs="Arial" w:eastAsia="Arial" w:hAnsi="Arial"/>
          <w:sz w:val="17"/>
          <w:szCs w:val="17"/>
          <w:color w:val="auto"/>
        </w:rPr>
      </w:pPr>
    </w:p>
    <w:p>
      <w:pPr>
        <w:ind w:left="46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Ratios are annualized. Incentive fees, net of incentive fees waiver, included within the ratio are not annualized.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Ratio is not annualized.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231F20"/>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March 31,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Distributions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On April 2, 2018, the Company’s Board declared normal monthly distributions for April, May, and June of 2018 as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gridSpan w:val="2"/>
          </w:tcPr>
          <w:p>
            <w:pPr>
              <w:ind w:left="1020"/>
              <w:spacing w:after="0"/>
              <w:rPr>
                <w:sz w:val="20"/>
                <w:szCs w:val="20"/>
                <w:color w:val="auto"/>
              </w:rPr>
            </w:pPr>
            <w:r>
              <w:rPr>
                <w:rFonts w:ascii="Arial" w:cs="Arial" w:eastAsia="Arial" w:hAnsi="Arial"/>
                <w:sz w:val="18"/>
                <w:szCs w:val="18"/>
                <w:b w:val="1"/>
                <w:bCs w:val="1"/>
                <w:color w:val="auto"/>
              </w:rPr>
              <w:t>Date Declared</w:t>
            </w:r>
          </w:p>
        </w:tc>
        <w:tc>
          <w:tcPr>
            <w:tcW w:w="3020" w:type="dxa"/>
            <w:vAlign w:val="bottom"/>
          </w:tcPr>
          <w:p>
            <w:pPr>
              <w:ind w:left="1020"/>
              <w:spacing w:after="0"/>
              <w:rPr>
                <w:sz w:val="20"/>
                <w:szCs w:val="20"/>
                <w:color w:val="auto"/>
              </w:rPr>
            </w:pPr>
            <w:r>
              <w:rPr>
                <w:rFonts w:ascii="Arial" w:cs="Arial" w:eastAsia="Arial" w:hAnsi="Arial"/>
                <w:sz w:val="18"/>
                <w:szCs w:val="18"/>
                <w:b w:val="1"/>
                <w:bCs w:val="1"/>
                <w:color w:val="auto"/>
              </w:rPr>
              <w:t>Record Date</w:t>
            </w:r>
          </w:p>
        </w:tc>
        <w:tc>
          <w:tcPr>
            <w:tcW w:w="100" w:type="dxa"/>
            <w:vAlign w:val="bottom"/>
          </w:tcPr>
          <w:p>
            <w:pPr>
              <w:spacing w:after="0"/>
              <w:rPr>
                <w:sz w:val="20"/>
                <w:szCs w:val="20"/>
                <w:color w:val="auto"/>
              </w:rPr>
            </w:pPr>
          </w:p>
        </w:tc>
        <w:tc>
          <w:tcPr>
            <w:tcW w:w="3160" w:type="dxa"/>
            <w:vAlign w:val="bottom"/>
            <w:gridSpan w:val="2"/>
          </w:tcPr>
          <w:p>
            <w:pPr>
              <w:ind w:left="980"/>
              <w:spacing w:after="0"/>
              <w:rPr>
                <w:sz w:val="20"/>
                <w:szCs w:val="20"/>
                <w:color w:val="auto"/>
              </w:rPr>
            </w:pPr>
            <w:r>
              <w:rPr>
                <w:rFonts w:ascii="Arial" w:cs="Arial" w:eastAsia="Arial" w:hAnsi="Arial"/>
                <w:sz w:val="18"/>
                <w:szCs w:val="18"/>
                <w:b w:val="1"/>
                <w:bCs w:val="1"/>
                <w:color w:val="auto"/>
              </w:rPr>
              <w:t>Payment Date</w:t>
            </w: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w w:val="94"/>
              </w:rPr>
              <w:t>Distributions per Share</w:t>
            </w: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 2018</w:t>
            </w:r>
          </w:p>
        </w:tc>
        <w:tc>
          <w:tcPr>
            <w:tcW w:w="1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19, 2018</w:t>
            </w:r>
          </w:p>
        </w:tc>
        <w:tc>
          <w:tcPr>
            <w:tcW w:w="10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27, 2018</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3020" w:type="dxa"/>
            <w:vAlign w:val="bottom"/>
          </w:tcPr>
          <w:p>
            <w:pPr>
              <w:spacing w:after="0"/>
              <w:rPr>
                <w:sz w:val="20"/>
                <w:szCs w:val="20"/>
                <w:color w:val="auto"/>
              </w:rPr>
            </w:pPr>
            <w:r>
              <w:rPr>
                <w:rFonts w:ascii="Arial" w:cs="Arial" w:eastAsia="Arial" w:hAnsi="Arial"/>
                <w:sz w:val="18"/>
                <w:szCs w:val="18"/>
                <w:color w:val="auto"/>
              </w:rPr>
              <w:t>May 22, 2018</w:t>
            </w: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May 30, 2018</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 2018</w:t>
            </w: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June 20, 2018</w:t>
            </w:r>
          </w:p>
        </w:tc>
        <w:tc>
          <w:tcPr>
            <w:tcW w:w="3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June 28, 2018</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Portfolio Activity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On April 2, 2018, the Company restructured its investment in Cedar Electronics Holdings Corp., exchanging its $21.6 million subordinated debt investment for 4,759,250 Class C Preferred Units, 16,562,190 Class D Preferred Units, and 19.04% of the Class E Common Units of Cedar Ultimate Parent, LLC.</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specified, references to “we,” “us,” “our” or the “Company”, refer to Capitala Finance Corp.</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Some of the statements in the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spacing w:after="0" w:line="181" w:lineRule="exact"/>
        <w:rPr>
          <w:sz w:val="20"/>
          <w:szCs w:val="20"/>
          <w:color w:val="auto"/>
        </w:rPr>
      </w:pPr>
    </w:p>
    <w:p>
      <w:pPr>
        <w:ind w:left="1620" w:hanging="3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1660" w:right="20" w:hanging="342"/>
        <w:spacing w:after="0" w:line="277" w:lineRule="auto"/>
        <w:tabs>
          <w:tab w:leader="none" w:pos="1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1660" w:hanging="342"/>
        <w:spacing w:after="0"/>
        <w:tabs>
          <w:tab w:leader="none" w:pos="1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contraction of available credit and/or an inability to access the equity markets could impair our lending and investment activities;</w:t>
      </w:r>
    </w:p>
    <w:p>
      <w:pPr>
        <w:spacing w:after="0" w:line="236" w:lineRule="exact"/>
        <w:rPr>
          <w:rFonts w:ascii="Arial" w:cs="Arial" w:eastAsia="Arial" w:hAnsi="Arial"/>
          <w:sz w:val="17"/>
          <w:szCs w:val="17"/>
          <w:color w:val="auto"/>
        </w:rPr>
      </w:pPr>
    </w:p>
    <w:p>
      <w:pPr>
        <w:ind w:left="1660" w:hanging="342"/>
        <w:spacing w:after="0"/>
        <w:tabs>
          <w:tab w:leader="none" w:pos="1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if we use leverage as part of our investment strategy; and</w:t>
      </w:r>
    </w:p>
    <w:p>
      <w:pPr>
        <w:spacing w:after="0" w:line="236" w:lineRule="exact"/>
        <w:rPr>
          <w:rFonts w:ascii="Arial" w:cs="Arial" w:eastAsia="Arial" w:hAnsi="Arial"/>
          <w:sz w:val="17"/>
          <w:szCs w:val="17"/>
          <w:color w:val="auto"/>
        </w:rPr>
      </w:pPr>
    </w:p>
    <w:p>
      <w:pPr>
        <w:ind w:left="1660" w:hanging="342"/>
        <w:spacing w:after="0"/>
        <w:tabs>
          <w:tab w:leader="none" w:pos="1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our Annual Report on Form 10-K.</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2017.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ind w:left="120"/>
        <w:spacing w:after="0"/>
        <w:rPr>
          <w:sz w:val="20"/>
          <w:szCs w:val="20"/>
          <w:color w:val="auto"/>
        </w:rPr>
      </w:pPr>
      <w:r>
        <w:rPr>
          <w:rFonts w:ascii="Arial" w:cs="Arial" w:eastAsia="Arial" w:hAnsi="Arial"/>
          <w:sz w:val="18"/>
          <w:szCs w:val="18"/>
          <w:b w:val="1"/>
          <w:bCs w:val="1"/>
          <w:color w:val="231F20"/>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We are a Maryland corporation that has elected to be regulated as a business development company (‘‘BDC’’) under the Investment Company Act of 1940 as amended (the ‘‘1940 Act’’). We are an ‘‘emerging growth company’’ within the meaning of the Jumpstart Our Business Startups Act of 2012, and as such, are subject to reduced public company reporting requirements.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 million in trailing twelve-month earnings before interest, tax, depreciation, and amortization (‘‘EBITDA’’).</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31F20"/>
        </w:rPr>
        <w:t>We invest in first lien loans, second lien loans, and subordinated loans. Most of our debt investments are coupled with equity interests, whether in the form of detachable ‘‘penny’’ warrants or equity co-investments made pari-passu with our borrowers’ financial sponsors.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231F20"/>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(or 150%, if certain requirements are met) after such borrowing, with certain limited exceptions. On March 23, 2018, the Small Business Credit Availability Act (the “SBCA”) was signed into law, which included various changes to regulations under the federal securities laws that impact BDCs. The SBCA included changes to the 1940 Act to allow BDCs to decrease their asset coverage requirement from 200% to 150% (i.e. the amount of debt may not exceed 66.7% of the value of our total assets), if certain requirements are met.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Corporate History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231F20"/>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w:t>
      </w:r>
    </w:p>
    <w:p>
      <w:pPr>
        <w:jc w:val="both"/>
        <w:ind w:firstLine="8"/>
        <w:spacing w:after="0" w:line="254" w:lineRule="auto"/>
        <w:tabs>
          <w:tab w:leader="none" w:pos="238"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retained their SBIC licenses,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At the time of the Formation Transactions, our portfolio consisted of: (1) approximately $326.3 million in investments; (2) an aggregate of approximately $67.1 million in cash, interest receivable and other assets; and (3) liabilities of approximately $202.2 million of U.S. Small Business Administration (‘‘SBA’’) guaranteed debt payable. We have two subsidiaries licensed under the Small Business Investment Company (‘‘SBIC’’) Act that have elected to be regulated as BDCs under the 1940 Act.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During the fourth quarter of 2017, Florida Sidecar transferred all of its assets to Capitala Finance Corp. and was legally dissolved as a standalone partnership.</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The Company has formed and expects to continue to form certain consolidated taxable subsidiaries (the ‘‘Taxable Subsidiaries’’), which are taxed as corporations for income tax purposes. These Taxable Subsidiaries allow the Company to make equity investments in companies organized as pass-through entities while continuing to satisfy the requirements of a RIC under the Code.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231F20"/>
        </w:rPr>
        <w:t>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 xml:space="preserve">The Company is considered an investment company as defined in Accounting Standards Codification (‘‘ASC’’) Topic 946 — </w:t>
      </w:r>
      <w:r>
        <w:rPr>
          <w:rFonts w:ascii="Arial" w:cs="Arial" w:eastAsia="Arial" w:hAnsi="Arial"/>
          <w:sz w:val="17"/>
          <w:szCs w:val="17"/>
          <w:i w:val="1"/>
          <w:iCs w:val="1"/>
          <w:color w:val="231F20"/>
        </w:rPr>
        <w:t>Financial Services</w:t>
      </w:r>
      <w:r>
        <w:rPr>
          <w:rFonts w:ascii="Arial" w:cs="Arial" w:eastAsia="Arial" w:hAnsi="Arial"/>
          <w:sz w:val="17"/>
          <w:szCs w:val="17"/>
          <w:color w:val="231F20"/>
        </w:rPr>
        <w:t xml:space="preserve"> — </w:t>
      </w:r>
      <w:r>
        <w:rPr>
          <w:rFonts w:ascii="Arial" w:cs="Arial" w:eastAsia="Arial" w:hAnsi="Arial"/>
          <w:sz w:val="17"/>
          <w:szCs w:val="17"/>
          <w:i w:val="1"/>
          <w:iCs w:val="1"/>
          <w:color w:val="231F20"/>
        </w:rPr>
        <w:t xml:space="preserve">Investment Companies </w:t>
      </w:r>
      <w:r>
        <w:rPr>
          <w:rFonts w:ascii="Arial" w:cs="Arial" w:eastAsia="Arial" w:hAnsi="Arial"/>
          <w:sz w:val="17"/>
          <w:szCs w:val="17"/>
          <w:color w:val="231F20"/>
        </w:rPr>
        <w:t>(‘‘ASC 946’’). The accompanying unaudited consolidated financial statements have been prepared on the accrual basis of accounting</w:t>
      </w:r>
      <w:r>
        <w:rPr>
          <w:rFonts w:ascii="Arial" w:cs="Arial" w:eastAsia="Arial" w:hAnsi="Arial"/>
          <w:sz w:val="17"/>
          <w:szCs w:val="17"/>
          <w:i w:val="1"/>
          <w:iCs w:val="1"/>
          <w:color w:val="231F20"/>
        </w:rPr>
        <w:t xml:space="preserve"> </w:t>
      </w:r>
      <w:r>
        <w:rPr>
          <w:rFonts w:ascii="Arial" w:cs="Arial" w:eastAsia="Arial" w:hAnsi="Arial"/>
          <w:sz w:val="17"/>
          <w:szCs w:val="17"/>
          <w:color w:val="231F20"/>
        </w:rPr>
        <w:t>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Florida Sidecar, and the Taxable Subsidiaries.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The Company’s financial statements as of March 31, 2018 and December 31, 2017 are presented on a consolidated basis. The effects of all intercompany transactions between the Company and its subsidiaries (Fund II, Fund III, Florida Sidecar,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Consolidation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As provided under Regulation S-X and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Florida Sidecar, and the Taxable Subsidiaries) in its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Revenues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amendment, structuring or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Expenses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8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Securities Exchange Act of 1934, as amended (the “1934 Act”), other applicable federal and state securities laws and ongoing stock exchange listing fees;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22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their respective administrative support staff.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Use of Estimates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231F20"/>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financial statements, certain accounting policies and estimates are considered critical due to their impact on the reported amounts of assets and liabilities at the date of the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Valuation of Investments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 xml:space="preserve">The Company applies fair value accounting to all of its financial instruments in accordance with the 1940 Act and ASC Topic 820 — </w:t>
      </w:r>
      <w:r>
        <w:rPr>
          <w:rFonts w:ascii="Arial" w:cs="Arial" w:eastAsia="Arial" w:hAnsi="Arial"/>
          <w:sz w:val="17"/>
          <w:szCs w:val="17"/>
          <w:i w:val="1"/>
          <w:iCs w:val="1"/>
          <w:color w:val="231F20"/>
        </w:rPr>
        <w:t>Fair Value</w:t>
      </w:r>
      <w:r>
        <w:rPr>
          <w:rFonts w:ascii="Arial" w:cs="Arial" w:eastAsia="Arial" w:hAnsi="Arial"/>
          <w:sz w:val="17"/>
          <w:szCs w:val="17"/>
          <w:color w:val="231F20"/>
        </w:rPr>
        <w:t xml:space="preserve"> </w:t>
      </w:r>
      <w:r>
        <w:rPr>
          <w:rFonts w:ascii="Arial" w:cs="Arial" w:eastAsia="Arial" w:hAnsi="Arial"/>
          <w:sz w:val="17"/>
          <w:szCs w:val="17"/>
          <w:i w:val="1"/>
          <w:iCs w:val="1"/>
          <w:color w:val="231F20"/>
        </w:rPr>
        <w:t xml:space="preserve">Measurements and Disclosures </w:t>
      </w:r>
      <w:r>
        <w:rPr>
          <w:rFonts w:ascii="Arial" w:cs="Arial" w:eastAsia="Arial" w:hAnsi="Arial"/>
          <w:sz w:val="17"/>
          <w:szCs w:val="17"/>
          <w:color w:val="231F20"/>
        </w:rPr>
        <w:t>(‘‘ASC 820’’). ASC 820 defines fair value, establishes a framework used to measure fair value and requires disclosures for</w:t>
      </w:r>
      <w:r>
        <w:rPr>
          <w:rFonts w:ascii="Arial" w:cs="Arial" w:eastAsia="Arial" w:hAnsi="Arial"/>
          <w:sz w:val="17"/>
          <w:szCs w:val="17"/>
          <w:i w:val="1"/>
          <w:iCs w:val="1"/>
          <w:color w:val="231F20"/>
        </w:rPr>
        <w:t xml:space="preserve"> </w:t>
      </w:r>
      <w:r>
        <w:rPr>
          <w:rFonts w:ascii="Arial" w:cs="Arial" w:eastAsia="Arial" w:hAnsi="Arial"/>
          <w:sz w:val="17"/>
          <w:szCs w:val="17"/>
          <w:color w:val="231F20"/>
        </w:rPr>
        <w:t>fair 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231F20"/>
        </w:rPr>
        <w:t xml:space="preserve">Level 1 </w:t>
      </w:r>
      <w:r>
        <w:rPr>
          <w:rFonts w:ascii="Arial" w:cs="Arial" w:eastAsia="Arial" w:hAnsi="Arial"/>
          <w:sz w:val="18"/>
          <w:szCs w:val="18"/>
          <w:color w:val="231F20"/>
        </w:rPr>
        <w:t>— Valuations based on unadjusted quoted prices in active markets for identical assets or liabilities that the Company has the ability to</w:t>
      </w:r>
      <w:r>
        <w:rPr>
          <w:rFonts w:ascii="Arial" w:cs="Arial" w:eastAsia="Arial" w:hAnsi="Arial"/>
          <w:sz w:val="18"/>
          <w:szCs w:val="18"/>
          <w:b w:val="1"/>
          <w:bCs w:val="1"/>
          <w:color w:val="231F20"/>
        </w:rPr>
        <w:t xml:space="preserve"> </w:t>
      </w:r>
      <w:r>
        <w:rPr>
          <w:rFonts w:ascii="Arial" w:cs="Arial" w:eastAsia="Arial" w:hAnsi="Arial"/>
          <w:sz w:val="18"/>
          <w:szCs w:val="18"/>
          <w:color w:val="231F20"/>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231F20"/>
        </w:rPr>
        <w:t xml:space="preserve">Level 2 </w:t>
      </w:r>
      <w:r>
        <w:rPr>
          <w:rFonts w:ascii="Arial" w:cs="Arial" w:eastAsia="Arial" w:hAnsi="Arial"/>
          <w:sz w:val="18"/>
          <w:szCs w:val="18"/>
          <w:color w:val="231F20"/>
        </w:rPr>
        <w:t>— Valuations based on quoted prices in markets that are not active or for which all significant inputs are observable, either directly or</w:t>
      </w:r>
      <w:r>
        <w:rPr>
          <w:rFonts w:ascii="Arial" w:cs="Arial" w:eastAsia="Arial" w:hAnsi="Arial"/>
          <w:sz w:val="18"/>
          <w:szCs w:val="18"/>
          <w:b w:val="1"/>
          <w:bCs w:val="1"/>
          <w:color w:val="231F20"/>
        </w:rPr>
        <w:t xml:space="preserve"> </w:t>
      </w:r>
      <w:r>
        <w:rPr>
          <w:rFonts w:ascii="Arial" w:cs="Arial" w:eastAsia="Arial" w:hAnsi="Arial"/>
          <w:sz w:val="18"/>
          <w:szCs w:val="18"/>
          <w:color w:val="231F20"/>
        </w:rPr>
        <w:t>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231F20"/>
        </w:rPr>
        <w:t xml:space="preserve">Level 3 </w:t>
      </w:r>
      <w:r>
        <w:rPr>
          <w:rFonts w:ascii="Arial" w:cs="Arial" w:eastAsia="Arial" w:hAnsi="Arial"/>
          <w:sz w:val="18"/>
          <w:szCs w:val="18"/>
          <w:color w:val="231F20"/>
        </w:rPr>
        <w:t>— Valuations based on inputs that are unobservable and significant to the overall fair value measurement.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231F20"/>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112" w:gutter="0" w:footer="0" w:header="0"/>
        </w:sectPr>
      </w:pPr>
    </w:p>
    <w:bookmarkStart w:id="54" w:name="page55"/>
    <w:bookmarkEnd w:id="54"/>
    <w:p>
      <w:pPr>
        <w:jc w:val="both"/>
        <w:ind w:firstLine="648"/>
        <w:spacing w:after="0" w:line="257" w:lineRule="auto"/>
        <w:rPr>
          <w:sz w:val="20"/>
          <w:szCs w:val="20"/>
          <w:color w:val="auto"/>
        </w:rPr>
      </w:pPr>
      <w:r>
        <w:rPr>
          <w:rFonts w:ascii="Arial" w:cs="Arial" w:eastAsia="Arial" w:hAnsi="Arial"/>
          <w:sz w:val="18"/>
          <w:szCs w:val="18"/>
          <w:color w:val="231F20"/>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31F20"/>
        </w:rPr>
        <w:t>In estimating the fair value of portfolio investments, the Company starts with the cost basis of the investment, which includes original issue discount and payment-in-kind income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Enterprise Value Waterfall Approach</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231F20"/>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231F20"/>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231F20"/>
        </w:rPr>
        <w:t>Asset Approach</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231F20"/>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The Company’s revenue recognition policies are as follows: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231F20"/>
        </w:rPr>
        <w:t xml:space="preserve">Interest income and paid-in-kind interest income: </w:t>
      </w:r>
      <w:r>
        <w:rPr>
          <w:rFonts w:ascii="Arial" w:cs="Arial" w:eastAsia="Arial" w:hAnsi="Arial"/>
          <w:sz w:val="16"/>
          <w:szCs w:val="16"/>
          <w:color w:val="231F20"/>
        </w:rPr>
        <w:t>Interest income is recorded on the accrual basis to the extent that such amounts are expected to be</w:t>
      </w:r>
      <w:r>
        <w:rPr>
          <w:rFonts w:ascii="Arial" w:cs="Arial" w:eastAsia="Arial" w:hAnsi="Arial"/>
          <w:sz w:val="16"/>
          <w:szCs w:val="16"/>
          <w:i w:val="1"/>
          <w:iCs w:val="1"/>
          <w:color w:val="231F20"/>
        </w:rPr>
        <w:t xml:space="preserve"> </w:t>
      </w:r>
      <w:r>
        <w:rPr>
          <w:rFonts w:ascii="Arial" w:cs="Arial" w:eastAsia="Arial" w:hAnsi="Arial"/>
          <w:sz w:val="16"/>
          <w:szCs w:val="16"/>
          <w:color w:val="231F20"/>
        </w:rPr>
        <w:t>collected. The Company has loans in the portfolio that contain a payment-in-kind interest (‘‘PIK interest’’)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ind w:firstLine="648"/>
        <w:spacing w:after="0" w:line="290" w:lineRule="auto"/>
        <w:rPr>
          <w:sz w:val="20"/>
          <w:szCs w:val="20"/>
          <w:color w:val="auto"/>
        </w:rPr>
      </w:pPr>
      <w:r>
        <w:rPr>
          <w:rFonts w:ascii="Arial" w:cs="Arial" w:eastAsia="Arial" w:hAnsi="Arial"/>
          <w:sz w:val="16"/>
          <w:szCs w:val="16"/>
          <w:i w:val="1"/>
          <w:iCs w:val="1"/>
          <w:color w:val="231F20"/>
        </w:rPr>
        <w:t xml:space="preserve">Non-accrual investments: </w:t>
      </w:r>
      <w:r>
        <w:rPr>
          <w:rFonts w:ascii="Arial" w:cs="Arial" w:eastAsia="Arial" w:hAnsi="Arial"/>
          <w:sz w:val="16"/>
          <w:szCs w:val="16"/>
          <w:color w:val="231F20"/>
        </w:rPr>
        <w:t>Management reviews all loans that become 90 days or more past due, or when there is reasonable doubt that principal or</w:t>
      </w:r>
      <w:r>
        <w:rPr>
          <w:rFonts w:ascii="Arial" w:cs="Arial" w:eastAsia="Arial" w:hAnsi="Arial"/>
          <w:sz w:val="16"/>
          <w:szCs w:val="16"/>
          <w:i w:val="1"/>
          <w:iCs w:val="1"/>
          <w:color w:val="231F20"/>
        </w:rPr>
        <w:t xml:space="preserve"> </w:t>
      </w:r>
      <w:r>
        <w:rPr>
          <w:rFonts w:ascii="Arial" w:cs="Arial" w:eastAsia="Arial" w:hAnsi="Arial"/>
          <w:sz w:val="16"/>
          <w:szCs w:val="16"/>
          <w:color w:val="231F20"/>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231F20"/>
        </w:rPr>
        <w:t xml:space="preserve">Gains and losses on investment sales and paydowns: </w:t>
      </w:r>
      <w:r>
        <w:rPr>
          <w:rFonts w:ascii="Arial" w:cs="Arial" w:eastAsia="Arial" w:hAnsi="Arial"/>
          <w:sz w:val="16"/>
          <w:szCs w:val="16"/>
          <w:color w:val="231F20"/>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231F20"/>
        </w:rPr>
        <w:t xml:space="preserve">Dividend income and paid-in-kind dividends: </w:t>
      </w:r>
      <w:r>
        <w:rPr>
          <w:rFonts w:ascii="Arial" w:cs="Arial" w:eastAsia="Arial" w:hAnsi="Arial"/>
          <w:sz w:val="17"/>
          <w:szCs w:val="17"/>
          <w:color w:val="231F20"/>
        </w:rPr>
        <w:t>Dividend income is recognized on the date dividends are declared. The Company holds preferred</w:t>
      </w:r>
      <w:r>
        <w:rPr>
          <w:rFonts w:ascii="Arial" w:cs="Arial" w:eastAsia="Arial" w:hAnsi="Arial"/>
          <w:sz w:val="17"/>
          <w:szCs w:val="17"/>
          <w:i w:val="1"/>
          <w:iCs w:val="1"/>
          <w:color w:val="231F20"/>
        </w:rPr>
        <w:t xml:space="preserve"> </w:t>
      </w:r>
      <w:r>
        <w:rPr>
          <w:rFonts w:ascii="Arial" w:cs="Arial" w:eastAsia="Arial" w:hAnsi="Arial"/>
          <w:sz w:val="17"/>
          <w:szCs w:val="17"/>
          <w:color w:val="231F20"/>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231F20"/>
        </w:rPr>
        <w:t xml:space="preserve">Original issue discount: </w:t>
      </w:r>
      <w:r>
        <w:rPr>
          <w:rFonts w:ascii="Arial" w:cs="Arial" w:eastAsia="Arial" w:hAnsi="Arial"/>
          <w:sz w:val="18"/>
          <w:szCs w:val="18"/>
          <w:color w:val="231F20"/>
        </w:rPr>
        <w:t>Discounts received to par on loans purchased are capitalized and accreted into income over the life of the loan. Any</w:t>
      </w:r>
      <w:r>
        <w:rPr>
          <w:rFonts w:ascii="Arial" w:cs="Arial" w:eastAsia="Arial" w:hAnsi="Arial"/>
          <w:sz w:val="18"/>
          <w:szCs w:val="18"/>
          <w:i w:val="1"/>
          <w:iCs w:val="1"/>
          <w:color w:val="231F20"/>
        </w:rPr>
        <w:t xml:space="preserve"> </w:t>
      </w:r>
      <w:r>
        <w:rPr>
          <w:rFonts w:ascii="Arial" w:cs="Arial" w:eastAsia="Arial" w:hAnsi="Arial"/>
          <w:sz w:val="18"/>
          <w:szCs w:val="18"/>
          <w:color w:val="231F20"/>
        </w:rPr>
        <w:t>remaining discount is accreted into income upon prepayment of the loan.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231F20"/>
        </w:rPr>
        <w:t xml:space="preserve">Other income: </w:t>
      </w:r>
      <w:r>
        <w:rPr>
          <w:rFonts w:ascii="Arial" w:cs="Arial" w:eastAsia="Arial" w:hAnsi="Arial"/>
          <w:sz w:val="18"/>
          <w:szCs w:val="18"/>
          <w:color w:val="231F20"/>
        </w:rPr>
        <w:t>Origination fees (to the extent services are performed to earn such income), amendment fees, consent fees, and other fees associated</w:t>
      </w:r>
      <w:r>
        <w:rPr>
          <w:rFonts w:ascii="Arial" w:cs="Arial" w:eastAsia="Arial" w:hAnsi="Arial"/>
          <w:sz w:val="18"/>
          <w:szCs w:val="18"/>
          <w:i w:val="1"/>
          <w:iCs w:val="1"/>
          <w:color w:val="231F20"/>
        </w:rPr>
        <w:t xml:space="preserve"> </w:t>
      </w:r>
      <w:r>
        <w:rPr>
          <w:rFonts w:ascii="Arial" w:cs="Arial" w:eastAsia="Arial" w:hAnsi="Arial"/>
          <w:sz w:val="18"/>
          <w:szCs w:val="18"/>
          <w:color w:val="231F20"/>
        </w:rPr>
        <w:t>with investments in portfolio companies are recognized as income when the investment transaction closes. Prepayment penalties received by the Company for debt instruments repaid prior to the maturity date are recorded as income upon receipt.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231F20"/>
        </w:rPr>
        <w:t>For U.S. federal income tax purposes, as of March 31, 2018, the aggregate net unrealized appreciation for all securities was $27.7 million. As of March 31, 2018, gross unrealized appreciation was $82.0 million and gross unrealized depreciation was $54.3 million. The aggregate cost of securities for U.S. federal income tax purposes was $476.0 million.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The Company’s Taxable Subsidiaries record deferred tax assets or liabilities related to temporary book versus tax differences on the income or loss generated by the underlying equity investments held by the Taxable Subsidiaries. As of March 31, 2018 and December 31, 2017, the Company recorded a net deferred tax liability of $1.3 million and $1.3 million, respectively. For the three months ended March 31, 2018, the Company recorded a tax provision of $50 thousand. For the three months ended March 31, 2017, no tax provision was recorded.</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31F20"/>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680" w:gutter="0" w:footer="0" w:header="0"/>
        </w:sectPr>
      </w:pPr>
    </w:p>
    <w:bookmarkStart w:id="56" w:name="page57"/>
    <w:bookmarkEnd w:id="56"/>
    <w:p>
      <w:pPr>
        <w:jc w:val="both"/>
        <w:ind w:firstLine="648"/>
        <w:spacing w:after="0" w:line="255" w:lineRule="auto"/>
        <w:rPr>
          <w:sz w:val="20"/>
          <w:szCs w:val="20"/>
          <w:color w:val="auto"/>
        </w:rPr>
      </w:pPr>
      <w:r>
        <w:rPr>
          <w:rFonts w:ascii="Arial" w:cs="Arial" w:eastAsia="Arial" w:hAnsi="Arial"/>
          <w:sz w:val="18"/>
          <w:szCs w:val="18"/>
          <w:color w:val="231F20"/>
        </w:rPr>
        <w:t xml:space="preserve">ASC Topic 740 — </w:t>
      </w:r>
      <w:r>
        <w:rPr>
          <w:rFonts w:ascii="Arial" w:cs="Arial" w:eastAsia="Arial" w:hAnsi="Arial"/>
          <w:sz w:val="18"/>
          <w:szCs w:val="18"/>
          <w:i w:val="1"/>
          <w:iCs w:val="1"/>
          <w:color w:val="231F20"/>
        </w:rPr>
        <w:t>Income Taxes</w:t>
      </w:r>
      <w:r>
        <w:rPr>
          <w:rFonts w:ascii="Arial" w:cs="Arial" w:eastAsia="Arial" w:hAnsi="Arial"/>
          <w:sz w:val="18"/>
          <w:szCs w:val="18"/>
          <w:color w:val="231F20"/>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2018 and December 31, 2017, there were no uncertain tax positions.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231F20"/>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The Company has concluded that it was not necessary to record a liability for any such tax positions as of March 31, 2018 and December 31, 2017.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231F20"/>
        </w:rPr>
        <w:t>The tax years ended August 31, 2017, 2016, 2015, and 2014 remain subject to examination by U.S. federal, state, and local tax authorities. No interest expense or penalties have been assessed for the periods ended March 31, 2018 and March 31, 2017. If the Company was required to recognize interest and penalties, if any, related to unrecognized tax benefits this would be recognized as income tax expense in the consolidated statements of operations.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The Company has elected to amend its tax year end from August 31 to December 31 and expects to file a tax return for the four months ended December 31, 2017. The election to change tax year end is not expected to have a material impact on the Company’s consolidated statements of operations, the Company’s tax status as a RIC, or the nature of distributions paid to our stockholders.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On December 22, 2017, the United States enacted tax reform legislation through the Tax Cuts and Jobs Act, which significantly changes the existing U.S. tax laws, including a reduction in the corporate tax rate from 35% to 21%, a move from a worldwide tax system to a territorial system, as well as other changes. The Taxable Subsidiaries’ provisional tax is based on the new lower blended federal and state corporate tax rate of 25%. This estimate incorporates assumptions made based on the Taxable Subsidiaries’ current interpretation of the Tax Act and may change, possibly materially, as we complete our analysis and receive additional clarification and implementation guidance.</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Portfolio and Investment Activity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231F20"/>
        </w:rPr>
        <w:t>The Company’s investment objective is to generate both current income and capital appreciation through debt and equity investments. Both directly and through the Company’s subsidiaries that are licensed by the SBA under the SBIC Act,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and subordinated loans. Most of the Company’s debt investments are coupled with equity interests, whether in the form of detachable “penny” warrants or equity co-investments made pari-passu with our borrowers’ financial sponsors. As of March 31, 2018, our portfolio consisted of investments in 46 portfolio companies with a fair value of approximately $503.7 million.</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Unitranche debt, a form of first lien loan, typically involves issuing one debt security that blends the risk and return profiles of both senior secured and subordinated debt in one debt security, bifurcating the loan into a first-out tranche and last-out tranche. As of March 31, 2018, 12.9% of the fair value of our first lien loans consisted of last-out loans. In some cases, first lien loans may be subordinated, solely with respect to the payment of cash interest, to an asset based revolving credit facility.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the Company at the first lien lender’s discretion.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In addition to first and second lien loans, the Company may also invest in subordinated loans. Subordinated loans typically have a second lien on all or substantially all of the borrower’s assets, and unlike second lien loans, may be subject to the interruption of cash interest payments upon certain events of default, at the discretion of the first lien lender.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During the three months ended March 31, 2018, we made approximately $27.8 million of investments and had approximately $21.4 million in repayments and sales of investments resulting in net investments of approximately $6.4 million for the period. During the three months ended March 31, 2017, we made approximately $21.7 million of investments and had approximately $33.0 million in repayments and sales resulting in net repayments and sales of approximately $11.3 million for the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ind w:firstLine="648"/>
        <w:spacing w:after="0" w:line="276" w:lineRule="auto"/>
        <w:rPr>
          <w:sz w:val="20"/>
          <w:szCs w:val="20"/>
          <w:color w:val="auto"/>
        </w:rPr>
      </w:pPr>
      <w:r>
        <w:rPr>
          <w:rFonts w:ascii="Arial" w:cs="Arial" w:eastAsia="Arial" w:hAnsi="Arial"/>
          <w:sz w:val="17"/>
          <w:szCs w:val="17"/>
          <w:color w:val="231F20"/>
        </w:rPr>
        <w:t>On August 31, 2016, we sold a portion of 14 securities across 10 portfolio companies to CapitalSouth Partners Florida Sidecar Fund II, L.P. (‘‘FSC II’’), including granting an option to acquire a portion of our equity investment in Eastport Holdings, LLC (the ‘‘Written Call Option’’), in exchange for 100% of the partnership interests in FSC II. Concurrent with the sale of these assets to FSC II, we received cash consideration of $47.6 million from an affiliated third-party purchaser in exchange for 100% of the partnership interests of FSC II. These assets were sold to FSC II at their June 30, 2016 fair market values, resulting in a net realized gain of $0.1 million. Our Board pre-approved this transaction pursuant to Section 57(f) of the 1940 Act.</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231F20"/>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The Written Call Option granted FSC II the right to purchase up to 31.25% of our equity investment in Eastport Holdings, LLC. The Written Call Option has a strike price of $1.5 million and a termination date of August 31, 2018. The fair value of the Written Call Option, which has been treated as a derivative liability and is recorded in the financial statement line item Written Call Option at fair value in our consolidated statements of assets and liabilities, was approximately $6.8 million and $6.8 million as of March 31, 2018 and December 31, 2017, respectively. For purposes of determining the fair value of the Written Call Option, we calculated the difference in the fair value of the underlying equity investment in Eastport Holdings, LLC and the strike price of the Written Call Option, or intrinsic value. The time value of the Written Call Option as of March 31, 2018 and December 31, 2017 was determined to be insignificant. The Written Call Option is classified as a Level 3 financial instrument. The Written Call Option remained outstanding as of March 31, 2018 and December 31, 2017.</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As of March 31, 2018, our average portfolio company investment and our largest portfolio company investment at amortized cost and fair value was approximately $10.2 million and $11.0 million, and $21.6 million and $42.9 million, respectively. As of March 31, 2018, the Company had approximately $25.7 million of cash and cash equivalents. As of December 31, 2017, our average portfolio company investment and our largest portfolio company investment at amortized cost and fair value was approximately $9.9 million and $10.6 million, and $21.6 million and $42.9 million, respectively. As of December 31, 2017, the Company had approximately $31.2 million of cash and cash equivalents.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As of March 31, 2018, our debt investment portfolio, which represented 75.7% of our total portfolio, had a weighted average annualized yield of approximately 12.0%. As of March 31, 2018, 51.6% of our debt investment portfolio was bearing a fixed rate of interest. As of December 31, 2017, our debt investment portfolio, which represented 75.5% of our total portfolio, had a weighted average annualized yield of approximately 11.9%. As of December 31, 2017, 51.7% of our debt investment portfolio was bearing a fixed rate of interest.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The weighted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yield will remain at its current level.</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March 31, 2018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Investments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4"/>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4"/>
              </w:rPr>
              <w:t>Percentage of</w:t>
            </w:r>
          </w:p>
        </w:tc>
      </w:tr>
      <w:tr>
        <w:trPr>
          <w:trHeight w:val="234"/>
        </w:trPr>
        <w:tc>
          <w:tcPr>
            <w:tcW w:w="378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tcPr>
          <w:p>
            <w:pPr>
              <w:spacing w:after="0"/>
              <w:rPr>
                <w:sz w:val="20"/>
                <w:szCs w:val="20"/>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268,504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256,594</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Second Lien Debt</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32,647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31,761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111,849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92,780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Equity and Warrants</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56,202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122,587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23.2</w:t>
            </w: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25,720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25,720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494,922</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529,442</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37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56</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5" w:right="239" w:bottom="1440" w:gutter="0" w:footer="0" w:header="0"/>
        </w:sectPr>
      </w:pPr>
    </w:p>
    <w:bookmarkStart w:id="58" w:name="page59"/>
    <w:bookmarkEnd w:id="58"/>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December 31, 2017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4"/>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257,147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32,465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30,794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120,235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103,385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55,180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122,271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31,221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496,248</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531,160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the portfolio composition by industry grouping at fair value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March 31, 2018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2017</w:t>
            </w:r>
          </w:p>
        </w:tc>
      </w:tr>
      <w:tr>
        <w:trPr>
          <w:trHeight w:val="191"/>
        </w:trPr>
        <w:tc>
          <w:tcPr>
            <w:tcW w:w="5580" w:type="dxa"/>
            <w:vAlign w:val="bottom"/>
          </w:tcPr>
          <w:p>
            <w:pPr>
              <w:spacing w:after="0"/>
              <w:rPr>
                <w:sz w:val="16"/>
                <w:szCs w:val="16"/>
                <w:color w:val="auto"/>
              </w:rPr>
            </w:pPr>
          </w:p>
        </w:tc>
        <w:tc>
          <w:tcPr>
            <w:tcW w:w="1460" w:type="dxa"/>
            <w:vAlign w:val="bottom"/>
            <w:tcBorders>
              <w:top w:val="single" w:sz="8" w:color="auto"/>
            </w:tcBorders>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w w:val="91"/>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160" w:type="dxa"/>
            <w:vAlign w:val="bottom"/>
          </w:tcPr>
          <w:p>
            <w:pPr>
              <w:spacing w:after="0"/>
              <w:rPr>
                <w:sz w:val="16"/>
                <w:szCs w:val="16"/>
                <w:color w:val="auto"/>
              </w:rPr>
            </w:pPr>
          </w:p>
        </w:tc>
      </w:tr>
      <w:tr>
        <w:trPr>
          <w:trHeight w:val="234"/>
        </w:trPr>
        <w:tc>
          <w:tcPr>
            <w:tcW w:w="55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61,586</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Building Products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33,897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17,879</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29,293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29,612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Oil &amp; Gas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27,971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27,774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26,574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26,920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Information Technology</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24,777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24,761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21,368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Specialty Retail</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19,494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20,713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 Services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18,071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Footwear Retail</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17,131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17,748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Food Product Manufacturer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16,946</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16,222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Industrial Equipment Rental</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15,952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15,603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Automobile Part Manufacturer</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14,988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9,285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Textile Equipment Manufacturer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13,758</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IT Consulting</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12,317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12,231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Fuel Transportation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11,647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11,588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Computer Supply Retail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11,306</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Government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10,556</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10,320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Refrigeration/HVAC Services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8,736</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Advertising &amp; Marketing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8,899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5,157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Oil &amp; Gas Engineering and Consulting Services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Healthcare Management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8,706</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9,014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Personal Digital Imaging</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QSR Franchisor</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7,662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7,650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Conglomerate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Produce Distribution</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6,313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6,170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Farming</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Restaurant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4,886</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4,880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Medical Device Distributor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4,716</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Online Merchandise Retailer</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3,615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3,755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Home Repair Parts Manufacturer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2,767</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Data Processing &amp; Digital Marketing</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1,035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1,035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Consumer Electronics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Household Product Manufacturer</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758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1,316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In-Home Healthcare Services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Automotive Chemicals &amp; Lubricants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Retail Display &amp; Security Services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Bowling Products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7,186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Replacement Window Manufacturer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Dental Practice Management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r>
      <w:tr>
        <w:trPr>
          <w:trHeight w:val="223"/>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With the exception of the international investment holdings noted below, all investments made by the Company as of March 31, 2018 and December 31, 2017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March 31, 2018 and December 31, 2017 (dollars in thousands):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248" w:gutter="0" w:footer="0" w:header="0"/>
        </w:sectPr>
      </w:pPr>
    </w:p>
    <w:bookmarkStart w:id="59" w:name="page60"/>
    <w:bookmarkEnd w:id="59"/>
    <w:tbl>
      <w:tblPr>
        <w:tblLayout w:type="fixed"/>
        <w:tblInd w:w="34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March 31, 2018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December 31, 2017</w:t>
            </w:r>
          </w:p>
        </w:tc>
      </w:tr>
      <w:tr>
        <w:trPr>
          <w:trHeight w:val="191"/>
        </w:trPr>
        <w:tc>
          <w:tcPr>
            <w:tcW w:w="5280" w:type="dxa"/>
            <w:vAlign w:val="bottom"/>
          </w:tcPr>
          <w:p>
            <w:pPr>
              <w:spacing w:after="0"/>
              <w:rPr>
                <w:sz w:val="16"/>
                <w:szCs w:val="16"/>
                <w:color w:val="auto"/>
              </w:rPr>
            </w:pPr>
          </w:p>
        </w:tc>
        <w:tc>
          <w:tcPr>
            <w:tcW w:w="142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Investments at</w:t>
            </w:r>
          </w:p>
        </w:tc>
        <w:tc>
          <w:tcPr>
            <w:tcW w:w="1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Percentage of</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Borders>
              <w:top w:val="single" w:sz="8" w:color="auto"/>
            </w:tcBorders>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0"/>
              </w:rPr>
              <w:t>Investments at</w:t>
            </w:r>
          </w:p>
        </w:tc>
        <w:tc>
          <w:tcPr>
            <w:tcW w:w="1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Percentage of</w:t>
            </w:r>
          </w:p>
        </w:tc>
        <w:tc>
          <w:tcPr>
            <w:tcW w:w="160" w:type="dxa"/>
            <w:vAlign w:val="bottom"/>
            <w:gridSpan w:val="2"/>
          </w:tcPr>
          <w:p>
            <w:pPr>
              <w:spacing w:after="0"/>
              <w:rPr>
                <w:sz w:val="16"/>
                <w:szCs w:val="16"/>
                <w:color w:val="auto"/>
              </w:rPr>
            </w:pPr>
          </w:p>
        </w:tc>
      </w:tr>
      <w:tr>
        <w:trPr>
          <w:trHeight w:val="234"/>
        </w:trPr>
        <w:tc>
          <w:tcPr>
            <w:tcW w:w="5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Total Portfolio</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245,483</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254,829</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West</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108,444</w:t>
            </w: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107,835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97,957</w:t>
            </w:r>
          </w:p>
        </w:tc>
        <w:tc>
          <w:tcPr>
            <w:tcW w:w="1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84,832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Northeast</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44,264</w:t>
            </w: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44,428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7,574</w:t>
            </w:r>
          </w:p>
        </w:tc>
        <w:tc>
          <w:tcPr>
            <w:tcW w:w="1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503,722</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499,939</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various risk management tools, our Investment Advisor uses an investment rating system to characterize and monitor our expected level of return on each investment in our portfolio.</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ectPr>
          <w:pgSz w:w="11900" w:h="16838" w:orient="portrait"/>
          <w:cols w:equalWidth="0" w:num="1">
            <w:col w:w="11420"/>
          </w:cols>
          <w:pgMar w:left="240" w:top="918" w:right="239" w:bottom="1440" w:gutter="0" w:footer="0" w:header="0"/>
        </w:sectPr>
      </w:pPr>
    </w:p>
    <w:p>
      <w:pPr>
        <w:spacing w:after="0" w:line="221" w:lineRule="exact"/>
        <w:rPr>
          <w:sz w:val="20"/>
          <w:szCs w:val="20"/>
          <w:color w:val="auto"/>
        </w:rPr>
      </w:pPr>
    </w:p>
    <w:p>
      <w:pPr>
        <w:jc w:val="center"/>
        <w:ind w:right="4040"/>
        <w:spacing w:after="0"/>
        <w:rPr>
          <w:sz w:val="20"/>
          <w:szCs w:val="20"/>
          <w:color w:val="auto"/>
        </w:rPr>
      </w:pPr>
      <w:r>
        <w:rPr>
          <w:rFonts w:ascii="Arial" w:cs="Arial" w:eastAsia="Arial" w:hAnsi="Arial"/>
          <w:sz w:val="16"/>
          <w:szCs w:val="16"/>
          <w:b w:val="1"/>
          <w:bCs w:val="1"/>
          <w:color w:val="auto"/>
        </w:rPr>
        <w:t>Investment</w:t>
      </w:r>
    </w:p>
    <w:p>
      <w:pPr>
        <w:spacing w:after="0" w:line="50" w:lineRule="exact"/>
        <w:rPr>
          <w:sz w:val="20"/>
          <w:szCs w:val="20"/>
          <w:color w:val="auto"/>
        </w:rPr>
      </w:pPr>
    </w:p>
    <w:p>
      <w:pPr>
        <w:jc w:val="center"/>
        <w:ind w:right="4040"/>
        <w:spacing w:after="0"/>
        <w:rPr>
          <w:sz w:val="20"/>
          <w:szCs w:val="20"/>
          <w:color w:val="auto"/>
        </w:rPr>
      </w:pPr>
      <w:r>
        <w:rPr>
          <w:rFonts w:ascii="Arial" w:cs="Arial" w:eastAsia="Arial" w:hAnsi="Arial"/>
          <w:sz w:val="18"/>
          <w:szCs w:val="18"/>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975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640"/>
        <w:spacing w:after="0"/>
        <w:rPr>
          <w:sz w:val="20"/>
          <w:szCs w:val="20"/>
          <w:color w:val="auto"/>
        </w:rPr>
      </w:pPr>
      <w:r>
        <w:rPr>
          <w:rFonts w:ascii="Arial" w:cs="Arial" w:eastAsia="Arial" w:hAnsi="Arial"/>
          <w:sz w:val="16"/>
          <w:szCs w:val="16"/>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31750</wp:posOffset>
            </wp:positionV>
            <wp:extent cx="63715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5300" w:space="720"/>
            <w:col w:w="5400"/>
          </w:cols>
          <w:pgMar w:left="240" w:top="918" w:right="239" w:bottom="1440" w:gutter="0" w:footer="0" w:header="0"/>
          <w:type w:val="continuous"/>
        </w:sectPr>
      </w:pPr>
    </w:p>
    <w:p>
      <w:pPr>
        <w:ind w:left="1380" w:right="20" w:hanging="789"/>
        <w:spacing w:after="0" w:line="277"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general, the investment may be performing above our internal expectations. Full return of principal and interest is expected. Capital gain is expected.</w:t>
      </w:r>
    </w:p>
    <w:p>
      <w:pPr>
        <w:spacing w:after="0" w:line="170" w:lineRule="exact"/>
        <w:rPr>
          <w:sz w:val="20"/>
          <w:szCs w:val="20"/>
          <w:color w:val="auto"/>
        </w:rPr>
      </w:pPr>
    </w:p>
    <w:p>
      <w:pPr>
        <w:jc w:val="both"/>
        <w:ind w:left="1380" w:hanging="789"/>
        <w:spacing w:after="0" w:line="264"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181" w:lineRule="exact"/>
        <w:rPr>
          <w:sz w:val="20"/>
          <w:szCs w:val="20"/>
          <w:color w:val="auto"/>
        </w:rPr>
      </w:pPr>
    </w:p>
    <w:p>
      <w:pPr>
        <w:jc w:val="both"/>
        <w:ind w:left="1380" w:hanging="789"/>
        <w:spacing w:after="0" w:line="264"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p>
      <w:pPr>
        <w:spacing w:after="0" w:line="181" w:lineRule="exact"/>
        <w:rPr>
          <w:sz w:val="20"/>
          <w:szCs w:val="20"/>
          <w:color w:val="auto"/>
        </w:rPr>
      </w:pPr>
    </w:p>
    <w:p>
      <w:pPr>
        <w:ind w:left="1380" w:hanging="789"/>
        <w:spacing w:after="0" w:line="277"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 quantitative or qualitative risks may have increased substantially since the original investment. Loss of some or all principal is expected.</w:t>
      </w:r>
    </w:p>
    <w:p>
      <w:pPr>
        <w:spacing w:after="0" w:line="170" w:lineRule="exact"/>
        <w:rPr>
          <w:sz w:val="20"/>
          <w:szCs w:val="20"/>
          <w:color w:val="auto"/>
        </w:rPr>
      </w:pPr>
    </w:p>
    <w:p>
      <w:pPr>
        <w:ind w:left="1380" w:right="20" w:hanging="789"/>
        <w:spacing w:after="0" w:line="277"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as of March 31, 2018 and December 31, 2017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As of March 31, 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 2017</w:t>
            </w:r>
          </w:p>
        </w:tc>
      </w:tr>
      <w:tr>
        <w:trPr>
          <w:trHeight w:val="191"/>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Investments</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7"/>
              </w:rPr>
              <w:t>Investments</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Rating</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Borders>
              <w:bottom w:val="single" w:sz="8" w:color="CCEEFF"/>
            </w:tcBorders>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186,731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191,204</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194,269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186,445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37.3</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102,543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97,309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19.5</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20,179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24,981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5.0</w:t>
            </w: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503,722</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499,939</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5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type w:val="continuous"/>
        </w:sectPr>
      </w:pPr>
    </w:p>
    <w:bookmarkStart w:id="60" w:name="page61"/>
    <w:bookmarkEnd w:id="60"/>
    <w:p>
      <w:pPr>
        <w:jc w:val="both"/>
        <w:ind w:firstLine="648"/>
        <w:spacing w:after="0" w:line="259" w:lineRule="auto"/>
        <w:rPr>
          <w:sz w:val="20"/>
          <w:szCs w:val="20"/>
          <w:color w:val="auto"/>
        </w:rPr>
      </w:pPr>
      <w:r>
        <w:rPr>
          <w:rFonts w:ascii="Arial" w:cs="Arial" w:eastAsia="Arial" w:hAnsi="Arial"/>
          <w:sz w:val="18"/>
          <w:szCs w:val="18"/>
          <w:color w:val="auto"/>
        </w:rPr>
        <w:t>As of March 31, 2018, we had debt investments in three portfolio companies on non-accrual status with an amortized cost of $44.4 million and a fair value of $20.2 million, which represented 9.5% and 4.0% of the investment portfolio, respectively. As of December 31, 2017, we had debt investments in four portfolio companies on non-accrual status with amortized cost of $50.1 million and a fair value of $25.0 million, which represented 10.8% and 5.0% of the investment portfolio,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results for the three months ended March 31, 2018 and 2017 were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5"/>
              </w:rPr>
              <w:t>For the Three Months Ended</w:t>
            </w:r>
          </w:p>
        </w:tc>
      </w:tr>
      <w:tr>
        <w:trPr>
          <w:trHeight w:val="234"/>
        </w:trPr>
        <w:tc>
          <w:tcPr>
            <w:tcW w:w="61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March 31, 2018</w:t>
            </w:r>
          </w:p>
        </w:tc>
        <w:tc>
          <w:tcPr>
            <w:tcW w:w="20" w:type="dxa"/>
            <w:vAlign w:val="bottom"/>
          </w:tcPr>
          <w:p>
            <w:pPr>
              <w:spacing w:after="0"/>
              <w:rPr>
                <w:sz w:val="20"/>
                <w:szCs w:val="20"/>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2"/>
              </w:rPr>
              <w:t>March 31, 2017</w:t>
            </w: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Total expenses, net of fee waivers</w:t>
            </w:r>
          </w:p>
        </w:tc>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8,134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8,624</w:t>
            </w:r>
          </w:p>
        </w:tc>
        <w:tc>
          <w:tcPr>
            <w:tcW w:w="80" w:type="dxa"/>
            <w:vAlign w:val="bottom"/>
          </w:tcPr>
          <w:p>
            <w:pPr>
              <w:spacing w:after="0"/>
              <w:rPr>
                <w:sz w:val="19"/>
                <w:szCs w:val="19"/>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realized gain (loss) from investments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(3,855)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4,846</w:t>
            </w: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(4,671)</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(1,485)</w:t>
            </w:r>
          </w:p>
        </w:tc>
      </w:tr>
      <w:tr>
        <w:trPr>
          <w:trHeight w:val="23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2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 income for the three months ended March 31, 2018 and 2017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7"/>
          </w:tcPr>
          <w:p>
            <w:pPr>
              <w:ind w:left="8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8580" w:type="dxa"/>
            <w:vAlign w:val="bottom"/>
          </w:tcPr>
          <w:p>
            <w:pPr>
              <w:spacing w:after="0"/>
              <w:rPr>
                <w:sz w:val="20"/>
                <w:szCs w:val="20"/>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2018</w:t>
            </w:r>
          </w:p>
        </w:tc>
        <w:tc>
          <w:tcPr>
            <w:tcW w:w="20" w:type="dxa"/>
            <w:vAlign w:val="bottom"/>
          </w:tcPr>
          <w:p>
            <w:pPr>
              <w:spacing w:after="0"/>
              <w:rPr>
                <w:sz w:val="20"/>
                <w:szCs w:val="20"/>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March 31, 2017</w:t>
            </w: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Fee income</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1,655</w:t>
            </w: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Dividend income</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8"/>
                <w:szCs w:val="18"/>
                <w:color w:val="auto"/>
              </w:rPr>
            </w:pP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The income reported as interest income and PIK interest and PIK dividend income is generally based on the stated rates as disclosed in our consolidated schedule of investments. Accretion of discounts paid for purchased loans are included in interest income as an adjustment to yield. As a general rule, our interest income and PIK interest and PIK dividend income are recurring in nature.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231F20"/>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We earn dividends on certain equity investments within our investment portfolio. As noted in our consolidated schedule of investments, some investments are scheduled to pay a periodic dividend, though these recurring dividends do not make up a significant portion of our total investment income. We may, and have received, more substantial one-time dividends from our equity investments.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231F20"/>
        </w:rPr>
        <w:t>For the three months ended March 31, 2018, total investment income decreased by $2.2 million, or 15.1%, compared to the three months ended March 31, 2017. The decrease from the prior year was driven primarily by a $1.3 million decline in interest income, from $12.0 million for the three months ended March 31, 2017, to $10.7 million for the three months ended March 31, 2018. The decline in interest income was caused by a decline in average outstanding debt investments, and an increase in average non-accrual debt investments. Fee income declined by $0.2 million compared to the prior year, from $0.7 million for the three months ended March 31, 2017 to $0.5 million for the three months ended March 31, 2018. For the three months ended March 31, 2018, we generated $0.3 million in origination fees from new deployments and $0.2 million in other fees. Comparatively, for the three months ended March 31, 2017, we generated $0.4 million in origination fees from new deployments and $0.3 million in other fees. Dividend income decreased from $0.5 million for the three months ended March 31, 2017 to $0.1 million for the three months ended March 31, 2018, mostly driven by a one-time dividend paid during the three months ended March 31, 2017. PIK income decreased $0.3 million compared to the prior year, from $1.7 million for the three months ended March 31, 2017 to $1.4 million for the three months ended March 31, 2018. The decrease in PIK income was primarily due to an increase in average non-accrual investments.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composition of our expenses for the three months ended March 31, 2018 and March 31, 2017 was as follows (dollars in thousands):</w:t>
      </w:r>
    </w:p>
    <w:p>
      <w:pPr>
        <w:sectPr>
          <w:pgSz w:w="11900" w:h="16838" w:orient="portrait"/>
          <w:cols w:equalWidth="0" w:num="1">
            <w:col w:w="11420"/>
          </w:cols>
          <w:pgMar w:left="240" w:top="9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Interest and financing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Base management fee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Incentive fees, net of incentive fee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expenses, net of fee 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2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2018</w:t>
            </w:r>
          </w:p>
        </w:tc>
        <w:tc>
          <w:tcPr>
            <w:tcW w:w="2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March 31, 2017</w:t>
            </w:r>
          </w:p>
        </w:tc>
      </w:tr>
      <w:tr>
        <w:trPr>
          <w:trHeight w:val="195"/>
        </w:trPr>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4,364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4,653</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2,303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2,514</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1,223</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1,107</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8,624</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9" w:right="239" w:bottom="1440" w:gutter="0" w:footer="0" w:header="0"/>
          <w:type w:val="continuous"/>
        </w:sectPr>
      </w:pPr>
    </w:p>
    <w:p>
      <w:pPr>
        <w:spacing w:after="0" w:line="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three months ended March 31, 2018, operating expenses decreased $0.5 million, or 5.7%, compared to the three months ended March 31, 2017. For the three months ended March 31, 2018, interest and financing expenses decreased $0.3 million compared to the three months ended March 31, 2017, due primarily to lower Credit Facility utilization during the period. Management fees declined by $0.2 million, from $2.5 million for the three months ended March 31, 2017 to $2.3 million for the three months ended March 31, 2018, due to lower average assets under management. Incentive fees, net of incentive fee waiver, declined by $0.1 million for the three months ended March 31, 2018 compared to the three months ended March 31, 2017, due to lower pre-incentive fee net investment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(losses) on sales of investments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months ended March 31, 2018 and March 31, 2017 we recognized $(3.9) million and $4.8 million, respectively, of net realized gains (losses) on our portfolio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Net change in unrealized appreciation (depreciation) on investments reflects the net change in the fair value of our investment portfolio. For the three months ended March 31, 2018 and 2017, we had net unrealized appreciation (depreciation) of $(0.4) million and $(4.7)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Written Call option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2018 and 2017 we had net unrealized appreciation (depreciation) on the Written Call Option of $0.0 million and $(1.5)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provision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2018 and 2017, we recorded a tax provision of $0.1 million and $0.0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March 31, 2018 and 2017 we recorded a net increase in net assets resulting from operations of $0.1 million and $4.9 million, respectively. Based on the weighted average shares of common stock outstanding for the three months ended March 31, 2018 and 2017, our per share net increase in net assets resulting from operations was $0.01 and $0.31,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 of Our Unconsolidated Subsidiaries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The Company holds a control interest, as defined by the 1940 Act, in seven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March 31, 2018 and December 31, 2017, and for the three months ended March 31, 2018 and March 31, 2017.</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231F20"/>
        </w:rPr>
        <w:t>CableOrganizer Acquisition,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CableOrganizer Acquisition, LLC, a Delaware limited liability company that began operations on April 23, 2013, is a leading online provider of cable and wire management products. The income (loss) the Company generated from CableOrganizer Acquisition, LLC, which includes all interest, dividends, PIK interest and PIK dividends, fees, and unrealized appreciation (depreciation), was $(0.9) million and $0.2 million for the three months ended March 31, 2018 and March 31,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Eastport Holdings,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Eastport Holdings, LLC, an Ohio limited liability company organized on November 1, 2011, is a holding company consisting of marketing and advertising companies located across the U.S. The income the Company generated from Eastport Holdings, LLC, which includes all interest, dividends, PIK interest and PIK dividends, fees, and unrealized appreciation, was $0.6 million and $1.7 million for the three months ended March 31, 2018 and March 31,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Kelle’s Transport Service,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Kelle’s Transport Service, LLC, a Delaware limited liability company organized on March 28, 2014, provides temperature sensitive transportation services throughout North America. The income (loss) the Company generated from Kelle’s Transport Service, LLC, which includes all interest, dividends, PIK interest and PIK dividends, fees, realized losses, and unrealized appreciation (depreciation), was $0.4 million and $(3.4) million for the three months ended March 31, 2018 and March 31,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Micro Precision, LLC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Micro Precision, LLC, formed on August 5, 2011 as a Delaware limited liability company, is a prime contractor supplying critical parts and mechanical assemblies to the U.S. Department of Defense as well as designer and manufacturer of locomotive air horns. The income (loss) the Company generated from Micro Precision, LLC, which includes all interest, dividends, PIK interest and PIK dividends, fees, and unrealized appreciation (depreciation), was $(0.2) million and $0.3 million for the three months ended March 31, 2018 and March 31, 2017,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Navis Holdings, Inc.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31F20"/>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PIK dividends, fees, and unrealized appreciation was $0.5 million and $0.4 million for the three months ended March 31, 2018 and March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On-Site Fuel Services, Inc.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On-Site Fuel Services, Inc. is a 100% owned subsidiary of On-Site Fuel Holdings, Inc., which was incorporated in Delaware on December 19, 2011. On-Site Fuel Services, Inc. provides fueling services for commercial and government vehicle fleets throughout the southeast U.S. The income the Company generated from On-Site Fuel Services, Inc., which includes all interest, dividends, PIK interest and PIK dividends, fees, and unrealized appreciation, was $0.1 million and $0.0 million for the three months ended March 31, 2018 and March 31, 2017,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Portrait Studio, LLC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Portrait Studio, LLC, formed on December 12, 2017 as a Delaware limited liability company, is a professional and personal imaging platform, operating retail studios throughout the U.S. and an ecommerce virtual studio web portal. The loss the Company generated from Portrait Studio, LLC, which includes all interest, dividends, PIK interest, and PIK dividends, fees, and unrealized depreciation, was $(0.3) million for the three months ended March 31, 2018. The company was not formed until December, 2017. As such, comparative financial information for the prior period statement of operations is not presented.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As of</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80" w:type="dxa"/>
            <w:vAlign w:val="bottom"/>
            <w:gridSpan w:val="2"/>
          </w:tcPr>
          <w:p>
            <w:pPr>
              <w:ind w:left="660"/>
              <w:spacing w:after="0"/>
              <w:rPr>
                <w:sz w:val="20"/>
                <w:szCs w:val="20"/>
                <w:color w:val="auto"/>
              </w:rPr>
            </w:pPr>
            <w:r>
              <w:rPr>
                <w:rFonts w:ascii="Arial" w:cs="Arial" w:eastAsia="Arial" w:hAnsi="Arial"/>
                <w:sz w:val="18"/>
                <w:szCs w:val="18"/>
                <w:b w:val="1"/>
                <w:bCs w:val="1"/>
                <w:color w:val="auto"/>
              </w:rPr>
              <w:t>Balance Sheet – CableOrganizer Acquisition, LLC</w:t>
            </w: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Noncurrent assets</w:t>
            </w: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8,356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8,380</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5,449</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5,233</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12,497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12,373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(4,516)</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(4,015)</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805" w:gutter="0" w:footer="0" w:header="0"/>
        </w:sectPr>
      </w:pPr>
    </w:p>
    <w:bookmarkStart w:id="63" w:name="page64"/>
    <w:bookmarkEnd w:id="63"/>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7"/>
          </w:tcPr>
          <w:p>
            <w:pPr>
              <w:jc w:val="right"/>
              <w:ind w:right="240"/>
              <w:spacing w:after="0"/>
              <w:rPr>
                <w:sz w:val="20"/>
                <w:szCs w:val="20"/>
                <w:color w:val="auto"/>
              </w:rPr>
            </w:pPr>
            <w:r>
              <w:rPr>
                <w:rFonts w:ascii="Arial" w:cs="Arial" w:eastAsia="Arial" w:hAnsi="Arial"/>
                <w:sz w:val="18"/>
                <w:szCs w:val="18"/>
                <w:b w:val="1"/>
                <w:bCs w:val="1"/>
                <w:color w:val="auto"/>
                <w:w w:val="89"/>
              </w:rPr>
              <w:t>For the 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98"/>
              </w:rPr>
              <w:t>March 31,</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CableOrganizer Acquisition, LLC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As of</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 Eastport Holdings, LLC</w:t>
            </w:r>
            <w:r>
              <w:rPr>
                <w:rFonts w:ascii="Arial" w:cs="Arial" w:eastAsia="Arial" w:hAnsi="Arial"/>
                <w:sz w:val="30"/>
                <w:szCs w:val="30"/>
                <w:b w:val="1"/>
                <w:bCs w:val="1"/>
                <w:color w:val="auto"/>
                <w:vertAlign w:val="superscript"/>
              </w:rPr>
              <w:t>(1)</w:t>
            </w:r>
          </w:p>
        </w:tc>
        <w:tc>
          <w:tcPr>
            <w:tcW w:w="120" w:type="dxa"/>
            <w:vAlign w:val="bottom"/>
          </w:tcPr>
          <w:p>
            <w:pPr>
              <w:spacing w:after="0"/>
              <w:rPr>
                <w:sz w:val="16"/>
                <w:szCs w:val="16"/>
                <w:color w:val="auto"/>
              </w:rPr>
            </w:pPr>
          </w:p>
        </w:tc>
        <w:tc>
          <w:tcPr>
            <w:tcW w:w="120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9"/>
              </w:rPr>
              <w:t>December 31,</w:t>
            </w:r>
          </w:p>
        </w:tc>
        <w:tc>
          <w:tcPr>
            <w:tcW w:w="1200" w:type="dxa"/>
            <w:vAlign w:val="bottom"/>
            <w:gridSpan w:val="3"/>
          </w:tcPr>
          <w:p>
            <w:pPr>
              <w:jc w:val="right"/>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4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185,087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150,772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142,250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70,765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66,258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7"/>
          </w:tcPr>
          <w:p>
            <w:pPr>
              <w:ind w:left="40"/>
              <w:spacing w:after="0"/>
              <w:rPr>
                <w:sz w:val="20"/>
                <w:szCs w:val="20"/>
                <w:color w:val="auto"/>
              </w:rPr>
            </w:pPr>
            <w:r>
              <w:rPr>
                <w:rFonts w:ascii="Arial" w:cs="Arial" w:eastAsia="Arial" w:hAnsi="Arial"/>
                <w:sz w:val="18"/>
                <w:szCs w:val="18"/>
                <w:b w:val="1"/>
                <w:bCs w:val="1"/>
                <w:color w:val="auto"/>
                <w:w w:val="98"/>
              </w:rPr>
              <w:t>For the three months ended</w:t>
            </w:r>
          </w:p>
        </w:tc>
        <w:tc>
          <w:tcPr>
            <w:tcW w:w="0" w:type="dxa"/>
            <w:vAlign w:val="bottom"/>
          </w:tcPr>
          <w:p>
            <w:pPr>
              <w:spacing w:after="0"/>
              <w:rPr>
                <w:sz w:val="1"/>
                <w:szCs w:val="1"/>
                <w:color w:val="auto"/>
              </w:rPr>
            </w:pPr>
          </w:p>
        </w:tc>
      </w:tr>
      <w:tr>
        <w:trPr>
          <w:trHeight w:val="191"/>
        </w:trPr>
        <w:tc>
          <w:tcPr>
            <w:tcW w:w="7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Operations – Eastport Holdings, LLC</w:t>
            </w:r>
            <w:r>
              <w:rPr>
                <w:rFonts w:ascii="Arial" w:cs="Arial" w:eastAsia="Arial" w:hAnsi="Arial"/>
                <w:sz w:val="30"/>
                <w:szCs w:val="30"/>
                <w:b w:val="1"/>
                <w:bCs w:val="1"/>
                <w:color w:val="auto"/>
                <w:vertAlign w:val="superscript"/>
              </w:rPr>
              <w:t>(1)</w:t>
            </w:r>
          </w:p>
        </w:tc>
        <w:tc>
          <w:tcPr>
            <w:tcW w:w="120" w:type="dxa"/>
            <w:vAlign w:val="bottom"/>
          </w:tcPr>
          <w:p>
            <w:pPr>
              <w:spacing w:after="0"/>
              <w:rPr>
                <w:sz w:val="16"/>
                <w:szCs w:val="16"/>
                <w:color w:val="auto"/>
              </w:rPr>
            </w:pPr>
          </w:p>
        </w:tc>
        <w:tc>
          <w:tcPr>
            <w:tcW w:w="130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December 31,</w:t>
            </w:r>
          </w:p>
        </w:tc>
        <w:tc>
          <w:tcPr>
            <w:tcW w:w="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4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102,735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121,233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31,945</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6,758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As of</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Balance Sheet – Kelle’s Transport Services, LLC</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1,080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14,307</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15,016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(21,270)</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984" w:right="1740" w:hanging="4984"/>
        <w:spacing w:after="0" w:line="778" w:lineRule="auto"/>
        <w:tabs>
          <w:tab w:leader="none" w:pos="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March 31, 2018 financial statements are not available. As such, the most recent comparable period is presented.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-293370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44"/>
          </w:cols>
          <w:pgMar w:left="896" w:top="918" w:right="959" w:bottom="1440" w:gutter="0" w:footer="0" w:header="0"/>
        </w:sectPr>
      </w:pPr>
    </w:p>
    <w:bookmarkStart w:id="64" w:name="page65"/>
    <w:bookmarkEnd w:id="64"/>
    <w:tbl>
      <w:tblPr>
        <w:tblLayout w:type="fixed"/>
        <w:tblInd w:w="66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For the three months ended</w:t>
            </w:r>
          </w:p>
        </w:tc>
      </w:tr>
      <w:tr>
        <w:trPr>
          <w:trHeight w:val="191"/>
        </w:trPr>
        <w:tc>
          <w:tcPr>
            <w:tcW w:w="7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line="191" w:lineRule="exact"/>
              <w:rPr>
                <w:sz w:val="20"/>
                <w:szCs w:val="20"/>
                <w:color w:val="auto"/>
              </w:rPr>
            </w:pPr>
            <w:r>
              <w:rPr>
                <w:rFonts w:ascii="Arial" w:cs="Arial" w:eastAsia="Arial" w:hAnsi="Arial"/>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6"/>
                <w:szCs w:val="16"/>
                <w:color w:val="auto"/>
              </w:rPr>
            </w:pPr>
          </w:p>
        </w:tc>
      </w:tr>
      <w:tr>
        <w:trPr>
          <w:trHeight w:val="234"/>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Kelle’s Transport Services, LLC</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14,214</w:t>
            </w:r>
          </w:p>
        </w:tc>
        <w:tc>
          <w:tcPr>
            <w:tcW w:w="100" w:type="dxa"/>
            <w:vAlign w:val="bottom"/>
            <w:shd w:val="clear" w:color="auto" w:fill="CCEEFF"/>
          </w:tcPr>
          <w:p>
            <w:pPr>
              <w:spacing w:after="0"/>
              <w:rPr>
                <w:sz w:val="18"/>
                <w:szCs w:val="18"/>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12,129</w:t>
            </w: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13,864</w:t>
            </w: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918" w:right="239" w:bottom="454"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37159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71590"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(loss) before income taxes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37159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71590"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Net income (loss)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Balance Sheet – Micro Precision,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0" w:type="dxa"/>
            <w:vAlign w:val="bottom"/>
            <w:gridSpan w:val="2"/>
          </w:tcPr>
          <w:p>
            <w:pPr>
              <w:jc w:val="right"/>
              <w:ind w:right="27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2,535</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(2,900)</w:t>
            </w:r>
          </w:p>
        </w:tc>
      </w:tr>
      <w:tr>
        <w:trPr>
          <w:trHeight w:val="244"/>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ind w:left="160"/>
        <w:spacing w:after="0"/>
        <w:tabs>
          <w:tab w:leader="none" w:pos="1300" w:val="left"/>
        </w:tabs>
        <w:rPr>
          <w:sz w:val="20"/>
          <w:szCs w:val="20"/>
          <w:color w:val="auto"/>
        </w:rPr>
      </w:pPr>
      <w:r>
        <w:rPr>
          <w:rFonts w:ascii="Arial" w:cs="Arial" w:eastAsia="Arial" w:hAnsi="Arial"/>
          <w:sz w:val="18"/>
          <w:szCs w:val="18"/>
          <w:b w:val="1"/>
          <w:bCs w:val="1"/>
          <w:color w:val="auto"/>
        </w:rPr>
        <w:t>March 31,</w:t>
      </w:r>
      <w:r>
        <w:rPr>
          <w:sz w:val="20"/>
          <w:szCs w:val="20"/>
          <w:color w:val="auto"/>
        </w:rPr>
        <w:tab/>
      </w: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15265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164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7" w:lineRule="exact"/>
        <w:rPr>
          <w:sz w:val="20"/>
          <w:szCs w:val="20"/>
          <w:color w:val="auto"/>
        </w:rPr>
      </w:pPr>
    </w:p>
    <w:p>
      <w:pPr>
        <w:sectPr>
          <w:pgSz w:w="11900" w:h="16838" w:orient="portrait"/>
          <w:cols w:equalWidth="0" w:num="2">
            <w:col w:w="7480" w:space="720"/>
            <w:col w:w="3220"/>
          </w:cols>
          <w:pgMar w:left="240" w:top="918" w:right="239" w:bottom="454" w:gutter="0" w:footer="0" w:header="0"/>
          <w:type w:val="continuous"/>
        </w:sectPr>
      </w:pPr>
    </w:p>
    <w:tbl>
      <w:tblPr>
        <w:tblLayout w:type="fixed"/>
        <w:tblInd w:w="6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7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4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Current assets</w:t>
            </w:r>
          </w:p>
        </w:tc>
        <w:tc>
          <w:tcPr>
            <w:tcW w:w="2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line="192" w:lineRule="exact"/>
              <w:rPr>
                <w:sz w:val="20"/>
                <w:szCs w:val="20"/>
                <w:color w:val="auto"/>
              </w:rPr>
            </w:pPr>
            <w:r>
              <w:rPr>
                <w:rFonts w:ascii="Arial" w:cs="Arial" w:eastAsia="Arial" w:hAnsi="Arial"/>
                <w:sz w:val="18"/>
                <w:szCs w:val="18"/>
                <w:color w:val="auto"/>
              </w:rPr>
              <w:t>6,277</w:t>
            </w:r>
          </w:p>
        </w:tc>
        <w:tc>
          <w:tcPr>
            <w:tcW w:w="2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19,644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19,707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13,951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6"/>
          </w:tcPr>
          <w:p>
            <w:pPr>
              <w:ind w:left="40"/>
              <w:spacing w:after="0"/>
              <w:rPr>
                <w:sz w:val="20"/>
                <w:szCs w:val="20"/>
                <w:color w:val="auto"/>
              </w:rPr>
            </w:pPr>
            <w:r>
              <w:rPr>
                <w:rFonts w:ascii="Arial" w:cs="Arial" w:eastAsia="Arial" w:hAnsi="Arial"/>
                <w:sz w:val="18"/>
                <w:szCs w:val="18"/>
                <w:b w:val="1"/>
                <w:bCs w:val="1"/>
                <w:color w:val="auto"/>
                <w:w w:val="98"/>
              </w:rPr>
              <w:t>For the 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60"/>
              <w:spacing w:after="0" w:line="191" w:lineRule="exact"/>
              <w:rPr>
                <w:sz w:val="20"/>
                <w:szCs w:val="20"/>
                <w:color w:val="auto"/>
              </w:rPr>
            </w:pPr>
            <w:r>
              <w:rPr>
                <w:rFonts w:ascii="Arial" w:cs="Arial" w:eastAsia="Arial" w:hAnsi="Arial"/>
                <w:sz w:val="18"/>
                <w:szCs w:val="18"/>
                <w:b w:val="1"/>
                <w:bCs w:val="1"/>
                <w:color w:val="auto"/>
              </w:rPr>
              <w:t>March 31,</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Micro Precision, LLC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18" w:right="239" w:bottom="454"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37159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71590"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371590"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71590"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Balance Sheet - Navis Holdings,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0" w:type="dxa"/>
            <w:vAlign w:val="bottom"/>
            <w:gridSpan w:val="2"/>
          </w:tcPr>
          <w:p>
            <w:pPr>
              <w:jc w:val="right"/>
              <w:ind w:right="27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1,216</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1,135</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ind w:left="160"/>
        <w:spacing w:after="0"/>
        <w:tabs>
          <w:tab w:leader="none" w:pos="1300" w:val="left"/>
        </w:tabs>
        <w:rPr>
          <w:sz w:val="20"/>
          <w:szCs w:val="20"/>
          <w:color w:val="auto"/>
        </w:rPr>
      </w:pPr>
      <w:r>
        <w:rPr>
          <w:rFonts w:ascii="Arial" w:cs="Arial" w:eastAsia="Arial" w:hAnsi="Arial"/>
          <w:sz w:val="18"/>
          <w:szCs w:val="18"/>
          <w:b w:val="1"/>
          <w:bCs w:val="1"/>
          <w:color w:val="auto"/>
        </w:rPr>
        <w:t>March 31,</w:t>
      </w:r>
      <w:r>
        <w:rPr>
          <w:sz w:val="20"/>
          <w:szCs w:val="20"/>
          <w:color w:val="auto"/>
        </w:rPr>
        <w:tab/>
      </w: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15265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164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41" w:lineRule="exact"/>
        <w:rPr>
          <w:sz w:val="20"/>
          <w:szCs w:val="20"/>
          <w:color w:val="auto"/>
        </w:rPr>
      </w:pPr>
    </w:p>
    <w:p>
      <w:pPr>
        <w:sectPr>
          <w:pgSz w:w="11900" w:h="16838" w:orient="portrait"/>
          <w:cols w:equalWidth="0" w:num="2">
            <w:col w:w="7480" w:space="720"/>
            <w:col w:w="3220"/>
          </w:cols>
          <w:pgMar w:left="240" w:top="918" w:right="239" w:bottom="454"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 w:type="dxa"/>
            <w:vAlign w:val="bottom"/>
          </w:tcPr>
          <w:p>
            <w:pPr>
              <w:spacing w:after="0"/>
              <w:rPr>
                <w:sz w:val="16"/>
                <w:szCs w:val="16"/>
                <w:color w:val="auto"/>
              </w:rPr>
            </w:pPr>
          </w:p>
        </w:tc>
        <w:tc>
          <w:tcPr>
            <w:tcW w:w="42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Current assets</w:t>
            </w:r>
          </w:p>
        </w:tc>
        <w:tc>
          <w:tcPr>
            <w:tcW w:w="31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80"/>
              <w:spacing w:after="0" w:line="192" w:lineRule="exact"/>
              <w:rPr>
                <w:sz w:val="20"/>
                <w:szCs w:val="20"/>
                <w:color w:val="auto"/>
              </w:rPr>
            </w:pPr>
            <w:r>
              <w:rPr>
                <w:rFonts w:ascii="Arial" w:cs="Arial" w:eastAsia="Arial" w:hAnsi="Arial"/>
                <w:sz w:val="18"/>
                <w:szCs w:val="18"/>
                <w:color w:val="auto"/>
              </w:rPr>
              <w:t>4,158</w:t>
            </w:r>
          </w:p>
        </w:tc>
        <w:tc>
          <w:tcPr>
            <w:tcW w:w="1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8"/>
                <w:szCs w:val="18"/>
                <w:color w:val="auto"/>
              </w:rPr>
              <w:t>4,721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Noncurrent assets</w:t>
            </w: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3,776</w:t>
            </w: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2,950</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1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7,956</w:t>
            </w: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6,973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1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9"/>
              </w:rPr>
              <w:t>For the three months ended</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360"/>
              <w:spacing w:after="0" w:line="205" w:lineRule="exact"/>
              <w:rPr>
                <w:sz w:val="20"/>
                <w:szCs w:val="20"/>
                <w:color w:val="auto"/>
              </w:rPr>
            </w:pPr>
            <w:r>
              <w:rPr>
                <w:rFonts w:ascii="Arial" w:cs="Arial" w:eastAsia="Arial" w:hAnsi="Arial"/>
                <w:sz w:val="18"/>
                <w:szCs w:val="18"/>
                <w:b w:val="1"/>
                <w:bCs w:val="1"/>
                <w:color w:val="auto"/>
                <w:w w:val="98"/>
              </w:rPr>
              <w:t>March 31,</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gridSpan w:val="2"/>
          </w:tcPr>
          <w:p>
            <w:pPr>
              <w:ind w:left="660"/>
              <w:spacing w:after="0"/>
              <w:rPr>
                <w:sz w:val="20"/>
                <w:szCs w:val="20"/>
                <w:color w:val="auto"/>
              </w:rPr>
            </w:pPr>
            <w:r>
              <w:rPr>
                <w:rFonts w:ascii="Arial" w:cs="Arial" w:eastAsia="Arial" w:hAnsi="Arial"/>
                <w:sz w:val="18"/>
                <w:szCs w:val="18"/>
                <w:b w:val="1"/>
                <w:bCs w:val="1"/>
                <w:color w:val="auto"/>
              </w:rPr>
              <w:t>Statement of Operations - Navis Holdings, Inc.</w:t>
            </w: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Cost of goods sold</w:t>
            </w: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2,047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income</w:t>
            </w:r>
          </w:p>
        </w:tc>
        <w:tc>
          <w:tcPr>
            <w:tcW w:w="32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140" w:type="dxa"/>
            <w:vAlign w:val="bottom"/>
            <w:vMerge w:val="restart"/>
          </w:tcPr>
          <w:p>
            <w:pPr>
              <w:jc w:val="right"/>
              <w:ind w:right="217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454" w:gutter="0" w:footer="0" w:header="0"/>
          <w:type w:val="continuous"/>
        </w:sectPr>
      </w:pPr>
    </w:p>
    <w:bookmarkStart w:id="65" w:name="page66"/>
    <w:bookmarkEnd w:id="65"/>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As of</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17"/>
                <w:szCs w:val="17"/>
                <w:color w:val="auto"/>
              </w:rPr>
            </w:pPr>
          </w:p>
        </w:tc>
        <w:tc>
          <w:tcPr>
            <w:tcW w:w="110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Balance Sheet - On-Site Fuel Services, Inc.</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22,548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24,032</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31,273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(14,280)</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For the three months ended</w:t>
            </w:r>
          </w:p>
        </w:tc>
      </w:tr>
      <w:tr>
        <w:trPr>
          <w:trHeight w:val="205"/>
        </w:trPr>
        <w:tc>
          <w:tcPr>
            <w:tcW w:w="7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60"/>
              <w:spacing w:after="0" w:line="205" w:lineRule="exact"/>
              <w:rPr>
                <w:sz w:val="20"/>
                <w:szCs w:val="20"/>
                <w:color w:val="auto"/>
              </w:rPr>
            </w:pPr>
            <w:r>
              <w:rPr>
                <w:rFonts w:ascii="Arial" w:cs="Arial" w:eastAsia="Arial" w:hAnsi="Arial"/>
                <w:sz w:val="18"/>
                <w:szCs w:val="18"/>
                <w:b w:val="1"/>
                <w:bCs w:val="1"/>
                <w:color w:val="auto"/>
              </w:rPr>
              <w:t>March 31,</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7"/>
                <w:szCs w:val="17"/>
                <w:color w:val="auto"/>
              </w:rPr>
            </w:pPr>
          </w:p>
        </w:tc>
      </w:tr>
      <w:tr>
        <w:trPr>
          <w:trHeight w:val="234"/>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 of Operations - On-Site Fuel Services, Inc.</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36,894</w:t>
            </w:r>
          </w:p>
        </w:tc>
        <w:tc>
          <w:tcPr>
            <w:tcW w:w="100" w:type="dxa"/>
            <w:vAlign w:val="bottom"/>
            <w:shd w:val="clear" w:color="auto" w:fill="CCEEFF"/>
          </w:tcPr>
          <w:p>
            <w:pPr>
              <w:spacing w:after="0"/>
              <w:rPr>
                <w:sz w:val="18"/>
                <w:szCs w:val="18"/>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40,295</w:t>
            </w: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35,400</w:t>
            </w: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918" w:right="239" w:bottom="144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37159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71590"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371590"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371590"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Balance Sheet – Portrait Studio,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3,360</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3,268</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(1,929)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(1,774)</w:t>
            </w: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ind w:left="160"/>
        <w:spacing w:after="0"/>
        <w:tabs>
          <w:tab w:leader="none" w:pos="1300" w:val="left"/>
        </w:tabs>
        <w:rPr>
          <w:sz w:val="20"/>
          <w:szCs w:val="20"/>
          <w:color w:val="auto"/>
        </w:rPr>
      </w:pPr>
      <w:r>
        <w:rPr>
          <w:rFonts w:ascii="Arial" w:cs="Arial" w:eastAsia="Arial" w:hAnsi="Arial"/>
          <w:sz w:val="18"/>
          <w:szCs w:val="18"/>
          <w:b w:val="1"/>
          <w:bCs w:val="1"/>
          <w:color w:val="auto"/>
        </w:rPr>
        <w:t>March 31,</w:t>
      </w:r>
      <w:r>
        <w:rPr>
          <w:sz w:val="20"/>
          <w:szCs w:val="20"/>
          <w:color w:val="auto"/>
        </w:rPr>
        <w:tab/>
      </w: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152654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164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41" w:lineRule="exact"/>
        <w:rPr>
          <w:sz w:val="20"/>
          <w:szCs w:val="20"/>
          <w:color w:val="auto"/>
        </w:rPr>
      </w:pPr>
    </w:p>
    <w:p>
      <w:pPr>
        <w:sectPr>
          <w:pgSz w:w="11900" w:h="16838" w:orient="portrait"/>
          <w:cols w:equalWidth="0" w:num="2">
            <w:col w:w="7480" w:space="720"/>
            <w:col w:w="3220"/>
          </w:cols>
          <w:pgMar w:left="240" w:top="918" w:right="239" w:bottom="1440" w:gutter="0" w:footer="0" w:header="0"/>
          <w:type w:val="continuous"/>
        </w:sectPr>
      </w:pPr>
    </w:p>
    <w:tbl>
      <w:tblPr>
        <w:tblLayout w:type="fixed"/>
        <w:tblInd w:w="6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74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4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Current assets</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4,324</w:t>
            </w:r>
          </w:p>
        </w:tc>
        <w:tc>
          <w:tcPr>
            <w:tcW w:w="420" w:type="dxa"/>
            <w:vAlign w:val="bottom"/>
            <w:gridSpan w:val="2"/>
            <w:shd w:val="clear" w:color="auto" w:fill="CCEEFF"/>
          </w:tcPr>
          <w:p>
            <w:pPr>
              <w:jc w:val="right"/>
              <w:ind w:right="130"/>
              <w:spacing w:after="0" w:line="19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8"/>
                <w:szCs w:val="18"/>
                <w:color w:val="auto"/>
              </w:rPr>
              <w:t>6,354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equity/deficit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2"/>
              </w:rPr>
              <w:t>For the three</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w w:val="92"/>
              </w:rPr>
              <w:t>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Statement of Operations – Portrait Studio, LLC</w:t>
            </w:r>
          </w:p>
        </w:tc>
        <w:tc>
          <w:tcPr>
            <w:tcW w:w="10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-1894840</wp:posOffset>
            </wp:positionV>
            <wp:extent cx="814705" cy="8578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14705" cy="85788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-891540</wp:posOffset>
            </wp:positionV>
            <wp:extent cx="814705"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4705" cy="14605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-599440</wp:posOffset>
            </wp:positionV>
            <wp:extent cx="814705"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14705" cy="13716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-325120</wp:posOffset>
            </wp:positionV>
            <wp:extent cx="814705"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4705" cy="1460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231F20"/>
        </w:rPr>
        <w:t>We use and intend to use existing cash primarily to originate investments in new and existing portfolio companies, pay distributions to our stockholders, and repay indebtedness.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type w:val="continuous"/>
        </w:sectPr>
      </w:pPr>
    </w:p>
    <w:bookmarkStart w:id="66" w:name="page67"/>
    <w:bookmarkEnd w:id="66"/>
    <w:p>
      <w:pPr>
        <w:ind w:left="660"/>
        <w:spacing w:after="0"/>
        <w:rPr>
          <w:sz w:val="20"/>
          <w:szCs w:val="20"/>
          <w:color w:val="auto"/>
        </w:rPr>
      </w:pPr>
      <w:r>
        <w:rPr>
          <w:rFonts w:ascii="Arial" w:cs="Arial" w:eastAsia="Arial" w:hAnsi="Arial"/>
          <w:sz w:val="18"/>
          <w:szCs w:val="18"/>
          <w:color w:val="231F20"/>
        </w:rPr>
        <w:t>On September 30, 2013, we issued 4,000,000 shares at $20.00 per share in our IPO, yielding net proceeds of $74.25 million.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On October 17, 2014, we entered into the Credit Facility. On June 16, 2017, we entered into an amendment to our Credit Facility with ING Capital, LLC (the ‘‘Amendment’’). Pursuant to the Amendment, the Credit Facility currently provides for borrowings up to $114.5 million and may be increased up to $200.0 million pursuant to its ‘‘accordion’’ feature. The Credit Facility matures on June 16, 2021. As of March 31, 2018, we had $12.0 million outstanding and $102.5 million available under the Credit Facility.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231F20"/>
        </w:rPr>
        <w:t>On April 13, 2015, we completed an underwritten offering of 3,500,000 shares of our common stock at a public offering price of $18.32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The total proceeds received in the offering net of underwriting discounts and offering costs were approximately $61.7 million.</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31F20"/>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is payable quarterly beginning August 31, 2017. The 2022 Notes are listed on the NASDAQ Global Select Market under the trading symbol ‘‘CPTAL’’ with a par value $25.00 per share.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On May 26, 2017, we issued $50.0 million in aggregate principal amount of 5.75% fixed-rate convertible notes due on May 31, 2022 (the ‘‘2022 Convertible Notes’’). On June 26, 2017, we issued an additional $2.1 million in aggregate principal amount of the 2022 Convertible Notes pursuant to a partial exercise of the underwriters’ overallotment option. Interest is payable quarterly beginning August 31, 2017. The 2022 Convertible Notes are listed on the NASDAQ Capital Market under the trading symbol ‘‘CPTAG’’ with a par value $25.00 per share.</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231F20"/>
        </w:rPr>
        <w:t>As of March 31, 2018, Fund II had $26.2 million in regulatory capital and $20.7 million in SBA-guaranteed debentures outstanding and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1934 Act, with respect to Fund II and Fund III. We intend to comply with the conditions of the order.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As of March 31, 2018, we had $25.7 million in cash and cash equivalents, and our net assets totaled $218.2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231F20"/>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significant contractual payment obligations as of March 31, 2018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Contractual Obligations Payments Due by Period</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4"/>
              </w:rPr>
              <w:t>Less Than</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700"/>
              <w:spacing w:after="0" w:line="191" w:lineRule="exact"/>
              <w:rPr>
                <w:sz w:val="20"/>
                <w:szCs w:val="20"/>
                <w:color w:val="auto"/>
              </w:rPr>
            </w:pPr>
            <w:r>
              <w:rPr>
                <w:rFonts w:ascii="Arial" w:cs="Arial" w:eastAsia="Arial" w:hAnsi="Arial"/>
                <w:sz w:val="18"/>
                <w:szCs w:val="18"/>
                <w:b w:val="1"/>
                <w:bCs w:val="1"/>
                <w:color w:val="auto"/>
              </w:rPr>
              <w:t>1 – 3</w:t>
            </w:r>
          </w:p>
        </w:tc>
        <w:tc>
          <w:tcPr>
            <w:tcW w:w="240" w:type="dxa"/>
            <w:vAlign w:val="bottom"/>
          </w:tcPr>
          <w:p>
            <w:pPr>
              <w:spacing w:after="0"/>
              <w:rPr>
                <w:sz w:val="16"/>
                <w:szCs w:val="16"/>
                <w:color w:val="auto"/>
              </w:rPr>
            </w:pPr>
          </w:p>
        </w:tc>
        <w:tc>
          <w:tcPr>
            <w:tcW w:w="122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9"/>
              </w:rPr>
              <w:t>3 – 5</w:t>
            </w:r>
          </w:p>
        </w:tc>
        <w:tc>
          <w:tcPr>
            <w:tcW w:w="120" w:type="dxa"/>
            <w:vAlign w:val="bottom"/>
          </w:tcPr>
          <w:p>
            <w:pPr>
              <w:spacing w:after="0"/>
              <w:rPr>
                <w:sz w:val="16"/>
                <w:szCs w:val="16"/>
                <w:color w:val="auto"/>
              </w:rPr>
            </w:pPr>
          </w:p>
        </w:tc>
        <w:tc>
          <w:tcPr>
            <w:tcW w:w="132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More Than</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1 Year</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5 Years</w:t>
            </w: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2022 Notes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52,088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52,088</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Credit Facility</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w w:val="79"/>
              </w:rPr>
              <w:t>65</w:t>
            </w: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231F20"/>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We made quarterly distributions to our stockholders for the first four full quarters subsequent to our IPO. To the extent we have income available, we have made and intend to make monthly distributions thereafter. Our monthly stockholder distributions, if any, will be determined by our Board on a quarterly basis. Any distribution to our stockholders will be declared out of assets legally available for distribution.</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231F20"/>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tables summarize our distributions declared from January 4, 2016 through March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Payment Date</w:t>
            </w:r>
          </w:p>
        </w:tc>
        <w:tc>
          <w:tcPr>
            <w:tcW w:w="200" w:type="dxa"/>
            <w:vAlign w:val="bottom"/>
          </w:tcPr>
          <w:p>
            <w:pPr>
              <w:spacing w:after="0"/>
              <w:rPr>
                <w:sz w:val="20"/>
                <w:szCs w:val="20"/>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22, 2018</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January 2, 2018</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20, 2018</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27, 2018</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23, 2018</w:t>
            </w: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29, 2018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shd w:val="clear" w:color="auto" w:fill="CCEEFF"/>
          </w:tcPr>
          <w:p>
            <w:pPr>
              <w:spacing w:after="0"/>
              <w:rPr>
                <w:sz w:val="18"/>
                <w:szCs w:val="18"/>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Total Distributions Declared and Distributed for 2018</w:t>
            </w: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3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Payment Date</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 2017</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January 3, 2017</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20, 2017</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27, 2017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23, 2017</w:t>
            </w: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30, 2017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April 19, 2017</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April 27, 2017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 2017</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23, 2017</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29, 2017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24, 2017</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29, 2017</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2017</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21, 2017</w:t>
            </w: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28, 2017</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July 3, 2017</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23, 2017</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30, 2017</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2017</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20, 2017</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28, 2017</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October 2, 2017</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23, 2017</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30, 2017</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 2017</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21, 2017</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29, 2017</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October 2, 2017</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20, 2017</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28, 2017</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2017</w:t>
            </w:r>
          </w:p>
        </w:tc>
        <w:tc>
          <w:tcPr>
            <w:tcW w:w="27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vMerge w:val="restart"/>
          </w:tcPr>
          <w:p>
            <w:pPr>
              <w:jc w:val="right"/>
              <w:ind w:right="109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Payment Date</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22, 2016</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28, 2016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January 4, 2016</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19, 2016</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26, 2016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22, 2016</w:t>
            </w: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30, 2016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April 22, 2016</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April 28, 2016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2016</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23, 2016</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30, 2016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21, 2016</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29, 2016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2016</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22, 2016</w:t>
            </w: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29, 2016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22, 2016</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30, 2016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2016</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22, 2016</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29, 2016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September 22, 2016</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21, 2016</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28, 2016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2016</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21, 2016</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29, 2016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September 22, 2016</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21, 2016</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29, 2016</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23"/>
        </w:trPr>
        <w:tc>
          <w:tcPr>
            <w:tcW w:w="4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2016</w:t>
            </w:r>
          </w:p>
        </w:tc>
        <w:tc>
          <w:tcPr>
            <w:tcW w:w="27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We have entered into the Investment Advisory Agreement with the Investment Advisor. Joseph B. Alala, our chief executive officer and chairman of our Board, is the managing partner and chief investment officer of the Investment Advisor, and M. Hunt Broyhill, a member of our Board, has an indirect controlling interest in the Investment Advisor.</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231F20"/>
        </w:rPr>
        <w:t>In addition, an affiliate of the Investment Advisor also manages CapitalSouth Partners SBIC Fund IV, L.P.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and a private investment vehicle (referred to herein as “Capitala Specialty Lending Corp.” or “CSLC”), both of which provide financing solutions to lower middle-market and traditional middle-market companies.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 from our own. However, we do expect to make, and have made, co-investments with Fund V and/or CSLC given their similar investment strategies.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31F20"/>
        </w:rPr>
        <w:t>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(the ‘‘Order’’) permitting this relief.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Capitala Advisors Corp., the Company’s Administrator, also serves as the administrator to FSC II.</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31F20"/>
        </w:rPr>
        <w:t>We have entered into a license agreement with the Investment Advisor, pursuant to which the Investment Advisor has agreed to grant us a non-exclusive, royalty-free license to use the name ‘‘Capitala.’’</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a director of our Administrator.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As of March 31, 2018, the Company had outstanding unfunded commitments related to debt investments in existing portfolio companies of $3.0 million (Portrait Studio, LLC), $2.0 million (CIS Secure Computing, Inc.), $1.1 million (MC Sign Lessor, Corp), $0.8 million (Kelle’s Transport Service LLC), and $0.7 million (U.S. Well Services, LLC). As of December 31, 2017, the Company had outstanding unfunded commitments related to debt investments in existing portfolio companies of $3.1 million (Portrait Studio, LLC), $2.0 million (CIS Secure Computing, Inc.), $1.0 million (Kelle’s Transport Service, LLC), and $0.7 million (U.S. Well Services, LLC).</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31F20"/>
        </w:rPr>
        <w:t xml:space="preserve">In addition to unfunded commitments related to debt investments, the Company also has extended a guaranty on behalf of one of our portfolio companies, whereby we have guaranteed </w:t>
      </w:r>
      <w:r>
        <w:rPr>
          <w:rFonts w:ascii="Arial" w:cs="Arial" w:eastAsia="Arial" w:hAnsi="Arial"/>
          <w:sz w:val="17"/>
          <w:szCs w:val="17"/>
          <w:color w:val="000000"/>
        </w:rPr>
        <w:t>$1.9 million</w:t>
      </w:r>
      <w:r>
        <w:rPr>
          <w:rFonts w:ascii="Arial" w:cs="Arial" w:eastAsia="Arial" w:hAnsi="Arial"/>
          <w:sz w:val="17"/>
          <w:szCs w:val="17"/>
          <w:color w:val="231F20"/>
        </w:rPr>
        <w:t xml:space="preserve"> of obligations of Kelle’s Transport Service, LLC. As of March 31, 2018 we have not been required to make payments on this or any previous guaranties, and we consider the credit risks to be remote and the fair value of this guaranty to be immaterial.</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2, 2018 our Board declared the following distributions: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2"/>
          </w:tcPr>
          <w:p>
            <w:pPr>
              <w:ind w:left="980"/>
              <w:spacing w:after="0"/>
              <w:rPr>
                <w:sz w:val="20"/>
                <w:szCs w:val="20"/>
                <w:color w:val="auto"/>
              </w:rPr>
            </w:pPr>
            <w:r>
              <w:rPr>
                <w:rFonts w:ascii="Arial" w:cs="Arial" w:eastAsia="Arial" w:hAnsi="Arial"/>
                <w:sz w:val="18"/>
                <w:szCs w:val="18"/>
                <w:b w:val="1"/>
                <w:bCs w:val="1"/>
                <w:color w:val="auto"/>
              </w:rPr>
              <w:t>Date Declared</w:t>
            </w:r>
          </w:p>
        </w:tc>
        <w:tc>
          <w:tcPr>
            <w:tcW w:w="3160" w:type="dxa"/>
            <w:vAlign w:val="bottom"/>
            <w:gridSpan w:val="2"/>
          </w:tcPr>
          <w:p>
            <w:pPr>
              <w:ind w:left="1040"/>
              <w:spacing w:after="0"/>
              <w:rPr>
                <w:sz w:val="20"/>
                <w:szCs w:val="20"/>
                <w:color w:val="auto"/>
              </w:rPr>
            </w:pPr>
            <w:r>
              <w:rPr>
                <w:rFonts w:ascii="Arial" w:cs="Arial" w:eastAsia="Arial" w:hAnsi="Arial"/>
                <w:sz w:val="18"/>
                <w:szCs w:val="18"/>
                <w:b w:val="1"/>
                <w:bCs w:val="1"/>
                <w:color w:val="auto"/>
              </w:rPr>
              <w:t>Record Date</w:t>
            </w:r>
          </w:p>
        </w:tc>
        <w:tc>
          <w:tcPr>
            <w:tcW w:w="3040" w:type="dxa"/>
            <w:vAlign w:val="bottom"/>
          </w:tcPr>
          <w:p>
            <w:pPr>
              <w:ind w:left="980"/>
              <w:spacing w:after="0"/>
              <w:rPr>
                <w:sz w:val="20"/>
                <w:szCs w:val="20"/>
                <w:color w:val="auto"/>
              </w:rPr>
            </w:pPr>
            <w:r>
              <w:rPr>
                <w:rFonts w:ascii="Arial" w:cs="Arial" w:eastAsia="Arial" w:hAnsi="Arial"/>
                <w:sz w:val="18"/>
                <w:szCs w:val="18"/>
                <w:b w:val="1"/>
                <w:bCs w:val="1"/>
                <w:color w:val="auto"/>
              </w:rPr>
              <w:t>Payment Date</w:t>
            </w:r>
          </w:p>
        </w:tc>
        <w:tc>
          <w:tcPr>
            <w:tcW w:w="2060" w:type="dxa"/>
            <w:vAlign w:val="bottom"/>
            <w:gridSpan w:val="4"/>
          </w:tcPr>
          <w:p>
            <w:pPr>
              <w:ind w:left="120"/>
              <w:spacing w:after="0"/>
              <w:rPr>
                <w:sz w:val="20"/>
                <w:szCs w:val="20"/>
                <w:color w:val="auto"/>
              </w:rPr>
            </w:pPr>
            <w:r>
              <w:rPr>
                <w:rFonts w:ascii="Arial" w:cs="Arial" w:eastAsia="Arial" w:hAnsi="Arial"/>
                <w:sz w:val="18"/>
                <w:szCs w:val="18"/>
                <w:b w:val="1"/>
                <w:bCs w:val="1"/>
                <w:color w:val="auto"/>
                <w:w w:val="96"/>
              </w:rPr>
              <w:t>Distributions per Share</w:t>
            </w: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 2018</w:t>
            </w:r>
          </w:p>
        </w:tc>
        <w:tc>
          <w:tcPr>
            <w:tcW w:w="1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19, 2018</w:t>
            </w:r>
          </w:p>
        </w:tc>
        <w:tc>
          <w:tcPr>
            <w:tcW w:w="1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27, 2018</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3160" w:type="dxa"/>
            <w:vAlign w:val="bottom"/>
            <w:gridSpan w:val="2"/>
          </w:tcPr>
          <w:p>
            <w:pPr>
              <w:spacing w:after="0"/>
              <w:rPr>
                <w:sz w:val="20"/>
                <w:szCs w:val="20"/>
                <w:color w:val="auto"/>
              </w:rPr>
            </w:pPr>
            <w:r>
              <w:rPr>
                <w:rFonts w:ascii="Arial" w:cs="Arial" w:eastAsia="Arial" w:hAnsi="Arial"/>
                <w:sz w:val="18"/>
                <w:szCs w:val="18"/>
                <w:color w:val="auto"/>
              </w:rPr>
              <w:t>May 22, 2018</w:t>
            </w:r>
          </w:p>
        </w:tc>
        <w:tc>
          <w:tcPr>
            <w:tcW w:w="3040" w:type="dxa"/>
            <w:vAlign w:val="bottom"/>
          </w:tcPr>
          <w:p>
            <w:pPr>
              <w:spacing w:after="0"/>
              <w:rPr>
                <w:sz w:val="20"/>
                <w:szCs w:val="20"/>
                <w:color w:val="auto"/>
              </w:rPr>
            </w:pPr>
            <w:r>
              <w:rPr>
                <w:rFonts w:ascii="Arial" w:cs="Arial" w:eastAsia="Arial" w:hAnsi="Arial"/>
                <w:sz w:val="18"/>
                <w:szCs w:val="18"/>
                <w:color w:val="auto"/>
              </w:rPr>
              <w:t>May 30, 2018</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 2018</w:t>
            </w: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 2018</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June 28, 2018</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On April 2, 2018, the Company restructured its investment in Cedar Electronics Holdings Corp., exchanging its $21.6 million subordinated debt investment for 4,759,250 Class C Preferred Units, 16,562,190 Class D Preferred Units, and 19.04% of the Class E Common Units of Cedar Ultimate Parent, LLC.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three months ended March 31, 2018, we did not engage in hedging activities.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As of March 31, 2018, we held 21 securities bearing a variable rate of interest. Our variable rate investments represent approximately 48.4% of the fair value of total debt investments. As of March 31, 2018, 4.6% of variable rate securities were yielding interest at a rate equal to the established interest rate floor or interest rate ceiling and 95.4% of variable rate securities were yielding interest at a rate above its interest rate floor, below its interest rate ceiling, or were not subject to an interest rate floor. As of March 31, 2018, we had $12.0 million outstanding on our Credit Facility, which has a variable rate of interest at one-month LIBOR + 3.0%. As of March 31, 2018, all of our other interest paying liabilities, consisting of $170.7 million in SBA-guaranteed debentures, $75.0 million in 2022 Notes, and $52.1 million in 2022 Convertible Notes, were bearing interest at a fixed rate.</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231F20"/>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jc w:val="both"/>
        <w:ind w:firstLine="648"/>
        <w:spacing w:after="0" w:line="264" w:lineRule="auto"/>
        <w:rPr>
          <w:sz w:val="20"/>
          <w:szCs w:val="20"/>
          <w:color w:val="auto"/>
        </w:rPr>
      </w:pPr>
      <w:r>
        <w:rPr>
          <w:rFonts w:ascii="Arial" w:cs="Arial" w:eastAsia="Arial" w:hAnsi="Arial"/>
          <w:sz w:val="18"/>
          <w:szCs w:val="18"/>
          <w:color w:val="231F20"/>
        </w:rPr>
        <w:t>Based on our March 31, 2018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Increase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Increase)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decrease in</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Increase</w:t>
            </w:r>
          </w:p>
        </w:tc>
      </w:tr>
      <w:tr>
        <w:trPr>
          <w:trHeight w:val="216"/>
        </w:trPr>
        <w:tc>
          <w:tcPr>
            <w:tcW w:w="4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 interest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interest</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(decrease)</w:t>
            </w:r>
          </w:p>
        </w:tc>
      </w:tr>
      <w:tr>
        <w:trPr>
          <w:trHeight w:val="234"/>
        </w:trPr>
        <w:tc>
          <w:tcPr>
            <w:tcW w:w="4840" w:type="dxa"/>
            <w:vAlign w:val="bottom"/>
          </w:tcPr>
          <w:p>
            <w:pPr>
              <w:ind w:left="2580"/>
              <w:spacing w:after="0"/>
              <w:rPr>
                <w:sz w:val="20"/>
                <w:szCs w:val="20"/>
                <w:color w:val="auto"/>
              </w:rPr>
            </w:pPr>
            <w:r>
              <w:rPr>
                <w:rFonts w:ascii="Arial" w:cs="Arial" w:eastAsia="Arial" w:hAnsi="Arial"/>
                <w:sz w:val="18"/>
                <w:szCs w:val="18"/>
                <w:b w:val="1"/>
                <w:bCs w:val="1"/>
                <w:color w:val="auto"/>
              </w:rPr>
              <w:t>Basis Point Change</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income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3"/>
              </w:rPr>
              <w:t>expense</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 net income</w:t>
            </w:r>
          </w:p>
        </w:tc>
      </w:tr>
      <w:tr>
        <w:trPr>
          <w:trHeight w:val="210"/>
        </w:trPr>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Up 200 basis points</w:t>
            </w:r>
          </w:p>
        </w:tc>
        <w:tc>
          <w:tcPr>
            <w:tcW w:w="21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3,534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3,294</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1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Down 100 basis points</w:t>
            </w:r>
          </w:p>
        </w:tc>
        <w:tc>
          <w:tcPr>
            <w:tcW w:w="21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(1,685)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(1,565)</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21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(1,788)</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Down 300 basis points</w:t>
            </w:r>
          </w:p>
        </w:tc>
        <w:tc>
          <w:tcPr>
            <w:tcW w:w="21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(2,014)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(1,788)</w:t>
            </w:r>
          </w:p>
        </w:tc>
      </w:tr>
      <w:tr>
        <w:trPr>
          <w:trHeight w:val="661"/>
        </w:trPr>
        <w:tc>
          <w:tcPr>
            <w:tcW w:w="48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231F20"/>
        </w:rPr>
        <w:t>As of March 31, 2018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Management has not identified any change in the Company’s internal control over financial reporting that occurred during the first quarter of 2018 that has materially affected, or is reasonably likely to materially affect, the Company’s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Other than as described below, 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231F20"/>
        </w:rPr>
        <w:t>On December 28, 2017, an alleged stockholder filed a putative class action lawsuit complaint, Paskowitz v. Capitala Finance Corp., et al., in the United States District Court for the Central District of California (case number 2:17-cv-09251-MWF-AS) (the ‘‘Paskowitz Action’’), against the Company and certain of its current officers on behalf of all persons who purchased or otherwise acquired the Company’s common stock between January 4, 2016 and August 7, 2017. On January 3, 2018, another alleged stockholder filed a putative class action complaint, Sandifer v. Capitala Finance Corp., et al., in the United States District Court for the Central District of California (case number 2:18-cv-00052-MWF-AS) (the ‘‘Sandifer Action’’), asserting substantially similar claims on behalf of the same putative class and against the same defendants. The complaints in the Paskowitz Action and the Sandifer Action allege certain violations of the securities laws, including, inter alia, that the defendants made certain materially false and misleading statements and omissions regarding the Company’s business, operations, and prospects. On February 2, 2018, the Sandifer Action was transferred, on stipulation of the parties, to the United States District Court for the Western District of North Carolina. The Sandifer Action was voluntarily dismissed on February 28, 2018. On March 1, 2018, the Paskowitz Action was transferred, on stipulation of the parties, to the United States District Court for the Western District of North Carolina (case number 3:18-cv-00096-RJC-DSC). While the Company intends to vigorously defend itself in this litigation, the outcome of these legal proceedings cannot be predicted with certainty.</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231F20"/>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the currently pending legal matters described above will be material to the Company’s results of operations or financial condition. However, in light of the inherent uncertainties involved in such matters, an adverse outcome in this litigation could materially adversely affect the Company’s financial condition, results of operations or cash flows in any particular reporting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December 31, 2017, which could materially affect our business, financial condition and/or operating results. The risks described in our Annual Report on Form 10-K are not the only risks we face. Additional risks and uncertainties that are not currently known to us or that we currently deem to be immaterial also may materially adversely affect our business, financial condition and/or operating results. During the three months ended March 31, 2018, there have been no material changes from the risk factors set forth in our Annual Report on Form 10-K for the year ended December 31, 2017 except for the following: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legislation may allow us to incur additional leverage.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1940 Act generally prohibits us from incurring indebtedness unless immediately after such borrowing we have an asset coverage for total borrowings of at least 200% (i.e., the amount of debt may not exceed 50% of the value of our total assets). However, on March 23, 2018, the Small Business Credit Availability Act (the “SBCA”) was signed into law, which included various changes to regulations under the federal securities laws that impact BDCs. The SBCA included changes to the 1940 Act to allow BDCs to decrease their asset coverage requirement from 200% to 150% (i.e. the amount of debt may not exceed 66.7% of the value of our total assets), if certain requirements are met. Under the SBCA, we are allowed to reduce our asset coverage requirement to 150%, and thereby increase our leverage capacity, if shareholders representing at least a majority of the votes cast, when quorum is met, approve a proposal to do so. If we receive shareholder approval, we would be allowed to reduce our asset coverage requirement to 150% on the first day after such approval. Alternatively, the SBCA allows the majority of our independent directors to approve the reduction in our asset coverage requirement to 150%, and such approval would become effective after one year. In either case, we would be required to make certain disclosures on our website and in SEC filings regarding, among other things, the receipt of approval to reduce our asset coverage requirement to 150%, our leverage capacity and usage, and risks related to leverage.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both"/>
        <w:ind w:firstLine="648"/>
        <w:spacing w:after="0" w:line="270" w:lineRule="auto"/>
        <w:rPr>
          <w:sz w:val="20"/>
          <w:szCs w:val="20"/>
          <w:color w:val="auto"/>
        </w:rPr>
      </w:pPr>
      <w:r>
        <w:rPr>
          <w:rFonts w:ascii="Arial" w:cs="Arial" w:eastAsia="Arial" w:hAnsi="Arial"/>
          <w:sz w:val="17"/>
          <w:szCs w:val="17"/>
          <w:color w:val="auto"/>
        </w:rPr>
        <w:t>As a result of the SBCA, if we obtain the necessary approval, we may be able to increase our leverage up to an amount that reduces our asset coverage ratio from 200% to 150%.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quarter ended March 31, 2018, we issued 22,987 shares of common stock under our DRIP. The issuances were not subject to the registration requirements under the Securities Act of 1933, as amended. The cash paid for shares of common stock issued under our DRIP during the quarter ended March 31, 2018 was approximately $0.2 million. Other than the shares issued under our DRIP during the quarter ended March 31, 2018, we did not sell any unregistered equity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760" w:type="dxa"/>
            <w:vAlign w:val="bottom"/>
            <w:gridSpan w:val="22"/>
          </w:tcPr>
          <w:p>
            <w:pPr>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tc>
        <w:tc>
          <w:tcPr>
            <w:tcW w:w="0" w:type="dxa"/>
            <w:vAlign w:val="bottom"/>
          </w:tcPr>
          <w:p>
            <w:pPr>
              <w:spacing w:after="0"/>
              <w:rPr>
                <w:sz w:val="1"/>
                <w:szCs w:val="1"/>
                <w:color w:val="auto"/>
              </w:rPr>
            </w:pPr>
          </w:p>
        </w:tc>
      </w:tr>
      <w:tr>
        <w:trPr>
          <w:trHeight w:val="414"/>
        </w:trPr>
        <w:tc>
          <w:tcPr>
            <w:tcW w:w="6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gridSpan w:val="4"/>
          </w:tcPr>
          <w:p>
            <w:pPr>
              <w:spacing w:after="0"/>
              <w:rPr>
                <w:sz w:val="20"/>
                <w:szCs w:val="20"/>
                <w:color w:val="auto"/>
              </w:rPr>
            </w:pPr>
            <w:r>
              <w:rPr>
                <w:rFonts w:ascii="Arial" w:cs="Arial" w:eastAsia="Arial" w:hAnsi="Arial"/>
                <w:sz w:val="18"/>
                <w:szCs w:val="18"/>
                <w:b w:val="1"/>
                <w:bCs w:val="1"/>
                <w:color w:val="auto"/>
                <w:w w:val="94"/>
              </w:rPr>
              <w:t>Number</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20"/>
          </w:tcPr>
          <w:p>
            <w:pPr>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vMerge w:val="restart"/>
          </w:tcPr>
          <w:p>
            <w:pPr>
              <w:spacing w:after="0" w:line="156" w:lineRule="exact"/>
              <w:rPr>
                <w:rFonts w:ascii="Arial" w:cs="Arial" w:eastAsia="Arial" w:hAnsi="Arial"/>
                <w:sz w:val="18"/>
                <w:szCs w:val="18"/>
                <w:color w:val="0000EE"/>
                <w:w w:val="79"/>
              </w:rPr>
            </w:pPr>
            <w:hyperlink r:id="rId20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tcBorders>
              <w:top w:val="single" w:sz="8" w:color="auto"/>
              <w:bottom w:val="single" w:sz="8" w:color="auto"/>
            </w:tcBorders>
            <w:gridSpan w:val="7"/>
            <w:vMerge w:val="restart"/>
          </w:tcPr>
          <w:p>
            <w:pPr>
              <w:spacing w:after="0"/>
              <w:rPr>
                <w:rFonts w:ascii="Arial" w:cs="Arial" w:eastAsia="Arial" w:hAnsi="Arial"/>
                <w:sz w:val="18"/>
                <w:szCs w:val="18"/>
                <w:color w:val="0000EE"/>
                <w:w w:val="91"/>
              </w:rPr>
            </w:pPr>
            <w:hyperlink r:id="rId205">
              <w:r>
                <w:rPr>
                  <w:rFonts w:ascii="Arial" w:cs="Arial" w:eastAsia="Arial" w:hAnsi="Arial"/>
                  <w:sz w:val="18"/>
                  <w:szCs w:val="18"/>
                  <w:color w:val="0000EE"/>
                  <w:w w:val="91"/>
                </w:rPr>
                <w:t>Articles of Amendment and Restatement</w:t>
              </w:r>
            </w:hyperlink>
          </w:p>
        </w:tc>
        <w:tc>
          <w:tcPr>
            <w:tcW w:w="180" w:type="dxa"/>
            <w:vAlign w:val="bottom"/>
            <w:tcBorders>
              <w:top w:val="single" w:sz="8" w:color="auto"/>
              <w:bottom w:val="single" w:sz="8" w:color="0000EE"/>
            </w:tcBorders>
          </w:tcPr>
          <w:p>
            <w:pPr>
              <w:jc w:val="right"/>
              <w:spacing w:after="0" w:line="129" w:lineRule="exact"/>
              <w:rPr>
                <w:rFonts w:ascii="Arial" w:cs="Arial" w:eastAsia="Arial" w:hAnsi="Arial"/>
                <w:sz w:val="14"/>
                <w:szCs w:val="14"/>
                <w:color w:val="0000EE"/>
                <w:w w:val="93"/>
              </w:rPr>
            </w:pPr>
            <w:hyperlink r:id="rId205">
              <w:r>
                <w:rPr>
                  <w:rFonts w:ascii="Arial" w:cs="Arial" w:eastAsia="Arial" w:hAnsi="Arial"/>
                  <w:sz w:val="14"/>
                  <w:szCs w:val="14"/>
                  <w:color w:val="0000EE"/>
                  <w:w w:val="93"/>
                </w:rPr>
                <w:t>(1)</w:t>
              </w:r>
            </w:hyperlink>
          </w:p>
        </w:tc>
        <w:tc>
          <w:tcPr>
            <w:tcW w:w="520" w:type="dxa"/>
            <w:vAlign w:val="bottom"/>
            <w:tcBorders>
              <w:top w:val="single" w:sz="8" w:color="auto"/>
              <w:bottom w:val="single" w:sz="8" w:color="auto"/>
            </w:tcBorders>
            <w:vMerge w:val="restart"/>
          </w:tcPr>
          <w:p>
            <w:pPr>
              <w:spacing w:after="0"/>
              <w:rPr>
                <w:sz w:val="12"/>
                <w:szCs w:val="12"/>
                <w:color w:val="auto"/>
              </w:rPr>
            </w:pPr>
          </w:p>
        </w:tc>
        <w:tc>
          <w:tcPr>
            <w:tcW w:w="2080" w:type="dxa"/>
            <w:vAlign w:val="bottom"/>
            <w:tcBorders>
              <w:top w:val="single" w:sz="8" w:color="auto"/>
              <w:bottom w:val="single" w:sz="8" w:color="auto"/>
            </w:tcBorders>
            <w:vMerge w:val="restart"/>
          </w:tcPr>
          <w:p>
            <w:pPr>
              <w:spacing w:after="0"/>
              <w:rPr>
                <w:sz w:val="12"/>
                <w:szCs w:val="12"/>
                <w:color w:val="auto"/>
              </w:rPr>
            </w:pPr>
          </w:p>
        </w:tc>
        <w:tc>
          <w:tcPr>
            <w:tcW w:w="160" w:type="dxa"/>
            <w:vAlign w:val="bottom"/>
            <w:tcBorders>
              <w:top w:val="single" w:sz="8" w:color="auto"/>
              <w:bottom w:val="single" w:sz="8" w:color="auto"/>
            </w:tcBorders>
            <w:vMerge w:val="restart"/>
          </w:tcPr>
          <w:p>
            <w:pPr>
              <w:spacing w:after="0"/>
              <w:rPr>
                <w:sz w:val="12"/>
                <w:szCs w:val="12"/>
                <w:color w:val="auto"/>
              </w:rPr>
            </w:pPr>
          </w:p>
        </w:tc>
        <w:tc>
          <w:tcPr>
            <w:tcW w:w="440" w:type="dxa"/>
            <w:vAlign w:val="bottom"/>
            <w:tcBorders>
              <w:top w:val="single" w:sz="8" w:color="auto"/>
              <w:bottom w:val="single" w:sz="8" w:color="auto"/>
            </w:tcBorders>
            <w:vMerge w:val="restart"/>
          </w:tcPr>
          <w:p>
            <w:pPr>
              <w:spacing w:after="0"/>
              <w:rPr>
                <w:sz w:val="12"/>
                <w:szCs w:val="12"/>
                <w:color w:val="auto"/>
              </w:rPr>
            </w:pPr>
          </w:p>
        </w:tc>
        <w:tc>
          <w:tcPr>
            <w:tcW w:w="180" w:type="dxa"/>
            <w:vAlign w:val="bottom"/>
            <w:tcBorders>
              <w:top w:val="single" w:sz="8" w:color="auto"/>
              <w:bottom w:val="single" w:sz="8" w:color="auto"/>
            </w:tcBorders>
            <w:vMerge w:val="restart"/>
          </w:tcPr>
          <w:p>
            <w:pPr>
              <w:spacing w:after="0"/>
              <w:rPr>
                <w:sz w:val="12"/>
                <w:szCs w:val="12"/>
                <w:color w:val="auto"/>
              </w:rPr>
            </w:pPr>
          </w:p>
        </w:tc>
        <w:tc>
          <w:tcPr>
            <w:tcW w:w="1600" w:type="dxa"/>
            <w:vAlign w:val="bottom"/>
            <w:tcBorders>
              <w:top w:val="single" w:sz="8" w:color="auto"/>
              <w:bottom w:val="single" w:sz="8" w:color="auto"/>
            </w:tcBorders>
            <w:vMerge w:val="restart"/>
          </w:tcPr>
          <w:p>
            <w:pPr>
              <w:spacing w:after="0"/>
              <w:rPr>
                <w:sz w:val="12"/>
                <w:szCs w:val="12"/>
                <w:color w:val="auto"/>
              </w:rPr>
            </w:pPr>
          </w:p>
        </w:tc>
        <w:tc>
          <w:tcPr>
            <w:tcW w:w="180" w:type="dxa"/>
            <w:vAlign w:val="bottom"/>
            <w:tcBorders>
              <w:top w:val="single" w:sz="8" w:color="auto"/>
              <w:bottom w:val="single" w:sz="8" w:color="auto"/>
            </w:tcBorders>
            <w:vMerge w:val="restart"/>
          </w:tcPr>
          <w:p>
            <w:pPr>
              <w:spacing w:after="0"/>
              <w:rPr>
                <w:sz w:val="12"/>
                <w:szCs w:val="12"/>
                <w:color w:val="auto"/>
              </w:rPr>
            </w:pPr>
          </w:p>
        </w:tc>
        <w:tc>
          <w:tcPr>
            <w:tcW w:w="220" w:type="dxa"/>
            <w:vAlign w:val="bottom"/>
            <w:tcBorders>
              <w:top w:val="single" w:sz="8" w:color="auto"/>
              <w:bottom w:val="single" w:sz="8" w:color="auto"/>
            </w:tcBorders>
            <w:vMerge w:val="restart"/>
          </w:tcPr>
          <w:p>
            <w:pPr>
              <w:spacing w:after="0"/>
              <w:rPr>
                <w:sz w:val="12"/>
                <w:szCs w:val="12"/>
                <w:color w:val="auto"/>
              </w:rPr>
            </w:pPr>
          </w:p>
        </w:tc>
        <w:tc>
          <w:tcPr>
            <w:tcW w:w="180" w:type="dxa"/>
            <w:vAlign w:val="bottom"/>
            <w:tcBorders>
              <w:top w:val="single" w:sz="8" w:color="auto"/>
              <w:bottom w:val="single" w:sz="8" w:color="auto"/>
            </w:tcBorders>
            <w:vMerge w:val="restart"/>
          </w:tcPr>
          <w:p>
            <w:pPr>
              <w:spacing w:after="0"/>
              <w:rPr>
                <w:sz w:val="12"/>
                <w:szCs w:val="12"/>
                <w:color w:val="auto"/>
              </w:rPr>
            </w:pPr>
          </w:p>
        </w:tc>
        <w:tc>
          <w:tcPr>
            <w:tcW w:w="100" w:type="dxa"/>
            <w:vAlign w:val="bottom"/>
            <w:tcBorders>
              <w:top w:val="single" w:sz="8" w:color="auto"/>
              <w:bottom w:val="single" w:sz="8" w:color="auto"/>
            </w:tcBorders>
            <w:vMerge w:val="restart"/>
          </w:tcPr>
          <w:p>
            <w:pPr>
              <w:spacing w:after="0"/>
              <w:rPr>
                <w:sz w:val="12"/>
                <w:szCs w:val="12"/>
                <w:color w:val="auto"/>
              </w:rPr>
            </w:pPr>
          </w:p>
        </w:tc>
        <w:tc>
          <w:tcPr>
            <w:tcW w:w="1320" w:type="dxa"/>
            <w:vAlign w:val="bottom"/>
            <w:tcBorders>
              <w:top w:val="single" w:sz="8" w:color="auto"/>
              <w:bottom w:val="single" w:sz="8" w:color="auto"/>
            </w:tcBorders>
            <w:vMerge w:val="restart"/>
          </w:tcPr>
          <w:p>
            <w:pPr>
              <w:spacing w:after="0"/>
              <w:rPr>
                <w:sz w:val="12"/>
                <w:szCs w:val="12"/>
                <w:color w:val="auto"/>
              </w:rPr>
            </w:pPr>
          </w:p>
        </w:tc>
        <w:tc>
          <w:tcPr>
            <w:tcW w:w="20" w:type="dxa"/>
            <w:vAlign w:val="bottom"/>
            <w:tcBorders>
              <w:top w:val="single" w:sz="8" w:color="auto"/>
              <w:bottom w:val="single" w:sz="8" w:color="auto"/>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Borders>
              <w:bottom w:val="single" w:sz="8" w:color="auto"/>
            </w:tcBorders>
            <w:gridSpan w:val="7"/>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20" w:type="dxa"/>
            <w:vAlign w:val="bottom"/>
            <w:tcBorders>
              <w:bottom w:val="single" w:sz="8" w:color="auto"/>
            </w:tcBorders>
            <w:vMerge w:val="continue"/>
          </w:tcPr>
          <w:p>
            <w:pPr>
              <w:spacing w:after="0" w:line="20" w:lineRule="exact"/>
              <w:rPr>
                <w:sz w:val="1"/>
                <w:szCs w:val="1"/>
                <w:color w:val="auto"/>
              </w:rPr>
            </w:pPr>
          </w:p>
        </w:tc>
        <w:tc>
          <w:tcPr>
            <w:tcW w:w="2080" w:type="dxa"/>
            <w:vAlign w:val="bottom"/>
            <w:tcBorders>
              <w:bottom w:val="single" w:sz="8" w:color="auto"/>
            </w:tcBorders>
            <w:vMerge w:val="continue"/>
          </w:tcPr>
          <w:p>
            <w:pPr>
              <w:spacing w:after="0" w:line="20" w:lineRule="exact"/>
              <w:rPr>
                <w:sz w:val="1"/>
                <w:szCs w:val="1"/>
                <w:color w:val="auto"/>
              </w:rPr>
            </w:pPr>
          </w:p>
        </w:tc>
        <w:tc>
          <w:tcPr>
            <w:tcW w:w="160" w:type="dxa"/>
            <w:vAlign w:val="bottom"/>
            <w:tcBorders>
              <w:bottom w:val="single" w:sz="8" w:color="auto"/>
            </w:tcBorders>
            <w:vMerge w:val="continue"/>
          </w:tcPr>
          <w:p>
            <w:pPr>
              <w:spacing w:after="0" w:line="20" w:lineRule="exact"/>
              <w:rPr>
                <w:sz w:val="1"/>
                <w:szCs w:val="1"/>
                <w:color w:val="auto"/>
              </w:rPr>
            </w:pPr>
          </w:p>
        </w:tc>
        <w:tc>
          <w:tcPr>
            <w:tcW w:w="440" w:type="dxa"/>
            <w:vAlign w:val="bottom"/>
            <w:tcBorders>
              <w:bottom w:val="single" w:sz="8" w:color="auto"/>
            </w:tcBorders>
            <w:vMerge w:val="continue"/>
          </w:tcPr>
          <w:p>
            <w:pPr>
              <w:spacing w:after="0" w:line="20" w:lineRule="exact"/>
              <w:rPr>
                <w:sz w:val="1"/>
                <w:szCs w:val="1"/>
                <w:color w:val="auto"/>
              </w:rPr>
            </w:pPr>
          </w:p>
        </w:tc>
        <w:tc>
          <w:tcPr>
            <w:tcW w:w="180" w:type="dxa"/>
            <w:vAlign w:val="bottom"/>
            <w:tcBorders>
              <w:bottom w:val="single" w:sz="8" w:color="auto"/>
            </w:tcBorders>
            <w:vMerge w:val="continue"/>
          </w:tcPr>
          <w:p>
            <w:pPr>
              <w:spacing w:after="0" w:line="20" w:lineRule="exact"/>
              <w:rPr>
                <w:sz w:val="1"/>
                <w:szCs w:val="1"/>
                <w:color w:val="auto"/>
              </w:rPr>
            </w:pPr>
          </w:p>
        </w:tc>
        <w:tc>
          <w:tcPr>
            <w:tcW w:w="1600" w:type="dxa"/>
            <w:vAlign w:val="bottom"/>
            <w:tcBorders>
              <w:bottom w:val="single" w:sz="8" w:color="auto"/>
            </w:tcBorders>
            <w:vMerge w:val="continue"/>
          </w:tcPr>
          <w:p>
            <w:pPr>
              <w:spacing w:after="0" w:line="20" w:lineRule="exact"/>
              <w:rPr>
                <w:sz w:val="1"/>
                <w:szCs w:val="1"/>
                <w:color w:val="auto"/>
              </w:rPr>
            </w:pPr>
          </w:p>
        </w:tc>
        <w:tc>
          <w:tcPr>
            <w:tcW w:w="180" w:type="dxa"/>
            <w:vAlign w:val="bottom"/>
            <w:tcBorders>
              <w:bottom w:val="single" w:sz="8" w:color="auto"/>
            </w:tcBorders>
            <w:vMerge w:val="continue"/>
          </w:tcPr>
          <w:p>
            <w:pPr>
              <w:spacing w:after="0" w:line="20" w:lineRule="exact"/>
              <w:rPr>
                <w:sz w:val="1"/>
                <w:szCs w:val="1"/>
                <w:color w:val="auto"/>
              </w:rPr>
            </w:pPr>
          </w:p>
        </w:tc>
        <w:tc>
          <w:tcPr>
            <w:tcW w:w="220" w:type="dxa"/>
            <w:vAlign w:val="bottom"/>
            <w:tcBorders>
              <w:bottom w:val="single" w:sz="8" w:color="auto"/>
            </w:tcBorders>
            <w:vMerge w:val="continue"/>
          </w:tcPr>
          <w:p>
            <w:pPr>
              <w:spacing w:after="0" w:line="20" w:lineRule="exact"/>
              <w:rPr>
                <w:sz w:val="1"/>
                <w:szCs w:val="1"/>
                <w:color w:val="auto"/>
              </w:rPr>
            </w:pPr>
          </w:p>
        </w:tc>
        <w:tc>
          <w:tcPr>
            <w:tcW w:w="180" w:type="dxa"/>
            <w:vAlign w:val="bottom"/>
            <w:tcBorders>
              <w:bottom w:val="single" w:sz="8" w:color="auto"/>
            </w:tcBorders>
            <w:vMerge w:val="continue"/>
          </w:tcPr>
          <w:p>
            <w:pPr>
              <w:spacing w:after="0" w:line="20" w:lineRule="exact"/>
              <w:rPr>
                <w:sz w:val="1"/>
                <w:szCs w:val="1"/>
                <w:color w:val="auto"/>
              </w:rPr>
            </w:pPr>
          </w:p>
        </w:tc>
        <w:tc>
          <w:tcPr>
            <w:tcW w:w="100" w:type="dxa"/>
            <w:vAlign w:val="bottom"/>
            <w:tcBorders>
              <w:bottom w:val="single" w:sz="8" w:color="auto"/>
            </w:tcBorders>
            <w:vMerge w:val="continue"/>
          </w:tcPr>
          <w:p>
            <w:pPr>
              <w:spacing w:after="0" w:line="20" w:lineRule="exact"/>
              <w:rPr>
                <w:sz w:val="1"/>
                <w:szCs w:val="1"/>
                <w:color w:val="auto"/>
              </w:rPr>
            </w:pPr>
          </w:p>
        </w:tc>
        <w:tc>
          <w:tcPr>
            <w:tcW w:w="13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gridSpan w:val="2"/>
            <w:vMerge w:val="restart"/>
          </w:tcPr>
          <w:p>
            <w:pPr>
              <w:spacing w:after="0"/>
              <w:rPr>
                <w:rFonts w:ascii="Arial" w:cs="Arial" w:eastAsia="Arial" w:hAnsi="Arial"/>
                <w:sz w:val="18"/>
                <w:szCs w:val="18"/>
                <w:color w:val="0000EE"/>
                <w:w w:val="87"/>
              </w:rPr>
            </w:pPr>
            <w:hyperlink r:id="rId20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Borders>
              <w:bottom w:val="single" w:sz="8" w:color="0000EE"/>
            </w:tcBorders>
            <w:gridSpan w:val="7"/>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20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0000EE"/>
                <w:w w:val="87"/>
              </w:rPr>
              <w:t>(2)</w:t>
            </w:r>
          </w:p>
        </w:tc>
        <w:tc>
          <w:tcPr>
            <w:tcW w:w="16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60" w:type="dxa"/>
            <w:vAlign w:val="bottom"/>
            <w:gridSpan w:val="12"/>
            <w:vMerge w:val="restart"/>
          </w:tcPr>
          <w:p>
            <w:pPr>
              <w:spacing w:after="0"/>
              <w:rPr>
                <w:rFonts w:ascii="Arial" w:cs="Arial" w:eastAsia="Arial" w:hAnsi="Arial"/>
                <w:sz w:val="18"/>
                <w:szCs w:val="18"/>
                <w:color w:val="0000EE"/>
                <w:w w:val="92"/>
              </w:rPr>
            </w:pPr>
            <w:hyperlink r:id="rId206">
              <w:r>
                <w:rPr>
                  <w:rFonts w:ascii="Arial" w:cs="Arial" w:eastAsia="Arial" w:hAnsi="Arial"/>
                  <w:sz w:val="18"/>
                  <w:szCs w:val="18"/>
                  <w:color w:val="0000EE"/>
                  <w:w w:val="92"/>
                </w:rPr>
                <w:t>Certificate of Limited Partnership of CapitalSouth Partners Fund II Limited Partnership</w:t>
              </w:r>
            </w:hyperlink>
          </w:p>
        </w:tc>
        <w:tc>
          <w:tcPr>
            <w:tcW w:w="180" w:type="dxa"/>
            <w:vAlign w:val="bottom"/>
            <w:tcBorders>
              <w:bottom w:val="single" w:sz="8" w:color="0000EE"/>
            </w:tcBorders>
            <w:vMerge w:val="continue"/>
          </w:tcPr>
          <w:p>
            <w:pPr>
              <w:spacing w:after="0"/>
              <w:rPr>
                <w:sz w:val="24"/>
                <w:szCs w:val="24"/>
                <w:color w:val="auto"/>
              </w:rPr>
            </w:pPr>
          </w:p>
        </w:tc>
        <w:tc>
          <w:tcPr>
            <w:tcW w:w="160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13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60" w:type="dxa"/>
            <w:vAlign w:val="bottom"/>
            <w:gridSpan w:val="12"/>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vMerge w:val="restart"/>
          </w:tcPr>
          <w:p>
            <w:pPr>
              <w:spacing w:after="0"/>
              <w:rPr>
                <w:rFonts w:ascii="Arial" w:cs="Arial" w:eastAsia="Arial" w:hAnsi="Arial"/>
                <w:sz w:val="18"/>
                <w:szCs w:val="18"/>
                <w:color w:val="0000EE"/>
                <w:w w:val="87"/>
              </w:rPr>
            </w:pPr>
            <w:hyperlink r:id="rId20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60" w:type="dxa"/>
            <w:vAlign w:val="bottom"/>
            <w:tcBorders>
              <w:bottom w:val="single" w:sz="8" w:color="0000EE"/>
            </w:tcBorders>
            <w:gridSpan w:val="1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10"/>
            <w:vMerge w:val="restart"/>
          </w:tcPr>
          <w:p>
            <w:pPr>
              <w:spacing w:after="0"/>
              <w:rPr>
                <w:rFonts w:ascii="Arial" w:cs="Arial" w:eastAsia="Arial" w:hAnsi="Arial"/>
                <w:sz w:val="18"/>
                <w:szCs w:val="18"/>
                <w:color w:val="0000EE"/>
                <w:w w:val="92"/>
              </w:rPr>
            </w:pPr>
            <w:hyperlink r:id="rId207">
              <w:r>
                <w:rPr>
                  <w:rFonts w:ascii="Arial" w:cs="Arial" w:eastAsia="Arial" w:hAnsi="Arial"/>
                  <w:sz w:val="18"/>
                  <w:szCs w:val="18"/>
                  <w:color w:val="0000EE"/>
                  <w:w w:val="92"/>
                </w:rPr>
                <w:t>Certificate of Limited Partnership of CapitalSouth Partners SBIC Fund III, L.P.</w:t>
              </w:r>
            </w:hyperlink>
          </w:p>
        </w:tc>
        <w:tc>
          <w:tcPr>
            <w:tcW w:w="16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6"/>
              </w:rPr>
              <w:t>(2)</w:t>
            </w:r>
          </w:p>
        </w:tc>
        <w:tc>
          <w:tcPr>
            <w:tcW w:w="2220" w:type="dxa"/>
            <w:vAlign w:val="bottom"/>
            <w:gridSpan w:val="3"/>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13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60" w:type="dxa"/>
            <w:vAlign w:val="bottom"/>
            <w:gridSpan w:val="10"/>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2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vMerge w:val="restart"/>
          </w:tcPr>
          <w:p>
            <w:pPr>
              <w:spacing w:after="0"/>
              <w:rPr>
                <w:rFonts w:ascii="Arial" w:cs="Arial" w:eastAsia="Arial" w:hAnsi="Arial"/>
                <w:sz w:val="18"/>
                <w:szCs w:val="18"/>
                <w:color w:val="0000EE"/>
                <w:w w:val="87"/>
              </w:rPr>
            </w:pPr>
            <w:hyperlink r:id="rId20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60" w:type="dxa"/>
            <w:vAlign w:val="bottom"/>
            <w:tcBorders>
              <w:bottom w:val="single" w:sz="8" w:color="0000EE"/>
            </w:tcBorders>
            <w:gridSpan w:val="10"/>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22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vMerge w:val="restart"/>
          </w:tcPr>
          <w:p>
            <w:pPr>
              <w:spacing w:after="0"/>
              <w:rPr>
                <w:rFonts w:ascii="Arial" w:cs="Arial" w:eastAsia="Arial" w:hAnsi="Arial"/>
                <w:sz w:val="18"/>
                <w:szCs w:val="18"/>
                <w:color w:val="0000EE"/>
                <w:w w:val="98"/>
              </w:rPr>
            </w:pPr>
            <w:hyperlink r:id="rId208">
              <w:r>
                <w:rPr>
                  <w:rFonts w:ascii="Arial" w:cs="Arial" w:eastAsia="Arial" w:hAnsi="Arial"/>
                  <w:sz w:val="18"/>
                  <w:szCs w:val="18"/>
                  <w:color w:val="0000EE"/>
                  <w:w w:val="98"/>
                </w:rPr>
                <w:t>Bylaws</w:t>
              </w:r>
            </w:hyperlink>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7"/>
              </w:rPr>
              <w:t>(1)</w:t>
            </w:r>
          </w:p>
        </w:tc>
        <w:tc>
          <w:tcPr>
            <w:tcW w:w="360" w:type="dxa"/>
            <w:vAlign w:val="bottom"/>
            <w:vMerge w:val="restart"/>
          </w:tcPr>
          <w:p>
            <w:pPr>
              <w:spacing w:after="0"/>
              <w:rPr>
                <w:sz w:val="24"/>
                <w:szCs w:val="24"/>
                <w:color w:val="auto"/>
              </w:rPr>
            </w:pPr>
          </w:p>
        </w:tc>
        <w:tc>
          <w:tcPr>
            <w:tcW w:w="148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900" w:type="dxa"/>
            <w:vAlign w:val="bottom"/>
            <w:gridSpan w:val="3"/>
            <w:vMerge w:val="restart"/>
          </w:tcPr>
          <w:p>
            <w:pPr>
              <w:spacing w:after="0"/>
              <w:rPr>
                <w:sz w:val="24"/>
                <w:szCs w:val="24"/>
                <w:color w:val="auto"/>
              </w:rPr>
            </w:pPr>
          </w:p>
        </w:tc>
        <w:tc>
          <w:tcPr>
            <w:tcW w:w="4460" w:type="dxa"/>
            <w:vAlign w:val="bottom"/>
            <w:gridSpan w:val="5"/>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13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4460" w:type="dxa"/>
            <w:vAlign w:val="bottom"/>
            <w:gridSpan w:val="5"/>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vMerge w:val="restart"/>
          </w:tcPr>
          <w:p>
            <w:pPr>
              <w:spacing w:after="0"/>
              <w:rPr>
                <w:rFonts w:ascii="Arial" w:cs="Arial" w:eastAsia="Arial" w:hAnsi="Arial"/>
                <w:sz w:val="18"/>
                <w:szCs w:val="18"/>
                <w:color w:val="0000EE"/>
                <w:w w:val="87"/>
              </w:rPr>
            </w:pPr>
            <w:hyperlink r:id="rId20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0000EE"/>
            </w:tcBorders>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4460" w:type="dxa"/>
            <w:vAlign w:val="bottom"/>
            <w:gridSpan w:val="5"/>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0000EE"/>
                <w:w w:val="87"/>
              </w:rPr>
              <w:t>(3)</w:t>
            </w:r>
          </w:p>
        </w:tc>
        <w:tc>
          <w:tcPr>
            <w:tcW w:w="1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40" w:type="dxa"/>
            <w:vAlign w:val="bottom"/>
            <w:gridSpan w:val="16"/>
            <w:vMerge w:val="restart"/>
          </w:tcPr>
          <w:p>
            <w:pPr>
              <w:spacing w:after="0"/>
              <w:rPr>
                <w:rFonts w:ascii="Arial" w:cs="Arial" w:eastAsia="Arial" w:hAnsi="Arial"/>
                <w:sz w:val="18"/>
                <w:szCs w:val="18"/>
                <w:color w:val="0000EE"/>
                <w:w w:val="91"/>
              </w:rPr>
            </w:pPr>
            <w:hyperlink r:id="rId209">
              <w:r>
                <w:rPr>
                  <w:rFonts w:ascii="Arial" w:cs="Arial" w:eastAsia="Arial" w:hAnsi="Arial"/>
                  <w:sz w:val="18"/>
                  <w:szCs w:val="18"/>
                  <w:color w:val="0000EE"/>
                  <w:w w:val="91"/>
                </w:rPr>
                <w:t>Form of Amended and Restated Limited Partnership Agreement of CapitalSouth Partners Fund II Limited Partnership</w:t>
              </w:r>
            </w:hyperlink>
          </w:p>
        </w:tc>
        <w:tc>
          <w:tcPr>
            <w:tcW w:w="180" w:type="dxa"/>
            <w:vAlign w:val="bottom"/>
            <w:tcBorders>
              <w:bottom w:val="single" w:sz="8" w:color="0000EE"/>
            </w:tcBorders>
            <w:vMerge w:val="continue"/>
          </w:tcPr>
          <w:p>
            <w:pPr>
              <w:spacing w:after="0"/>
              <w:rPr>
                <w:sz w:val="24"/>
                <w:szCs w:val="24"/>
                <w:color w:val="auto"/>
              </w:rPr>
            </w:pPr>
          </w:p>
        </w:tc>
        <w:tc>
          <w:tcPr>
            <w:tcW w:w="100" w:type="dxa"/>
            <w:vAlign w:val="bottom"/>
            <w:vMerge w:val="restart"/>
          </w:tcPr>
          <w:p>
            <w:pPr>
              <w:spacing w:after="0"/>
              <w:rPr>
                <w:sz w:val="24"/>
                <w:szCs w:val="24"/>
                <w:color w:val="auto"/>
              </w:rPr>
            </w:pPr>
          </w:p>
        </w:tc>
        <w:tc>
          <w:tcPr>
            <w:tcW w:w="13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540" w:type="dxa"/>
            <w:vAlign w:val="bottom"/>
            <w:gridSpan w:val="16"/>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vMerge w:val="restart"/>
          </w:tcPr>
          <w:p>
            <w:pPr>
              <w:spacing w:after="0"/>
              <w:rPr>
                <w:rFonts w:ascii="Arial" w:cs="Arial" w:eastAsia="Arial" w:hAnsi="Arial"/>
                <w:sz w:val="18"/>
                <w:szCs w:val="18"/>
                <w:color w:val="0000EE"/>
                <w:w w:val="87"/>
              </w:rPr>
            </w:pPr>
            <w:hyperlink r:id="rId21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6</w:t>
              </w:r>
            </w:hyperlink>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540" w:type="dxa"/>
            <w:vAlign w:val="bottom"/>
            <w:tcBorders>
              <w:bottom w:val="single" w:sz="8" w:color="0000EE"/>
            </w:tcBorders>
            <w:gridSpan w:val="16"/>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40" w:type="dxa"/>
            <w:vAlign w:val="bottom"/>
            <w:gridSpan w:val="14"/>
            <w:vMerge w:val="restart"/>
          </w:tcPr>
          <w:p>
            <w:pPr>
              <w:spacing w:after="0"/>
              <w:rPr>
                <w:rFonts w:ascii="Arial" w:cs="Arial" w:eastAsia="Arial" w:hAnsi="Arial"/>
                <w:sz w:val="18"/>
                <w:szCs w:val="18"/>
                <w:color w:val="0000EE"/>
                <w:w w:val="91"/>
              </w:rPr>
            </w:pPr>
            <w:hyperlink r:id="rId210">
              <w:r>
                <w:rPr>
                  <w:rFonts w:ascii="Arial" w:cs="Arial" w:eastAsia="Arial" w:hAnsi="Arial"/>
                  <w:sz w:val="18"/>
                  <w:szCs w:val="18"/>
                  <w:color w:val="0000EE"/>
                  <w:w w:val="91"/>
                </w:rPr>
                <w:t>Form of Amended and Restated Agreement of Limited Partnership of CapitalSouth Partners SBIC Fund III, L.P.</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(3)</w:t>
            </w:r>
          </w:p>
        </w:tc>
        <w:tc>
          <w:tcPr>
            <w:tcW w:w="500" w:type="dxa"/>
            <w:vAlign w:val="bottom"/>
            <w:gridSpan w:val="3"/>
            <w:vMerge w:val="restart"/>
          </w:tcPr>
          <w:p>
            <w:pPr>
              <w:spacing w:after="0"/>
              <w:rPr>
                <w:sz w:val="24"/>
                <w:szCs w:val="24"/>
                <w:color w:val="auto"/>
              </w:rPr>
            </w:pPr>
          </w:p>
        </w:tc>
        <w:tc>
          <w:tcPr>
            <w:tcW w:w="13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140" w:type="dxa"/>
            <w:vAlign w:val="bottom"/>
            <w:gridSpan w:val="14"/>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gridSpan w:val="3"/>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vMerge w:val="restart"/>
          </w:tcPr>
          <w:p>
            <w:pPr>
              <w:spacing w:after="0"/>
              <w:rPr>
                <w:rFonts w:ascii="Arial" w:cs="Arial" w:eastAsia="Arial" w:hAnsi="Arial"/>
                <w:sz w:val="18"/>
                <w:szCs w:val="18"/>
                <w:color w:val="0000EE"/>
                <w:w w:val="87"/>
              </w:rPr>
            </w:pPr>
            <w:hyperlink r:id="rId21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140" w:type="dxa"/>
            <w:vAlign w:val="bottom"/>
            <w:tcBorders>
              <w:bottom w:val="single" w:sz="8" w:color="0000EE"/>
            </w:tcBorders>
            <w:gridSpan w:val="14"/>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00" w:type="dxa"/>
            <w:vAlign w:val="bottom"/>
            <w:gridSpan w:val="3"/>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vMerge w:val="restart"/>
          </w:tcPr>
          <w:p>
            <w:pPr>
              <w:spacing w:after="0"/>
              <w:rPr>
                <w:rFonts w:ascii="Arial" w:cs="Arial" w:eastAsia="Arial" w:hAnsi="Arial"/>
                <w:sz w:val="18"/>
                <w:szCs w:val="18"/>
                <w:color w:val="0000EE"/>
                <w:w w:val="93"/>
              </w:rPr>
            </w:pPr>
            <w:hyperlink r:id="rId211">
              <w:r>
                <w:rPr>
                  <w:rFonts w:ascii="Arial" w:cs="Arial" w:eastAsia="Arial" w:hAnsi="Arial"/>
                  <w:sz w:val="18"/>
                  <w:szCs w:val="18"/>
                  <w:color w:val="0000EE"/>
                  <w:w w:val="93"/>
                </w:rPr>
                <w:t>Form of Common Stock Certificate</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(1)</w:t>
            </w:r>
          </w:p>
        </w:tc>
        <w:tc>
          <w:tcPr>
            <w:tcW w:w="900" w:type="dxa"/>
            <w:vAlign w:val="bottom"/>
            <w:gridSpan w:val="3"/>
            <w:vMerge w:val="restart"/>
          </w:tcPr>
          <w:p>
            <w:pPr>
              <w:spacing w:after="0"/>
              <w:rPr>
                <w:sz w:val="24"/>
                <w:szCs w:val="24"/>
                <w:color w:val="auto"/>
              </w:rPr>
            </w:pPr>
          </w:p>
        </w:tc>
        <w:tc>
          <w:tcPr>
            <w:tcW w:w="5140" w:type="dxa"/>
            <w:vAlign w:val="bottom"/>
            <w:gridSpan w:val="9"/>
            <w:vMerge w:val="restart"/>
          </w:tcPr>
          <w:p>
            <w:pPr>
              <w:spacing w:after="0"/>
              <w:rPr>
                <w:sz w:val="24"/>
                <w:szCs w:val="24"/>
                <w:color w:val="auto"/>
              </w:rPr>
            </w:pPr>
          </w:p>
        </w:tc>
        <w:tc>
          <w:tcPr>
            <w:tcW w:w="13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5"/>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5140" w:type="dxa"/>
            <w:vAlign w:val="bottom"/>
            <w:gridSpan w:val="9"/>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Borders>
              <w:bottom w:val="single" w:sz="8" w:color="0000EE"/>
            </w:tcBorders>
            <w:gridSpan w:val="5"/>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5140" w:type="dxa"/>
            <w:vAlign w:val="bottom"/>
            <w:gridSpan w:val="9"/>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2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1</w:t>
              </w:r>
            </w:hyperlink>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Computation of Per Share Earnings (included in the notes to the consolidated financial statements contained in this report)</w:t>
              </w:r>
            </w:hyperlink>
          </w:p>
        </w:tc>
        <w:tc>
          <w:tcPr>
            <w:tcW w:w="1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gridSpan w:val="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Certification of Chief Executive Officer pursuant to Rule 13a-14 of the Securities Exchange Act of 1934, as adopted pursuant to Section 302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of the Sarbanes-Oxley Act of 2002 (filed herewith)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64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gridSpan w:val="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Certification of Chief Financial Officer pursuant to Rule 13a-14 of the Securities Exchange Act of 1934, as adopted pursuant to Section 302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of the Sarbanes-Oxley Act of 2002 (filed herewith)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64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gridSpan w:val="4"/>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w w:val="94"/>
              </w:rPr>
            </w:pPr>
            <w:hyperlink w:anchor="page79">
              <w:r>
                <w:rPr>
                  <w:rFonts w:ascii="Arial" w:cs="Arial" w:eastAsia="Arial" w:hAnsi="Arial"/>
                  <w:sz w:val="18"/>
                  <w:szCs w:val="18"/>
                  <w:color w:val="0000EE"/>
                  <w:w w:val="94"/>
                </w:rPr>
                <w:t>Certification of Chief Executive Officer 18 U.S.C. Section 1350, as adopted pursuant to section 906 of the Sarbanes-Oxley Act of 2002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(filed herewith)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0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gridSpan w:val="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Certification of Chief Financial Officer 18 U.S.C. Section 1350, as adopted pursuant to section 906 of the Sarbanes-Oxley Act of 2002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herewith)</w:t>
              </w:r>
            </w:hyperlink>
          </w:p>
        </w:tc>
        <w:tc>
          <w:tcPr>
            <w:tcW w:w="9440" w:type="dxa"/>
            <w:vAlign w:val="bottom"/>
            <w:tcBorders>
              <w:top w:val="single" w:sz="8" w:color="0000EE"/>
            </w:tcBorders>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60" w:right="20" w:hanging="1252"/>
        <w:spacing w:after="0" w:line="277"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170" w:lineRule="exact"/>
        <w:rPr>
          <w:rFonts w:ascii="Arial" w:cs="Arial" w:eastAsia="Arial" w:hAnsi="Arial"/>
          <w:sz w:val="18"/>
          <w:szCs w:val="18"/>
          <w:color w:val="auto"/>
        </w:rPr>
      </w:pPr>
    </w:p>
    <w:p>
      <w:pPr>
        <w:ind w:left="1260" w:right="20" w:hanging="1252"/>
        <w:spacing w:after="0" w:line="277"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170" w:lineRule="exact"/>
        <w:rPr>
          <w:rFonts w:ascii="Arial" w:cs="Arial" w:eastAsia="Arial" w:hAnsi="Arial"/>
          <w:sz w:val="18"/>
          <w:szCs w:val="18"/>
          <w:color w:val="auto"/>
        </w:rPr>
      </w:pPr>
    </w:p>
    <w:p>
      <w:pPr>
        <w:ind w:left="1260" w:right="20" w:hanging="1252"/>
        <w:spacing w:after="0" w:line="277"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7, 2018</w:t>
            </w:r>
          </w:p>
        </w:tc>
        <w:tc>
          <w:tcPr>
            <w:tcW w:w="2780" w:type="dxa"/>
            <w:vAlign w:val="bottom"/>
          </w:tcPr>
          <w:p>
            <w:pPr>
              <w:ind w:left="22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35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7, 2018</w:t>
            </w:r>
          </w:p>
        </w:tc>
        <w:tc>
          <w:tcPr>
            <w:tcW w:w="2780" w:type="dxa"/>
            <w:vAlign w:val="bottom"/>
          </w:tcPr>
          <w:p>
            <w:pPr>
              <w:ind w:left="22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35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230"/>
        </w:trPr>
        <w:tc>
          <w:tcPr>
            <w:tcW w:w="3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648"/>
        </w:trPr>
        <w:tc>
          <w:tcPr>
            <w:tcW w:w="35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74</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40" w:right="20" w:hanging="670"/>
        <w:spacing w:after="0" w:line="264" w:lineRule="auto"/>
        <w:tabs>
          <w:tab w:leader="none" w:pos="13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40" w:right="20" w:hanging="670"/>
        <w:spacing w:after="0" w:line="342" w:lineRule="auto"/>
        <w:tabs>
          <w:tab w:leader="none" w:pos="1340" w:val="left"/>
        </w:tabs>
        <w:numPr>
          <w:ilvl w:val="2"/>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0"/>
        <w:spacing w:after="0" w:line="264" w:lineRule="auto"/>
        <w:tabs>
          <w:tab w:leader="none" w:pos="13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0"/>
        <w:spacing w:after="0" w:line="308" w:lineRule="auto"/>
        <w:tabs>
          <w:tab w:leader="none" w:pos="1340" w:val="left"/>
        </w:tabs>
        <w:numPr>
          <w:ilvl w:val="2"/>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0"/>
        <w:spacing w:after="0" w:line="277" w:lineRule="auto"/>
        <w:tabs>
          <w:tab w:leader="none" w:pos="134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40" w:right="20" w:hanging="670"/>
        <w:spacing w:after="0" w:line="264" w:lineRule="auto"/>
        <w:tabs>
          <w:tab w:leader="none" w:pos="1340" w:val="left"/>
        </w:tabs>
        <w:numPr>
          <w:ilvl w:val="2"/>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40" w:right="20" w:hanging="670"/>
        <w:spacing w:after="0" w:line="342" w:lineRule="auto"/>
        <w:tabs>
          <w:tab w:leader="none" w:pos="1340" w:val="left"/>
        </w:tabs>
        <w:numPr>
          <w:ilvl w:val="2"/>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0"/>
        <w:spacing w:after="0" w:line="264" w:lineRule="auto"/>
        <w:tabs>
          <w:tab w:leader="none" w:pos="1340" w:val="left"/>
        </w:tabs>
        <w:numPr>
          <w:ilvl w:val="2"/>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0"/>
        <w:spacing w:after="0" w:line="308" w:lineRule="auto"/>
        <w:tabs>
          <w:tab w:leader="none" w:pos="1340" w:val="left"/>
        </w:tabs>
        <w:numPr>
          <w:ilvl w:val="2"/>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0"/>
        <w:spacing w:after="0" w:line="277" w:lineRule="auto"/>
        <w:tabs>
          <w:tab w:leader="none" w:pos="134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March 31, 2018,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3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20" w:hanging="670"/>
        <w:spacing w:after="0" w:line="277" w:lineRule="auto"/>
        <w:tabs>
          <w:tab w:leader="none" w:pos="1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March 31, 2018,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30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20" w:hanging="670"/>
        <w:spacing w:after="0" w:line="277" w:lineRule="auto"/>
        <w:tabs>
          <w:tab w:leader="none" w:pos="13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upperLetter"/>
      <w:start w:val="6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lvl w:ilvl="1">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upperLetter"/>
      <w:start w:val="6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bullet"/>
      <w:start w:val="1"/>
    </w:lvl>
  </w:abstractNum>
  <w:abstractNum w:abstractNumId="16">
    <w:nsid w:val="2443A858"/>
    <w:multiLevelType w:val="hybridMultilevel"/>
    <w:lvl w:ilvl="0">
      <w:lvlJc w:val="left"/>
      <w:lvlText w:val="2"/>
      <w:numFmt w:val="bullet"/>
      <w:start w:val="1"/>
    </w:lvl>
  </w:abstractNum>
  <w:abstractNum w:abstractNumId="17">
    <w:nsid w:val="2D1D5AE9"/>
    <w:multiLevelType w:val="hybridMultilevel"/>
    <w:lvl w:ilvl="0">
      <w:lvlJc w:val="left"/>
      <w:lvlText w:val="3"/>
      <w:numFmt w:val="bullet"/>
      <w:start w:val="1"/>
    </w:lvl>
  </w:abstractNum>
  <w:abstractNum w:abstractNumId="18">
    <w:nsid w:val="6763845E"/>
    <w:multiLevelType w:val="hybridMultilevel"/>
    <w:lvl w:ilvl="0">
      <w:lvlJc w:val="left"/>
      <w:lvlText w:val="4"/>
      <w:numFmt w:val="bullet"/>
      <w:start w:val="1"/>
    </w:lvl>
  </w:abstractNum>
  <w:abstractNum w:abstractNumId="19">
    <w:nsid w:val="75A2A8D4"/>
    <w:multiLevelType w:val="hybridMultilevel"/>
    <w:lvl w:ilvl="0">
      <w:lvlJc w:val="left"/>
      <w:lvlText w:val="5"/>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3">
    <w:nsid w:val="B03E0C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5">
    <w:nsid w:val="54E49EB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6">
    <w:nsid w:val="71F32454"/>
    <w:multiLevelType w:val="hybridMultilevel"/>
    <w:lvl w:ilvl="0">
      <w:lvlJc w:val="left"/>
      <w:lvlText w:val="%1."/>
      <w:numFmt w:val="decimal"/>
      <w:start w:val="1"/>
    </w:lvl>
    <w:lvl w:ilvl="1">
      <w:lvlJc w:val="left"/>
      <w:lvlText w:val="%2."/>
      <w:numFmt w:val="decimal"/>
      <w:start w:val="2"/>
    </w:lvl>
  </w:abstractNum>
  <w:abstractNum w:abstractNumId="27">
    <w:nsid w:val="2CA88611"/>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05" Type="http://schemas.openxmlformats.org/officeDocument/2006/relationships/hyperlink" Target="http://www.sec.gov/Archives/edgar/data/1221483/000119312513361263/d505298dex99a1.htm" TargetMode="External"/><Relationship Id="rId206" Type="http://schemas.openxmlformats.org/officeDocument/2006/relationships/hyperlink" Target="http://www.sec.gov/Archives/edgar/data/1221483/000119312513368161/d505298dex99a2.htm" TargetMode="External"/><Relationship Id="rId207" Type="http://schemas.openxmlformats.org/officeDocument/2006/relationships/hyperlink" Target="http://www.sec.gov/Archives/edgar/data/1221483/000119312513368161/d505298dex99a3.htm" TargetMode="External"/><Relationship Id="rId208" Type="http://schemas.openxmlformats.org/officeDocument/2006/relationships/hyperlink" Target="http://www.sec.gov/Archives/edgar/data/1221483/000119312513361263/d505298dex99b1.htm" TargetMode="External"/><Relationship Id="rId209" Type="http://schemas.openxmlformats.org/officeDocument/2006/relationships/hyperlink" Target="http://www.sec.gov/Archives/edgar/data/1571329/000119312513376445/d505298dex99b2.htm" TargetMode="External"/><Relationship Id="rId210" Type="http://schemas.openxmlformats.org/officeDocument/2006/relationships/hyperlink" Target="http://www.sec.gov/Archives/edgar/data/1571329/000119312513376445/d505298dex99b3.htm" TargetMode="External"/><Relationship Id="rId211" Type="http://schemas.openxmlformats.org/officeDocument/2006/relationships/hyperlink" Target="http://www.sec.gov/Archives/edgar/data/1221483/000119312513361263/d505298d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2019-12-28T22:41:56Z</dcterms:created>
  <dcterms:modified xsi:type="dcterms:W3CDTF">2019-12-28T22:41:56Z</dcterms:modified>
</cp:coreProperties>
</file>