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hanging="0"/>
        <w:rPr>
          <w:bdr w:val="single" w:sz="16" w:space="1" w:color="000000"/>
        </w:rPr>
      </w:pPr>
      <w:bookmarkStart w:id="0" w:name="tm2034534-1_10q.htm"/>
      <w:bookmarkStart w:id="1" w:name="kstm20345341_10q"/>
      <w:bookmarkEnd w:id="0"/>
      <w:bookmarkEnd w:id="1"/>
      <w:r>
        <w:rPr>
          <w:bdr w:val="single" w:sz="16" w:space="1" w:color="000000"/>
        </w:rPr>
        <w:t> </w:t>
      </w:r>
    </w:p>
    <w:p>
      <w:pPr>
        <w:pStyle w:val="TextBody"/>
        <w:spacing w:before="0" w:after="0"/>
        <w:ind w:left="0" w:right="0" w:firstLine="36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pacing w:before="0" w:after="0"/>
        <w:ind w:left="0" w:right="0" w:hanging="0"/>
        <w:jc w:val="center"/>
        <w:rPr>
          <w:caps w:val="false"/>
          <w:smallCaps w:val="false"/>
        </w:rPr>
      </w:pPr>
      <w:r>
        <w:rPr>
          <w:caps w:val="false"/>
          <w:smallCaps w:val="false"/>
        </w:rPr>
        <w:t> </w:t>
      </w:r>
    </w:p>
    <w:tbl>
      <w:tblPr>
        <w:tblW w:w="7750" w:type="dxa"/>
        <w:jc w:val="left"/>
        <w:tblInd w:w="0" w:type="dxa"/>
        <w:tblCellMar>
          <w:top w:w="0" w:type="dxa"/>
          <w:left w:w="0" w:type="dxa"/>
          <w:bottom w:w="0" w:type="dxa"/>
          <w:right w:w="0" w:type="dxa"/>
        </w:tblCellMar>
      </w:tblPr>
      <w:tblGrid>
        <w:gridCol w:w="75"/>
        <w:gridCol w:w="230"/>
        <w:gridCol w:w="744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445"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2020</w:t>
      </w:r>
    </w:p>
    <w:p>
      <w:pPr>
        <w:pStyle w:val="TextBody"/>
        <w:spacing w:before="0" w:after="0"/>
        <w:ind w:left="0" w:right="0" w:hanging="0"/>
        <w:jc w:val="center"/>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75"/>
        <w:gridCol w:w="230"/>
        <w:gridCol w:w="749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490"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tbl>
      <w:tblPr>
        <w:tblW w:w="8235" w:type="dxa"/>
        <w:jc w:val="left"/>
        <w:tblInd w:w="0" w:type="dxa"/>
        <w:tblCellMar>
          <w:top w:w="0" w:type="dxa"/>
          <w:left w:w="0" w:type="dxa"/>
          <w:bottom w:w="28" w:type="dxa"/>
          <w:right w:w="0" w:type="dxa"/>
        </w:tblCellMar>
      </w:tblPr>
      <w:tblGrid>
        <w:gridCol w:w="1100"/>
        <w:gridCol w:w="60"/>
        <w:gridCol w:w="5105"/>
        <w:gridCol w:w="60"/>
        <w:gridCol w:w="1910"/>
      </w:tblGrid>
      <w:tr>
        <w:trPr/>
        <w:tc>
          <w:tcPr>
            <w:tcW w:w="1100" w:type="dxa"/>
            <w:tcBorders>
              <w:bottom w:val="single" w:sz="8" w:space="0" w:color="000000"/>
            </w:tcBorders>
            <w:shd w:fill="auto" w:val="clear"/>
            <w:vAlign w:val="center"/>
          </w:tcPr>
          <w:p>
            <w:pPr>
              <w:pStyle w:val="TableContents"/>
              <w:spacing w:before="0" w:after="283"/>
              <w:jc w:val="center"/>
              <w:rPr/>
            </w:pPr>
            <w:r>
              <w:rPr>
                <w:rFonts w:ascii="Times New Roman;Times;Serif" w:hAnsi="Times New Roman;Times;Serif"/>
                <w:b/>
                <w:sz w:val="20"/>
              </w:rPr>
              <w:t>Commission</w:t>
            </w:r>
            <w:r>
              <w:rPr>
                <w:sz w:val="20"/>
              </w:rPr>
              <w:br/>
            </w:r>
            <w:r>
              <w:rPr>
                <w:b/>
                <w:sz w:val="20"/>
              </w:rPr>
              <w:t>File Number</w:t>
            </w:r>
          </w:p>
        </w:tc>
        <w:tc>
          <w:tcPr>
            <w:tcW w:w="60" w:type="dxa"/>
            <w:tcBorders/>
            <w:shd w:fill="auto" w:val="clear"/>
            <w:tcMar>
              <w:bottom w:w="0" w:type="dxa"/>
            </w:tcMar>
            <w:vAlign w:val="center"/>
          </w:tcPr>
          <w:p>
            <w:pPr>
              <w:pStyle w:val="TableContents"/>
              <w:spacing w:before="0" w:after="283"/>
              <w:jc w:val="center"/>
              <w:rPr/>
            </w:pPr>
            <w:r>
              <w:rPr/>
              <w:t> </w:t>
            </w:r>
          </w:p>
        </w:tc>
        <w:tc>
          <w:tcPr>
            <w:tcW w:w="5105" w:type="dxa"/>
            <w:tcBorders>
              <w:bottom w:val="single" w:sz="8" w:space="0" w:color="000000"/>
            </w:tcBorders>
            <w:shd w:fill="auto" w:val="clear"/>
            <w:vAlign w:val="center"/>
          </w:tcPr>
          <w:p>
            <w:pPr>
              <w:pStyle w:val="TableContents"/>
              <w:spacing w:before="0" w:after="283"/>
              <w:jc w:val="center"/>
              <w:rPr/>
            </w:pPr>
            <w:r>
              <w:rPr>
                <w:rFonts w:ascii="Times New Roman;Times;Serif" w:hAnsi="Times New Roman;Times;Serif"/>
                <w:b/>
                <w:sz w:val="20"/>
              </w:rPr>
              <w:t>Exact name of registrant as specified in its charter,</w:t>
            </w:r>
            <w:r>
              <w:rPr>
                <w:sz w:val="20"/>
              </w:rPr>
              <w:br/>
            </w:r>
            <w:r>
              <w:rPr>
                <w:b/>
                <w:sz w:val="20"/>
              </w:rPr>
              <w:t xml:space="preserve">address of principal executive office, telephone number, and </w:t>
            </w:r>
            <w:r>
              <w:rPr>
                <w:sz w:val="20"/>
              </w:rPr>
              <w:br/>
            </w:r>
            <w:r>
              <w:rPr>
                <w:b/>
                <w:sz w:val="20"/>
              </w:rPr>
              <w:t>state or other jurisdiction of 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910" w:type="dxa"/>
            <w:tcBorders>
              <w:bottom w:val="single" w:sz="8" w:space="0" w:color="000000"/>
            </w:tcBorders>
            <w:shd w:fill="auto" w:val="clear"/>
            <w:vAlign w:val="center"/>
          </w:tcPr>
          <w:p>
            <w:pPr>
              <w:pStyle w:val="TableContents"/>
              <w:spacing w:before="0" w:after="283"/>
              <w:jc w:val="center"/>
              <w:rPr/>
            </w:pPr>
            <w:r>
              <w:rPr>
                <w:rFonts w:ascii="Times New Roman;Times;Serif" w:hAnsi="Times New Roman;Times;Serif"/>
                <w:b/>
                <w:sz w:val="20"/>
              </w:rPr>
              <w:t>I.R.S. Employer</w:t>
            </w:r>
            <w:r>
              <w:rPr>
                <w:sz w:val="20"/>
              </w:rPr>
              <w:br/>
            </w:r>
            <w:r>
              <w:rPr>
                <w:b/>
                <w:sz w:val="20"/>
              </w:rPr>
              <w:t>Identification Number</w:t>
            </w:r>
          </w:p>
        </w:tc>
      </w:tr>
      <w:tr>
        <w:trPr/>
        <w:tc>
          <w:tcPr>
            <w:tcW w:w="110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814-01022</w:t>
            </w:r>
          </w:p>
        </w:tc>
        <w:tc>
          <w:tcPr>
            <w:tcW w:w="60" w:type="dxa"/>
            <w:tcBorders/>
            <w:shd w:fill="auto" w:val="clear"/>
            <w:tcMar>
              <w:bottom w:w="0" w:type="dxa"/>
            </w:tcMar>
            <w:vAlign w:val="center"/>
          </w:tcPr>
          <w:p>
            <w:pPr>
              <w:pStyle w:val="TableContents"/>
              <w:spacing w:before="0" w:after="283"/>
              <w:jc w:val="center"/>
              <w:rPr/>
            </w:pPr>
            <w:r>
              <w:rPr/>
              <w:t> </w:t>
            </w:r>
          </w:p>
        </w:tc>
        <w:tc>
          <w:tcPr>
            <w:tcW w:w="510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Capitala Finance Corp.</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4201 Congress St., Suite 360</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Charlotte, North Carolina 28209</w:t>
            </w:r>
            <w:r>
              <w:rPr>
                <w:rFonts w:ascii="Times New Roman;Times;Serif" w:hAnsi="Times New Roman;Times;Serif"/>
                <w:b w:val="false"/>
                <w:i w:val="false"/>
                <w:caps w:val="false"/>
                <w:smallCaps w:val="false"/>
                <w:sz w:val="20"/>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Incorporation: Maryland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Telephone: (704) 376-5502</w:t>
            </w:r>
            <w:r>
              <w:rPr>
                <w:rFonts w:ascii="Times New Roman;Times;Serif" w:hAnsi="Times New Roman;Times;Serif"/>
                <w:b w:val="false"/>
                <w:i w:val="false"/>
                <w:caps w:val="false"/>
                <w:smallCaps w:val="false"/>
                <w:sz w:val="20"/>
              </w:rPr>
              <w:t> </w:t>
            </w:r>
          </w:p>
        </w:tc>
        <w:tc>
          <w:tcPr>
            <w:tcW w:w="60" w:type="dxa"/>
            <w:tcBorders/>
            <w:shd w:fill="auto" w:val="clear"/>
            <w:tcMar>
              <w:bottom w:w="0" w:type="dxa"/>
            </w:tcMar>
            <w:vAlign w:val="center"/>
          </w:tcPr>
          <w:p>
            <w:pPr>
              <w:pStyle w:val="TableContents"/>
              <w:spacing w:before="0" w:after="283"/>
              <w:rPr/>
            </w:pPr>
            <w:r>
              <w:rPr/>
              <w:t> </w:t>
            </w:r>
          </w:p>
        </w:tc>
        <w:tc>
          <w:tcPr>
            <w:tcW w:w="191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90-0945675</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8325" w:type="dxa"/>
        <w:jc w:val="left"/>
        <w:tblInd w:w="0" w:type="dxa"/>
        <w:tblCellMar>
          <w:top w:w="0" w:type="dxa"/>
          <w:left w:w="0" w:type="dxa"/>
          <w:bottom w:w="28" w:type="dxa"/>
          <w:right w:w="0" w:type="dxa"/>
        </w:tblCellMar>
      </w:tblPr>
      <w:tblGrid>
        <w:gridCol w:w="3620"/>
        <w:gridCol w:w="60"/>
        <w:gridCol w:w="1580"/>
        <w:gridCol w:w="60"/>
        <w:gridCol w:w="3005"/>
      </w:tblGrid>
      <w:tr>
        <w:trPr/>
        <w:tc>
          <w:tcPr>
            <w:tcW w:w="36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5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005" w:type="dxa"/>
            <w:tcBorders>
              <w:bottom w:val="single" w:sz="8" w:space="0" w:color="000000"/>
            </w:tcBorders>
            <w:shd w:fill="auto" w:val="clear"/>
            <w:vAlign w:val="center"/>
          </w:tcPr>
          <w:p>
            <w:pPr>
              <w:pStyle w:val="TableContents"/>
              <w:spacing w:before="0" w:after="283"/>
              <w:jc w:val="center"/>
              <w:rPr/>
            </w:pPr>
            <w:r>
              <w:rPr>
                <w:rFonts w:ascii="Times New Roman;Times;Serif" w:hAnsi="Times New Roman;Times;Serif"/>
                <w:b/>
                <w:sz w:val="20"/>
              </w:rPr>
              <w:t xml:space="preserve">Name of Each Exchange on Which </w:t>
            </w:r>
            <w:r>
              <w:rPr>
                <w:sz w:val="20"/>
              </w:rPr>
              <w:br/>
            </w:r>
            <w:r>
              <w:rPr>
                <w:b/>
                <w:sz w:val="20"/>
              </w:rPr>
              <w:t>Registered</w:t>
            </w:r>
          </w:p>
        </w:tc>
      </w:tr>
      <w:tr>
        <w:trPr/>
        <w:tc>
          <w:tcPr>
            <w:tcW w:w="362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$0.01 per share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 Convertible Notes due 2022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Notes due 2022</w:t>
            </w:r>
          </w:p>
        </w:tc>
        <w:tc>
          <w:tcPr>
            <w:tcW w:w="60" w:type="dxa"/>
            <w:tcBorders/>
            <w:shd w:fill="auto" w:val="clear"/>
            <w:tcMar>
              <w:bottom w:w="0" w:type="dxa"/>
            </w:tcMar>
            <w:vAlign w:val="center"/>
          </w:tcPr>
          <w:p>
            <w:pPr>
              <w:pStyle w:val="TableContents"/>
              <w:spacing w:before="0" w:after="283"/>
              <w:jc w:val="center"/>
              <w:rPr/>
            </w:pPr>
            <w:r>
              <w:rPr/>
              <w:t> </w:t>
            </w:r>
          </w:p>
        </w:tc>
        <w:tc>
          <w:tcPr>
            <w:tcW w:w="158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CPTA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CPTAG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CPTAL</w:t>
            </w:r>
          </w:p>
        </w:tc>
        <w:tc>
          <w:tcPr>
            <w:tcW w:w="60" w:type="dxa"/>
            <w:tcBorders/>
            <w:shd w:fill="auto" w:val="clear"/>
            <w:tcMar>
              <w:bottom w:w="0" w:type="dxa"/>
            </w:tcMar>
            <w:vAlign w:val="center"/>
          </w:tcPr>
          <w:p>
            <w:pPr>
              <w:pStyle w:val="TableContents"/>
              <w:spacing w:before="0" w:after="283"/>
              <w:jc w:val="center"/>
              <w:rPr/>
            </w:pPr>
            <w:r>
              <w:rPr/>
              <w:t> </w:t>
            </w:r>
          </w:p>
        </w:tc>
        <w:tc>
          <w:tcPr>
            <w:tcW w:w="300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Global Select Market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Global Select Market</w:t>
            </w:r>
          </w:p>
        </w:tc>
      </w:tr>
    </w:tbl>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firstLine="720"/>
        <w:jc w:val="both"/>
        <w:rPr>
          <w:caps w:val="false"/>
          <w:smallCaps w:val="false"/>
        </w:rPr>
      </w:pPr>
      <w:r>
        <w:rPr>
          <w:caps w:val="false"/>
          <w:smallCaps w:val="false"/>
        </w:rPr>
        <w:t> </w:t>
      </w:r>
    </w:p>
    <w:tbl>
      <w:tblPr>
        <w:tblW w:w="1420" w:type="dxa"/>
        <w:jc w:val="left"/>
        <w:tblInd w:w="0" w:type="dxa"/>
        <w:tblCellMar>
          <w:top w:w="0" w:type="dxa"/>
          <w:left w:w="0" w:type="dxa"/>
          <w:bottom w:w="0" w:type="dxa"/>
          <w:right w:w="0" w:type="dxa"/>
        </w:tblCellMar>
      </w:tblPr>
      <w:tblGrid>
        <w:gridCol w:w="75"/>
        <w:gridCol w:w="60"/>
        <w:gridCol w:w="665"/>
        <w:gridCol w:w="620"/>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rPr/>
            </w:pPr>
            <w:r>
              <w:rPr>
                <w:rFonts w:ascii="Times New Roman;Times;Serif" w:hAnsi="Times New Roman;Times;Serif"/>
                <w:sz w:val="20"/>
              </w:rPr>
              <w:t xml:space="preserve">Yes   </w:t>
            </w:r>
            <w:r>
              <w:rPr/>
              <w:t>☒</w:t>
            </w:r>
          </w:p>
        </w:tc>
        <w:tc>
          <w:tcPr>
            <w:tcW w:w="620" w:type="dxa"/>
            <w:tcBorders/>
            <w:shd w:fill="auto" w:val="clear"/>
            <w:vAlign w:val="center"/>
          </w:tcPr>
          <w:p>
            <w:pPr>
              <w:pStyle w:val="TableContents"/>
              <w:spacing w:before="0" w:after="283"/>
              <w:rPr/>
            </w:pPr>
            <w:r>
              <w:rPr>
                <w:rFonts w:ascii="Times New Roman;Times;Serif" w:hAnsi="Times New Roman;Times;Serif"/>
                <w:sz w:val="20"/>
              </w:rPr>
              <w:t xml:space="preserve">No   </w:t>
            </w:r>
            <w:r>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ind w:left="0" w:right="0" w:firstLine="720"/>
        <w:jc w:val="both"/>
        <w:rPr>
          <w:caps w:val="false"/>
          <w:smallCaps w:val="false"/>
        </w:rPr>
      </w:pPr>
      <w:r>
        <w:rPr>
          <w:caps w:val="false"/>
          <w:smallCaps w:val="false"/>
        </w:rPr>
        <w:t> </w:t>
      </w:r>
    </w:p>
    <w:tbl>
      <w:tblPr>
        <w:tblW w:w="1420" w:type="dxa"/>
        <w:jc w:val="left"/>
        <w:tblInd w:w="0" w:type="dxa"/>
        <w:tblCellMar>
          <w:top w:w="0" w:type="dxa"/>
          <w:left w:w="0" w:type="dxa"/>
          <w:bottom w:w="0" w:type="dxa"/>
          <w:right w:w="0" w:type="dxa"/>
        </w:tblCellMar>
      </w:tblPr>
      <w:tblGrid>
        <w:gridCol w:w="75"/>
        <w:gridCol w:w="60"/>
        <w:gridCol w:w="665"/>
        <w:gridCol w:w="620"/>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rPr/>
            </w:pPr>
            <w:r>
              <w:rPr>
                <w:rFonts w:ascii="Times New Roman;Times;Serif" w:hAnsi="Times New Roman;Times;Serif"/>
                <w:sz w:val="20"/>
              </w:rPr>
              <w:t xml:space="preserve">Yes   </w:t>
            </w:r>
            <w:r>
              <w:rPr/>
              <w:t>☐</w:t>
            </w:r>
          </w:p>
        </w:tc>
        <w:tc>
          <w:tcPr>
            <w:tcW w:w="620" w:type="dxa"/>
            <w:tcBorders/>
            <w:shd w:fill="auto" w:val="clear"/>
            <w:vAlign w:val="center"/>
          </w:tcPr>
          <w:p>
            <w:pPr>
              <w:pStyle w:val="TableContents"/>
              <w:spacing w:before="0" w:after="283"/>
              <w:rPr/>
            </w:pPr>
            <w:r>
              <w:rPr>
                <w:rFonts w:ascii="Times New Roman;Times;Serif" w:hAnsi="Times New Roman;Times;Serif"/>
                <w:sz w:val="20"/>
              </w:rPr>
              <w:t xml:space="preserve">No   </w:t>
            </w:r>
            <w:r>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firstLine="720"/>
        <w:jc w:val="both"/>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1910"/>
        <w:gridCol w:w="230"/>
        <w:gridCol w:w="2315"/>
        <w:gridCol w:w="245"/>
      </w:tblGrid>
      <w:tr>
        <w:trPr/>
        <w:tc>
          <w:tcPr>
            <w:tcW w:w="75"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Large accelerated filer  </w:t>
            </w:r>
          </w:p>
        </w:tc>
        <w:tc>
          <w:tcPr>
            <w:tcW w:w="230" w:type="dxa"/>
            <w:tcBorders/>
            <w:shd w:fill="auto" w:val="clear"/>
            <w:vAlign w:val="center"/>
          </w:tcPr>
          <w:p>
            <w:pPr>
              <w:pStyle w:val="TableContents"/>
              <w:spacing w:before="0" w:after="283"/>
              <w:rPr/>
            </w:pPr>
            <w:r>
              <w:rPr/>
              <w:t>☐</w:t>
            </w:r>
          </w:p>
        </w:tc>
        <w:tc>
          <w:tcPr>
            <w:tcW w:w="2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Accelerated filer</w:t>
            </w:r>
          </w:p>
        </w:tc>
        <w:tc>
          <w:tcPr>
            <w:tcW w:w="245" w:type="dxa"/>
            <w:tcBorders/>
            <w:shd w:fill="auto" w:val="clear"/>
            <w:vAlign w:val="center"/>
          </w:tcPr>
          <w:p>
            <w:pPr>
              <w:pStyle w:val="TableContents"/>
              <w:spacing w:before="0" w:after="283"/>
              <w:rPr/>
            </w:pPr>
            <w:r>
              <w:rPr/>
              <w:t>☒</w:t>
            </w:r>
          </w:p>
        </w:tc>
      </w:tr>
      <w:tr>
        <w:trPr/>
        <w:tc>
          <w:tcPr>
            <w:tcW w:w="75"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Non-accelerated filer</w:t>
            </w:r>
          </w:p>
        </w:tc>
        <w:tc>
          <w:tcPr>
            <w:tcW w:w="230" w:type="dxa"/>
            <w:tcBorders/>
            <w:shd w:fill="auto" w:val="clear"/>
            <w:vAlign w:val="center"/>
          </w:tcPr>
          <w:p>
            <w:pPr>
              <w:pStyle w:val="TableContents"/>
              <w:spacing w:before="0" w:after="283"/>
              <w:rPr/>
            </w:pPr>
            <w:r>
              <w:rPr/>
              <w:t>☐</w:t>
            </w:r>
          </w:p>
        </w:tc>
        <w:tc>
          <w:tcPr>
            <w:tcW w:w="2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Smaller reporting company</w:t>
            </w:r>
          </w:p>
        </w:tc>
        <w:tc>
          <w:tcPr>
            <w:tcW w:w="245" w:type="dxa"/>
            <w:tcBorders/>
            <w:shd w:fill="auto" w:val="clear"/>
            <w:vAlign w:val="center"/>
          </w:tcPr>
          <w:p>
            <w:pPr>
              <w:pStyle w:val="TableContents"/>
              <w:spacing w:before="0" w:after="283"/>
              <w:rPr/>
            </w:pPr>
            <w:r>
              <w:rPr/>
              <w:t>☐</w:t>
            </w:r>
          </w:p>
        </w:tc>
      </w:tr>
      <w:tr>
        <w:trPr/>
        <w:tc>
          <w:tcPr>
            <w:tcW w:w="75"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Emerging growth company  </w:t>
            </w:r>
          </w:p>
        </w:tc>
        <w:tc>
          <w:tcPr>
            <w:tcW w:w="245" w:type="dxa"/>
            <w:tcBorders/>
            <w:shd w:fill="auto" w:val="clear"/>
            <w:vAlign w:val="center"/>
          </w:tcPr>
          <w:p>
            <w:pPr>
              <w:pStyle w:val="TableContents"/>
              <w:spacing w:before="0" w:after="283"/>
              <w:rPr/>
            </w:pPr>
            <w:r>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spacing w:before="0" w:after="0"/>
        <w:ind w:left="0" w:right="0" w:firstLine="720"/>
        <w:jc w:val="both"/>
        <w:rPr>
          <w:caps w:val="false"/>
          <w:smallCaps w:val="false"/>
        </w:rPr>
      </w:pPr>
      <w:r>
        <w:rPr>
          <w:caps w:val="false"/>
          <w:smallCaps w:val="false"/>
        </w:rPr>
        <w:t> </w:t>
      </w:r>
    </w:p>
    <w:tbl>
      <w:tblPr>
        <w:tblW w:w="1330" w:type="dxa"/>
        <w:jc w:val="left"/>
        <w:tblInd w:w="0" w:type="dxa"/>
        <w:tblCellMar>
          <w:top w:w="0" w:type="dxa"/>
          <w:left w:w="0" w:type="dxa"/>
          <w:bottom w:w="0" w:type="dxa"/>
          <w:right w:w="0" w:type="dxa"/>
        </w:tblCellMar>
      </w:tblPr>
      <w:tblGrid>
        <w:gridCol w:w="75"/>
        <w:gridCol w:w="60"/>
        <w:gridCol w:w="620"/>
        <w:gridCol w:w="5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rFonts w:ascii="Times New Roman;Times;Serif" w:hAnsi="Times New Roman;Times;Serif"/>
                <w:sz w:val="20"/>
              </w:rPr>
              <w:t xml:space="preserve">Yes  </w:t>
            </w:r>
            <w:r>
              <w:rPr/>
              <w:t>☐</w:t>
            </w:r>
          </w:p>
        </w:tc>
        <w:tc>
          <w:tcPr>
            <w:tcW w:w="575" w:type="dxa"/>
            <w:tcBorders/>
            <w:shd w:fill="auto" w:val="clear"/>
            <w:vAlign w:val="center"/>
          </w:tcPr>
          <w:p>
            <w:pPr>
              <w:pStyle w:val="TableContents"/>
              <w:spacing w:before="0" w:after="283"/>
              <w:rPr/>
            </w:pPr>
            <w:r>
              <w:rPr>
                <w:rFonts w:ascii="Times New Roman;Times;Serif" w:hAnsi="Times New Roman;Times;Serif"/>
                <w:sz w:val="20"/>
              </w:rPr>
              <w:t>No  </w:t>
            </w: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Capitala Finance Corp.’s common stock, $0.01 par value, outstanding as of November 2, 2020 was 2,711,068.</w:t>
      </w:r>
    </w:p>
    <w:p>
      <w:pPr>
        <w:pStyle w:val="TextBody"/>
        <w:spacing w:before="0" w:after="0"/>
        <w:ind w:left="0" w:right="0" w:firstLine="720"/>
        <w:jc w:val="both"/>
        <w:rPr>
          <w:caps w:val="false"/>
          <w:smallCaps w:val="false"/>
        </w:rPr>
      </w:pPr>
      <w:r>
        <w:rPr>
          <w:caps w:val="false"/>
          <w:smallCaps w:val="false"/>
        </w:rPr>
        <w:t> </w:t>
      </w:r>
    </w:p>
    <w:p>
      <w:pPr>
        <w:pStyle w:val="TextBody"/>
        <w:spacing w:before="60" w:after="240"/>
        <w:ind w:left="0" w:right="0" w:firstLine="72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69"/>
        <w:gridCol w:w="8980"/>
        <w:gridCol w:w="456"/>
      </w:tblGrid>
      <w:tr>
        <w:trPr/>
        <w:tc>
          <w:tcPr>
            <w:tcW w:w="769" w:type="dxa"/>
            <w:tcBorders/>
            <w:shd w:fill="auto" w:val="clear"/>
            <w:vAlign w:val="center"/>
          </w:tcPr>
          <w:p>
            <w:pPr>
              <w:pStyle w:val="TableContents"/>
              <w:spacing w:before="0" w:after="283"/>
              <w:ind w:left="0" w:right="0" w:hanging="180"/>
              <w:rPr/>
            </w:pPr>
            <w:r>
              <w:rPr/>
              <w:t> </w:t>
            </w:r>
          </w:p>
        </w:tc>
        <w:tc>
          <w:tcPr>
            <w:tcW w:w="8980" w:type="dxa"/>
            <w:tcBorders/>
            <w:shd w:fill="auto" w:val="clear"/>
            <w:vAlign w:val="center"/>
          </w:tcPr>
          <w:p>
            <w:pPr>
              <w:pStyle w:val="TableContents"/>
              <w:spacing w:before="0" w:after="283"/>
              <w:rPr/>
            </w:pPr>
            <w:r>
              <w:rPr/>
              <w:t> </w:t>
            </w:r>
          </w:p>
        </w:tc>
        <w:tc>
          <w:tcPr>
            <w:tcW w:w="456"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69" w:type="dxa"/>
            <w:tcBorders/>
            <w:shd w:fill="CCEEFF" w:val="clear"/>
            <w:vAlign w:val="center"/>
          </w:tcPr>
          <w:p>
            <w:pPr>
              <w:pStyle w:val="TableContents"/>
              <w:spacing w:before="0" w:after="283"/>
              <w:ind w:left="0" w:right="0" w:hanging="180"/>
              <w:rPr/>
            </w:pPr>
            <w:hyperlink w:anchor="s_014">
              <w:r>
                <w:rPr>
                  <w:rStyle w:val="InternetLink"/>
                  <w:rFonts w:ascii="Times New Roman;Times;Serif" w:hAnsi="Times New Roman;Times;Serif"/>
                  <w:b/>
                  <w:sz w:val="20"/>
                </w:rPr>
                <w:t>PART I.</w:t>
              </w:r>
            </w:hyperlink>
          </w:p>
        </w:tc>
        <w:tc>
          <w:tcPr>
            <w:tcW w:w="8980" w:type="dxa"/>
            <w:tcBorders/>
            <w:shd w:fill="CCEEFF" w:val="clear"/>
            <w:vAlign w:val="center"/>
          </w:tcPr>
          <w:p>
            <w:pPr>
              <w:pStyle w:val="TableContents"/>
              <w:spacing w:before="0" w:after="283"/>
              <w:rPr/>
            </w:pPr>
            <w:hyperlink w:anchor="s_014">
              <w:r>
                <w:rPr>
                  <w:rStyle w:val="InternetLink"/>
                  <w:rFonts w:ascii="Times New Roman;Times;Serif" w:hAnsi="Times New Roman;Times;Serif"/>
                  <w:b/>
                  <w:sz w:val="20"/>
                </w:rPr>
                <w:t>FINANCIAL INFORMATION</w:t>
              </w:r>
            </w:hyperlink>
          </w:p>
        </w:tc>
        <w:tc>
          <w:tcPr>
            <w:tcW w:w="456" w:type="dxa"/>
            <w:tcBorders/>
            <w:shd w:fill="CCEEFF" w:val="clear"/>
            <w:vAlign w:val="center"/>
          </w:tcPr>
          <w:p>
            <w:pPr>
              <w:pStyle w:val="TableContents"/>
              <w:spacing w:before="0" w:after="283"/>
              <w:jc w:val="right"/>
              <w:rPr/>
            </w:pPr>
            <w:hyperlink w:anchor="s_014">
              <w:r>
                <w:rPr>
                  <w:rStyle w:val="InternetLink"/>
                </w:rPr>
                <w:t>3</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s_015">
              <w:r>
                <w:rPr>
                  <w:rStyle w:val="InternetLink"/>
                  <w:rFonts w:ascii="Times New Roman;Times;Serif" w:hAnsi="Times New Roman;Times;Serif"/>
                  <w:sz w:val="20"/>
                </w:rPr>
                <w:t>Item 1.</w:t>
              </w:r>
            </w:hyperlink>
          </w:p>
        </w:tc>
        <w:tc>
          <w:tcPr>
            <w:tcW w:w="8980" w:type="dxa"/>
            <w:tcBorders/>
            <w:shd w:fill="CCEEFF" w:val="clear"/>
            <w:vAlign w:val="center"/>
          </w:tcPr>
          <w:p>
            <w:pPr>
              <w:pStyle w:val="TableContents"/>
              <w:spacing w:before="0" w:after="283"/>
              <w:rPr/>
            </w:pPr>
            <w:hyperlink w:anchor="s_015">
              <w:r>
                <w:rPr>
                  <w:rStyle w:val="InternetLink"/>
                  <w:rFonts w:ascii="Times New Roman;Times;Serif" w:hAnsi="Times New Roman;Times;Serif"/>
                  <w:sz w:val="20"/>
                </w:rPr>
                <w:t>Consolidated Financial Statements</w:t>
              </w:r>
            </w:hyperlink>
          </w:p>
        </w:tc>
        <w:tc>
          <w:tcPr>
            <w:tcW w:w="456" w:type="dxa"/>
            <w:tcBorders/>
            <w:shd w:fill="CCEEFF" w:val="clear"/>
            <w:vAlign w:val="center"/>
          </w:tcPr>
          <w:p>
            <w:pPr>
              <w:pStyle w:val="TableContents"/>
              <w:spacing w:before="0" w:after="283"/>
              <w:jc w:val="right"/>
              <w:rPr/>
            </w:pPr>
            <w:hyperlink w:anchor="s_015">
              <w:r>
                <w:rPr>
                  <w:rStyle w:val="InternetLink"/>
                </w:rPr>
                <w:t>3</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s_016">
              <w:r>
                <w:rPr>
                  <w:rStyle w:val="InternetLink"/>
                  <w:rFonts w:ascii="Times New Roman;Times;Serif" w:hAnsi="Times New Roman;Times;Serif"/>
                  <w:sz w:val="20"/>
                </w:rPr>
                <w:t>Consolidated Statements of Assets and Liabilities as of September 30, 2020 (unaudited) and December 31, 2019</w:t>
              </w:r>
            </w:hyperlink>
          </w:p>
        </w:tc>
        <w:tc>
          <w:tcPr>
            <w:tcW w:w="456" w:type="dxa"/>
            <w:tcBorders/>
            <w:shd w:fill="CCEEFF" w:val="clear"/>
            <w:vAlign w:val="center"/>
          </w:tcPr>
          <w:p>
            <w:pPr>
              <w:pStyle w:val="TableContents"/>
              <w:spacing w:before="0" w:after="283"/>
              <w:jc w:val="right"/>
              <w:rPr/>
            </w:pPr>
            <w:hyperlink w:anchor="s_016">
              <w:r>
                <w:rPr>
                  <w:rStyle w:val="InternetLink"/>
                </w:rPr>
                <w:t>3</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s_017">
              <w:r>
                <w:rPr>
                  <w:rStyle w:val="InternetLink"/>
                  <w:rFonts w:ascii="Times New Roman;Times;Serif" w:hAnsi="Times New Roman;Times;Serif"/>
                  <w:sz w:val="20"/>
                </w:rPr>
                <w:t>Consolidated Statements of Operations for the three and nine months ended September 30, 2020 and 2019 (unaudited)</w:t>
              </w:r>
            </w:hyperlink>
          </w:p>
        </w:tc>
        <w:tc>
          <w:tcPr>
            <w:tcW w:w="456" w:type="dxa"/>
            <w:tcBorders/>
            <w:shd w:fill="CCEEFF" w:val="clear"/>
            <w:vAlign w:val="center"/>
          </w:tcPr>
          <w:p>
            <w:pPr>
              <w:pStyle w:val="TableContents"/>
              <w:spacing w:before="0" w:after="283"/>
              <w:jc w:val="right"/>
              <w:rPr/>
            </w:pPr>
            <w:hyperlink w:anchor="s_017">
              <w:r>
                <w:rPr>
                  <w:rStyle w:val="InternetLink"/>
                </w:rPr>
                <w:t>4</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s_018">
              <w:r>
                <w:rPr>
                  <w:rStyle w:val="InternetLink"/>
                  <w:rFonts w:ascii="Times New Roman;Times;Serif" w:hAnsi="Times New Roman;Times;Serif"/>
                  <w:sz w:val="20"/>
                </w:rPr>
                <w:t>Consolidated Statements of Changes in Net Assets for the three and nine months ended September 30, 2020 and 2019 (unaudited)</w:t>
              </w:r>
            </w:hyperlink>
          </w:p>
        </w:tc>
        <w:tc>
          <w:tcPr>
            <w:tcW w:w="456" w:type="dxa"/>
            <w:tcBorders/>
            <w:shd w:fill="CCEEFF" w:val="clear"/>
            <w:vAlign w:val="center"/>
          </w:tcPr>
          <w:p>
            <w:pPr>
              <w:pStyle w:val="TableContents"/>
              <w:spacing w:before="0" w:after="283"/>
              <w:jc w:val="right"/>
              <w:rPr/>
            </w:pPr>
            <w:hyperlink w:anchor="s_018">
              <w:r>
                <w:rPr>
                  <w:rStyle w:val="InternetLink"/>
                </w:rPr>
                <w:t>5</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s_019">
              <w:r>
                <w:rPr>
                  <w:rStyle w:val="InternetLink"/>
                  <w:rFonts w:ascii="Times New Roman;Times;Serif" w:hAnsi="Times New Roman;Times;Serif"/>
                  <w:sz w:val="20"/>
                </w:rPr>
                <w:t>Consolidated Statements of Cash Flows for the nine months ended September 30, 2020 and 2019 (unaudited)</w:t>
              </w:r>
            </w:hyperlink>
          </w:p>
        </w:tc>
        <w:tc>
          <w:tcPr>
            <w:tcW w:w="456" w:type="dxa"/>
            <w:tcBorders/>
            <w:shd w:fill="CCEEFF" w:val="clear"/>
            <w:vAlign w:val="center"/>
          </w:tcPr>
          <w:p>
            <w:pPr>
              <w:pStyle w:val="TableContents"/>
              <w:spacing w:before="0" w:after="283"/>
              <w:jc w:val="right"/>
              <w:rPr/>
            </w:pPr>
            <w:hyperlink w:anchor="s_019">
              <w:r>
                <w:rPr>
                  <w:rStyle w:val="InternetLink"/>
                </w:rPr>
                <w:t>6</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x_013">
              <w:r>
                <w:rPr>
                  <w:rStyle w:val="InternetLink"/>
                  <w:rFonts w:ascii="Times New Roman;Times;Serif" w:hAnsi="Times New Roman;Times;Serif"/>
                  <w:sz w:val="20"/>
                </w:rPr>
                <w:t>Consolidated Schedules of Investments as of September 30, 2020 (unaudited) and December 31, 2019</w:t>
              </w:r>
            </w:hyperlink>
          </w:p>
        </w:tc>
        <w:tc>
          <w:tcPr>
            <w:tcW w:w="456" w:type="dxa"/>
            <w:tcBorders/>
            <w:shd w:fill="CCEEFF" w:val="clear"/>
            <w:vAlign w:val="center"/>
          </w:tcPr>
          <w:p>
            <w:pPr>
              <w:pStyle w:val="TableContents"/>
              <w:spacing w:before="0" w:after="283"/>
              <w:jc w:val="right"/>
              <w:rPr/>
            </w:pPr>
            <w:hyperlink w:anchor="x_013">
              <w:r>
                <w:rPr>
                  <w:rStyle w:val="InternetLink"/>
                </w:rPr>
                <w:t>7</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r>
              <w:rPr/>
              <w:t> </w:t>
            </w:r>
          </w:p>
        </w:tc>
        <w:tc>
          <w:tcPr>
            <w:tcW w:w="8980" w:type="dxa"/>
            <w:tcBorders/>
            <w:shd w:fill="CCEEFF" w:val="clear"/>
            <w:vAlign w:val="center"/>
          </w:tcPr>
          <w:p>
            <w:pPr>
              <w:pStyle w:val="TableContents"/>
              <w:spacing w:before="0" w:after="283"/>
              <w:rPr/>
            </w:pPr>
            <w:hyperlink w:anchor="x_001">
              <w:r>
                <w:rPr>
                  <w:rStyle w:val="InternetLink"/>
                  <w:rFonts w:ascii="Times New Roman;Times;Serif" w:hAnsi="Times New Roman;Times;Serif"/>
                  <w:sz w:val="20"/>
                </w:rPr>
                <w:t>Notes to Consolidated Financial Statements as of and for the period ended September 30, 2020 (unaudited)</w:t>
              </w:r>
            </w:hyperlink>
          </w:p>
        </w:tc>
        <w:tc>
          <w:tcPr>
            <w:tcW w:w="456" w:type="dxa"/>
            <w:tcBorders/>
            <w:shd w:fill="CCEEFF" w:val="clear"/>
            <w:vAlign w:val="center"/>
          </w:tcPr>
          <w:p>
            <w:pPr>
              <w:pStyle w:val="TableContents"/>
              <w:spacing w:before="0" w:after="283"/>
              <w:jc w:val="right"/>
              <w:rPr/>
            </w:pPr>
            <w:hyperlink w:anchor="x_001">
              <w:r>
                <w:rPr>
                  <w:rStyle w:val="InternetLink"/>
                </w:rPr>
                <w:t>19</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2">
              <w:r>
                <w:rPr>
                  <w:rStyle w:val="InternetLink"/>
                  <w:rFonts w:ascii="Times New Roman;Times;Serif" w:hAnsi="Times New Roman;Times;Serif"/>
                  <w:sz w:val="20"/>
                </w:rPr>
                <w:t>Item 2.</w:t>
              </w:r>
            </w:hyperlink>
          </w:p>
        </w:tc>
        <w:tc>
          <w:tcPr>
            <w:tcW w:w="8980" w:type="dxa"/>
            <w:tcBorders/>
            <w:shd w:fill="CCEEFF" w:val="clear"/>
            <w:vAlign w:val="center"/>
          </w:tcPr>
          <w:p>
            <w:pPr>
              <w:pStyle w:val="TableContents"/>
              <w:spacing w:before="0" w:after="283"/>
              <w:rPr/>
            </w:pPr>
            <w:hyperlink w:anchor="x_002">
              <w:r>
                <w:rPr>
                  <w:rStyle w:val="InternetLink"/>
                  <w:rFonts w:ascii="Times New Roman;Times;Serif" w:hAnsi="Times New Roman;Times;Serif"/>
                  <w:sz w:val="20"/>
                </w:rPr>
                <w:t>Management’s Discussion and Analysis of Financial Condition and Results of Operations</w:t>
              </w:r>
            </w:hyperlink>
          </w:p>
        </w:tc>
        <w:tc>
          <w:tcPr>
            <w:tcW w:w="456" w:type="dxa"/>
            <w:tcBorders/>
            <w:shd w:fill="CCEEFF" w:val="clear"/>
            <w:vAlign w:val="center"/>
          </w:tcPr>
          <w:p>
            <w:pPr>
              <w:pStyle w:val="TableContents"/>
              <w:spacing w:before="0" w:after="283"/>
              <w:jc w:val="right"/>
              <w:rPr/>
            </w:pPr>
            <w:hyperlink w:anchor="x_002">
              <w:r>
                <w:rPr>
                  <w:rStyle w:val="InternetLink"/>
                </w:rPr>
                <w:t>43</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3">
              <w:r>
                <w:rPr>
                  <w:rStyle w:val="InternetLink"/>
                  <w:rFonts w:ascii="Times New Roman;Times;Serif" w:hAnsi="Times New Roman;Times;Serif"/>
                  <w:sz w:val="20"/>
                </w:rPr>
                <w:t>Item 3.</w:t>
              </w:r>
            </w:hyperlink>
          </w:p>
        </w:tc>
        <w:tc>
          <w:tcPr>
            <w:tcW w:w="8980" w:type="dxa"/>
            <w:tcBorders/>
            <w:shd w:fill="CCEEFF" w:val="clear"/>
            <w:vAlign w:val="center"/>
          </w:tcPr>
          <w:p>
            <w:pPr>
              <w:pStyle w:val="TableContents"/>
              <w:spacing w:before="0" w:after="283"/>
              <w:rPr/>
            </w:pPr>
            <w:hyperlink w:anchor="x_003">
              <w:r>
                <w:rPr>
                  <w:rStyle w:val="InternetLink"/>
                  <w:rFonts w:ascii="Times New Roman;Times;Serif" w:hAnsi="Times New Roman;Times;Serif"/>
                  <w:sz w:val="20"/>
                </w:rPr>
                <w:t>Quantitative and Qualitative Disclosures About Market Risk</w:t>
              </w:r>
            </w:hyperlink>
          </w:p>
        </w:tc>
        <w:tc>
          <w:tcPr>
            <w:tcW w:w="456" w:type="dxa"/>
            <w:tcBorders/>
            <w:shd w:fill="CCEEFF" w:val="clear"/>
            <w:vAlign w:val="center"/>
          </w:tcPr>
          <w:p>
            <w:pPr>
              <w:pStyle w:val="TableContents"/>
              <w:spacing w:before="0" w:after="283"/>
              <w:jc w:val="right"/>
              <w:rPr/>
            </w:pPr>
            <w:hyperlink w:anchor="x_003">
              <w:r>
                <w:rPr>
                  <w:rStyle w:val="InternetLink"/>
                </w:rPr>
                <w:t>61</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4">
              <w:r>
                <w:rPr>
                  <w:rStyle w:val="InternetLink"/>
                  <w:rFonts w:ascii="Times New Roman;Times;Serif" w:hAnsi="Times New Roman;Times;Serif"/>
                  <w:sz w:val="20"/>
                </w:rPr>
                <w:t>Item 4.</w:t>
              </w:r>
            </w:hyperlink>
          </w:p>
        </w:tc>
        <w:tc>
          <w:tcPr>
            <w:tcW w:w="8980" w:type="dxa"/>
            <w:tcBorders/>
            <w:shd w:fill="CCEEFF" w:val="clear"/>
            <w:vAlign w:val="center"/>
          </w:tcPr>
          <w:p>
            <w:pPr>
              <w:pStyle w:val="TableContents"/>
              <w:spacing w:before="0" w:after="283"/>
              <w:rPr/>
            </w:pPr>
            <w:hyperlink w:anchor="x_004">
              <w:r>
                <w:rPr>
                  <w:rStyle w:val="InternetLink"/>
                  <w:rFonts w:ascii="Times New Roman;Times;Serif" w:hAnsi="Times New Roman;Times;Serif"/>
                  <w:sz w:val="20"/>
                </w:rPr>
                <w:t>Controls and Procedures</w:t>
              </w:r>
            </w:hyperlink>
          </w:p>
        </w:tc>
        <w:tc>
          <w:tcPr>
            <w:tcW w:w="456" w:type="dxa"/>
            <w:tcBorders/>
            <w:shd w:fill="CCEEFF" w:val="clear"/>
            <w:vAlign w:val="center"/>
          </w:tcPr>
          <w:p>
            <w:pPr>
              <w:pStyle w:val="TableContents"/>
              <w:spacing w:before="0" w:after="283"/>
              <w:jc w:val="right"/>
              <w:rPr/>
            </w:pPr>
            <w:hyperlink w:anchor="x_004">
              <w:r>
                <w:rPr>
                  <w:rStyle w:val="InternetLink"/>
                </w:rPr>
                <w:t>62</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5">
              <w:r>
                <w:rPr>
                  <w:rStyle w:val="InternetLink"/>
                  <w:rFonts w:ascii="Times New Roman;Times;Serif" w:hAnsi="Times New Roman;Times;Serif"/>
                  <w:b/>
                  <w:sz w:val="20"/>
                </w:rPr>
                <w:t>PART II.</w:t>
              </w:r>
            </w:hyperlink>
          </w:p>
        </w:tc>
        <w:tc>
          <w:tcPr>
            <w:tcW w:w="8980" w:type="dxa"/>
            <w:tcBorders/>
            <w:shd w:fill="CCEEFF" w:val="clear"/>
            <w:vAlign w:val="center"/>
          </w:tcPr>
          <w:p>
            <w:pPr>
              <w:pStyle w:val="TableContents"/>
              <w:spacing w:before="0" w:after="283"/>
              <w:rPr/>
            </w:pPr>
            <w:hyperlink w:anchor="x_005">
              <w:r>
                <w:rPr>
                  <w:rStyle w:val="InternetLink"/>
                  <w:rFonts w:ascii="Times New Roman;Times;Serif" w:hAnsi="Times New Roman;Times;Serif"/>
                  <w:b/>
                  <w:sz w:val="20"/>
                </w:rPr>
                <w:t>OTHER INFORMATION</w:t>
              </w:r>
            </w:hyperlink>
          </w:p>
        </w:tc>
        <w:tc>
          <w:tcPr>
            <w:tcW w:w="456" w:type="dxa"/>
            <w:tcBorders/>
            <w:shd w:fill="CCEEFF" w:val="clear"/>
            <w:vAlign w:val="center"/>
          </w:tcPr>
          <w:p>
            <w:pPr>
              <w:pStyle w:val="TableContents"/>
              <w:spacing w:before="0" w:after="283"/>
              <w:jc w:val="right"/>
              <w:rPr/>
            </w:pPr>
            <w:hyperlink w:anchor="x_005">
              <w:r>
                <w:rPr>
                  <w:rStyle w:val="InternetLink"/>
                </w:rPr>
                <w:t>62</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6">
              <w:r>
                <w:rPr>
                  <w:rStyle w:val="InternetLink"/>
                  <w:rFonts w:ascii="Times New Roman;Times;Serif" w:hAnsi="Times New Roman;Times;Serif"/>
                  <w:sz w:val="20"/>
                </w:rPr>
                <w:t>Item 1.</w:t>
              </w:r>
            </w:hyperlink>
          </w:p>
        </w:tc>
        <w:tc>
          <w:tcPr>
            <w:tcW w:w="8980" w:type="dxa"/>
            <w:tcBorders/>
            <w:shd w:fill="CCEEFF" w:val="clear"/>
            <w:vAlign w:val="center"/>
          </w:tcPr>
          <w:p>
            <w:pPr>
              <w:pStyle w:val="TableContents"/>
              <w:spacing w:before="0" w:after="283"/>
              <w:rPr/>
            </w:pPr>
            <w:hyperlink w:anchor="x_006">
              <w:r>
                <w:rPr>
                  <w:rStyle w:val="InternetLink"/>
                  <w:rFonts w:ascii="Times New Roman;Times;Serif" w:hAnsi="Times New Roman;Times;Serif"/>
                  <w:sz w:val="20"/>
                </w:rPr>
                <w:t>Legal Proceedings</w:t>
              </w:r>
            </w:hyperlink>
          </w:p>
        </w:tc>
        <w:tc>
          <w:tcPr>
            <w:tcW w:w="456" w:type="dxa"/>
            <w:tcBorders/>
            <w:shd w:fill="CCEEFF" w:val="clear"/>
            <w:vAlign w:val="center"/>
          </w:tcPr>
          <w:p>
            <w:pPr>
              <w:pStyle w:val="TableContents"/>
              <w:spacing w:before="0" w:after="283"/>
              <w:jc w:val="right"/>
              <w:rPr/>
            </w:pPr>
            <w:hyperlink w:anchor="x_006">
              <w:r>
                <w:rPr>
                  <w:rStyle w:val="InternetLink"/>
                </w:rPr>
                <w:t>62</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7">
              <w:r>
                <w:rPr>
                  <w:rStyle w:val="InternetLink"/>
                  <w:rFonts w:ascii="Times New Roman;Times;Serif" w:hAnsi="Times New Roman;Times;Serif"/>
                  <w:sz w:val="20"/>
                </w:rPr>
                <w:t>Item 1A.</w:t>
              </w:r>
            </w:hyperlink>
          </w:p>
        </w:tc>
        <w:tc>
          <w:tcPr>
            <w:tcW w:w="8980" w:type="dxa"/>
            <w:tcBorders/>
            <w:shd w:fill="CCEEFF" w:val="clear"/>
            <w:vAlign w:val="center"/>
          </w:tcPr>
          <w:p>
            <w:pPr>
              <w:pStyle w:val="TableContents"/>
              <w:spacing w:before="0" w:after="283"/>
              <w:rPr/>
            </w:pPr>
            <w:hyperlink w:anchor="x_007">
              <w:r>
                <w:rPr>
                  <w:rStyle w:val="InternetLink"/>
                  <w:rFonts w:ascii="Times New Roman;Times;Serif" w:hAnsi="Times New Roman;Times;Serif"/>
                  <w:sz w:val="20"/>
                </w:rPr>
                <w:t>Risk Factors</w:t>
              </w:r>
            </w:hyperlink>
          </w:p>
        </w:tc>
        <w:tc>
          <w:tcPr>
            <w:tcW w:w="456" w:type="dxa"/>
            <w:tcBorders/>
            <w:shd w:fill="CCEEFF" w:val="clear"/>
            <w:vAlign w:val="center"/>
          </w:tcPr>
          <w:p>
            <w:pPr>
              <w:pStyle w:val="TableContents"/>
              <w:spacing w:before="0" w:after="283"/>
              <w:jc w:val="right"/>
              <w:rPr/>
            </w:pPr>
            <w:hyperlink w:anchor="x_007">
              <w:r>
                <w:rPr>
                  <w:rStyle w:val="InternetLink"/>
                </w:rPr>
                <w:t>63</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8">
              <w:r>
                <w:rPr>
                  <w:rStyle w:val="InternetLink"/>
                  <w:rFonts w:ascii="Times New Roman;Times;Serif" w:hAnsi="Times New Roman;Times;Serif"/>
                  <w:sz w:val="20"/>
                </w:rPr>
                <w:t>Item 2.</w:t>
              </w:r>
            </w:hyperlink>
          </w:p>
        </w:tc>
        <w:tc>
          <w:tcPr>
            <w:tcW w:w="8980" w:type="dxa"/>
            <w:tcBorders/>
            <w:shd w:fill="CCEEFF" w:val="clear"/>
            <w:vAlign w:val="center"/>
          </w:tcPr>
          <w:p>
            <w:pPr>
              <w:pStyle w:val="TableContents"/>
              <w:spacing w:before="0" w:after="283"/>
              <w:rPr/>
            </w:pPr>
            <w:hyperlink w:anchor="x_008">
              <w:r>
                <w:rPr>
                  <w:rStyle w:val="InternetLink"/>
                  <w:rFonts w:ascii="Times New Roman;Times;Serif" w:hAnsi="Times New Roman;Times;Serif"/>
                  <w:sz w:val="20"/>
                </w:rPr>
                <w:t>Unregistered Sales of Equity Securities and Use of Proceeds</w:t>
              </w:r>
            </w:hyperlink>
          </w:p>
        </w:tc>
        <w:tc>
          <w:tcPr>
            <w:tcW w:w="456" w:type="dxa"/>
            <w:tcBorders/>
            <w:shd w:fill="CCEEFF" w:val="clear"/>
            <w:vAlign w:val="center"/>
          </w:tcPr>
          <w:p>
            <w:pPr>
              <w:pStyle w:val="TableContents"/>
              <w:spacing w:before="0" w:after="283"/>
              <w:jc w:val="right"/>
              <w:rPr/>
            </w:pPr>
            <w:hyperlink w:anchor="x_008">
              <w:r>
                <w:rPr>
                  <w:rStyle w:val="InternetLink"/>
                </w:rPr>
                <w:t>67</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09">
              <w:r>
                <w:rPr>
                  <w:rStyle w:val="InternetLink"/>
                  <w:rFonts w:ascii="Times New Roman;Times;Serif" w:hAnsi="Times New Roman;Times;Serif"/>
                  <w:sz w:val="20"/>
                </w:rPr>
                <w:t>Item 3.</w:t>
              </w:r>
            </w:hyperlink>
          </w:p>
        </w:tc>
        <w:tc>
          <w:tcPr>
            <w:tcW w:w="8980" w:type="dxa"/>
            <w:tcBorders/>
            <w:shd w:fill="CCEEFF" w:val="clear"/>
            <w:vAlign w:val="center"/>
          </w:tcPr>
          <w:p>
            <w:pPr>
              <w:pStyle w:val="TableContents"/>
              <w:spacing w:before="0" w:after="283"/>
              <w:rPr/>
            </w:pPr>
            <w:hyperlink w:anchor="x_009">
              <w:r>
                <w:rPr>
                  <w:rStyle w:val="InternetLink"/>
                  <w:rFonts w:ascii="Times New Roman;Times;Serif" w:hAnsi="Times New Roman;Times;Serif"/>
                  <w:sz w:val="20"/>
                </w:rPr>
                <w:t>Defaults Upon Senior Securities</w:t>
              </w:r>
            </w:hyperlink>
          </w:p>
        </w:tc>
        <w:tc>
          <w:tcPr>
            <w:tcW w:w="456" w:type="dxa"/>
            <w:tcBorders/>
            <w:shd w:fill="CCEEFF" w:val="clear"/>
            <w:vAlign w:val="center"/>
          </w:tcPr>
          <w:p>
            <w:pPr>
              <w:pStyle w:val="TableContents"/>
              <w:spacing w:before="0" w:after="283"/>
              <w:jc w:val="right"/>
              <w:rPr/>
            </w:pPr>
            <w:hyperlink w:anchor="x_009">
              <w:r>
                <w:rPr>
                  <w:rStyle w:val="InternetLink"/>
                </w:rPr>
                <w:t>67</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10">
              <w:r>
                <w:rPr>
                  <w:rStyle w:val="InternetLink"/>
                  <w:rFonts w:ascii="Times New Roman;Times;Serif" w:hAnsi="Times New Roman;Times;Serif"/>
                  <w:sz w:val="20"/>
                </w:rPr>
                <w:t>Item 4.</w:t>
              </w:r>
            </w:hyperlink>
          </w:p>
        </w:tc>
        <w:tc>
          <w:tcPr>
            <w:tcW w:w="8980" w:type="dxa"/>
            <w:tcBorders/>
            <w:shd w:fill="CCEEFF" w:val="clear"/>
            <w:vAlign w:val="center"/>
          </w:tcPr>
          <w:p>
            <w:pPr>
              <w:pStyle w:val="TableContents"/>
              <w:spacing w:before="0" w:after="283"/>
              <w:rPr/>
            </w:pPr>
            <w:hyperlink w:anchor="x_010">
              <w:r>
                <w:rPr>
                  <w:rStyle w:val="InternetLink"/>
                  <w:rFonts w:ascii="Times New Roman;Times;Serif" w:hAnsi="Times New Roman;Times;Serif"/>
                  <w:sz w:val="20"/>
                </w:rPr>
                <w:t>Mine Safety Disclosures</w:t>
              </w:r>
            </w:hyperlink>
          </w:p>
        </w:tc>
        <w:tc>
          <w:tcPr>
            <w:tcW w:w="456" w:type="dxa"/>
            <w:tcBorders/>
            <w:shd w:fill="CCEEFF" w:val="clear"/>
            <w:vAlign w:val="center"/>
          </w:tcPr>
          <w:p>
            <w:pPr>
              <w:pStyle w:val="TableContents"/>
              <w:spacing w:before="0" w:after="283"/>
              <w:jc w:val="right"/>
              <w:rPr/>
            </w:pPr>
            <w:hyperlink w:anchor="x_010">
              <w:r>
                <w:rPr>
                  <w:rStyle w:val="InternetLink"/>
                </w:rPr>
                <w:t>67</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11">
              <w:r>
                <w:rPr>
                  <w:rStyle w:val="InternetLink"/>
                  <w:rFonts w:ascii="Times New Roman;Times;Serif" w:hAnsi="Times New Roman;Times;Serif"/>
                  <w:sz w:val="20"/>
                </w:rPr>
                <w:t>Item 5.</w:t>
              </w:r>
            </w:hyperlink>
          </w:p>
        </w:tc>
        <w:tc>
          <w:tcPr>
            <w:tcW w:w="8980" w:type="dxa"/>
            <w:tcBorders/>
            <w:shd w:fill="CCEEFF" w:val="clear"/>
            <w:vAlign w:val="center"/>
          </w:tcPr>
          <w:p>
            <w:pPr>
              <w:pStyle w:val="TableContents"/>
              <w:spacing w:before="0" w:after="283"/>
              <w:rPr/>
            </w:pPr>
            <w:hyperlink w:anchor="x_011">
              <w:r>
                <w:rPr>
                  <w:rStyle w:val="InternetLink"/>
                  <w:rFonts w:ascii="Times New Roman;Times;Serif" w:hAnsi="Times New Roman;Times;Serif"/>
                  <w:sz w:val="20"/>
                </w:rPr>
                <w:t>Other Information</w:t>
              </w:r>
            </w:hyperlink>
          </w:p>
        </w:tc>
        <w:tc>
          <w:tcPr>
            <w:tcW w:w="456" w:type="dxa"/>
            <w:tcBorders/>
            <w:shd w:fill="CCEEFF" w:val="clear"/>
            <w:vAlign w:val="center"/>
          </w:tcPr>
          <w:p>
            <w:pPr>
              <w:pStyle w:val="TableContents"/>
              <w:spacing w:before="0" w:after="283"/>
              <w:jc w:val="right"/>
              <w:rPr/>
            </w:pPr>
            <w:hyperlink w:anchor="x_011">
              <w:r>
                <w:rPr>
                  <w:rStyle w:val="InternetLink"/>
                </w:rPr>
                <w:t>67</w:t>
              </w:r>
            </w:hyperlink>
          </w:p>
        </w:tc>
      </w:tr>
      <w:tr>
        <w:trPr/>
        <w:tc>
          <w:tcPr>
            <w:tcW w:w="769" w:type="dxa"/>
            <w:tcBorders/>
            <w:shd w:fill="FFFFFF" w:val="clear"/>
            <w:vAlign w:val="center"/>
          </w:tcPr>
          <w:p>
            <w:pPr>
              <w:pStyle w:val="TableContents"/>
              <w:spacing w:before="0" w:after="283"/>
              <w:ind w:left="0" w:right="0" w:hanging="180"/>
              <w:rPr/>
            </w:pPr>
            <w:r>
              <w:rPr/>
              <w:t> </w:t>
            </w:r>
          </w:p>
        </w:tc>
        <w:tc>
          <w:tcPr>
            <w:tcW w:w="898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769" w:type="dxa"/>
            <w:tcBorders/>
            <w:shd w:fill="CCEEFF" w:val="clear"/>
            <w:vAlign w:val="center"/>
          </w:tcPr>
          <w:p>
            <w:pPr>
              <w:pStyle w:val="TableContents"/>
              <w:spacing w:before="0" w:after="283"/>
              <w:ind w:left="0" w:right="0" w:hanging="180"/>
              <w:rPr/>
            </w:pPr>
            <w:hyperlink w:anchor="x_012">
              <w:r>
                <w:rPr>
                  <w:rStyle w:val="InternetLink"/>
                  <w:rFonts w:ascii="Times New Roman;Times;Serif" w:hAnsi="Times New Roman;Times;Serif"/>
                  <w:sz w:val="20"/>
                </w:rPr>
                <w:t>Item 6.</w:t>
              </w:r>
            </w:hyperlink>
          </w:p>
        </w:tc>
        <w:tc>
          <w:tcPr>
            <w:tcW w:w="8980" w:type="dxa"/>
            <w:tcBorders/>
            <w:shd w:fill="CCEEFF" w:val="clear"/>
            <w:vAlign w:val="center"/>
          </w:tcPr>
          <w:p>
            <w:pPr>
              <w:pStyle w:val="TableContents"/>
              <w:spacing w:before="0" w:after="283"/>
              <w:rPr/>
            </w:pPr>
            <w:hyperlink w:anchor="x_012">
              <w:r>
                <w:rPr>
                  <w:rStyle w:val="InternetLink"/>
                  <w:rFonts w:ascii="Times New Roman;Times;Serif" w:hAnsi="Times New Roman;Times;Serif"/>
                  <w:sz w:val="20"/>
                </w:rPr>
                <w:t>Exhibits</w:t>
              </w:r>
            </w:hyperlink>
          </w:p>
        </w:tc>
        <w:tc>
          <w:tcPr>
            <w:tcW w:w="456" w:type="dxa"/>
            <w:tcBorders/>
            <w:shd w:fill="CCEEFF" w:val="clear"/>
            <w:vAlign w:val="center"/>
          </w:tcPr>
          <w:p>
            <w:pPr>
              <w:pStyle w:val="TableContents"/>
              <w:spacing w:before="0" w:after="283"/>
              <w:jc w:val="right"/>
              <w:rPr/>
            </w:pPr>
            <w:hyperlink w:anchor="x_012">
              <w:r>
                <w:rPr>
                  <w:rStyle w:val="InternetLink"/>
                </w:rPr>
                <w:t>68</w:t>
              </w:r>
            </w:hyperlink>
          </w:p>
        </w:tc>
      </w:tr>
      <w:tr>
        <w:trPr/>
        <w:tc>
          <w:tcPr>
            <w:tcW w:w="9749" w:type="dxa"/>
            <w:gridSpan w:val="2"/>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right"/>
              <w:rPr/>
            </w:pPr>
            <w:r>
              <w:rPr/>
              <w:t> </w:t>
            </w:r>
          </w:p>
        </w:tc>
      </w:tr>
      <w:tr>
        <w:trPr/>
        <w:tc>
          <w:tcPr>
            <w:tcW w:w="9749" w:type="dxa"/>
            <w:gridSpan w:val="2"/>
            <w:tcBorders/>
            <w:shd w:fill="CCEEFF" w:val="clear"/>
            <w:vAlign w:val="center"/>
          </w:tcPr>
          <w:p>
            <w:pPr>
              <w:pStyle w:val="TableContents"/>
              <w:spacing w:before="0" w:after="283"/>
              <w:rPr/>
            </w:pPr>
            <w:hyperlink w:anchor="x_014">
              <w:r>
                <w:rPr>
                  <w:rStyle w:val="InternetLink"/>
                  <w:rFonts w:ascii="Times New Roman;Times;Serif" w:hAnsi="Times New Roman;Times;Serif"/>
                  <w:sz w:val="20"/>
                </w:rPr>
                <w:t>Signatures</w:t>
              </w:r>
            </w:hyperlink>
          </w:p>
        </w:tc>
        <w:tc>
          <w:tcPr>
            <w:tcW w:w="456" w:type="dxa"/>
            <w:tcBorders/>
            <w:shd w:fill="CCEEFF" w:val="clear"/>
            <w:vAlign w:val="center"/>
          </w:tcPr>
          <w:p>
            <w:pPr>
              <w:pStyle w:val="TableContents"/>
              <w:spacing w:before="0" w:after="283"/>
              <w:jc w:val="right"/>
              <w:rPr/>
            </w:pPr>
            <w:hyperlink w:anchor="x_014">
              <w:r>
                <w:rPr>
                  <w:rStyle w:val="InternetLink"/>
                </w:rPr>
                <w:t>69</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s_014"/>
      <w:bookmarkEnd w:id="2"/>
      <w:r>
        <w:rPr>
          <w:rFonts w:ascii="Times New Roman;Times;Serif" w:hAnsi="Times New Roman;Times;Serif"/>
          <w:b/>
          <w:i w:val="false"/>
          <w:caps w:val="false"/>
          <w:smallCaps w:val="false"/>
          <w:sz w:val="20"/>
        </w:rPr>
        <w:t>PART I. FINANCIAL INFORMATION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 w:name="s_015"/>
      <w:bookmarkEnd w:id="3"/>
      <w:r>
        <w:rPr>
          <w:rFonts w:ascii="Times New Roman;Times;Serif" w:hAnsi="Times New Roman;Times;Serif"/>
          <w:b/>
          <w:i w:val="false"/>
          <w:caps w:val="false"/>
          <w:smallCaps w:val="false"/>
          <w:sz w:val="20"/>
        </w:rPr>
        <w:t>Item 1.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s_016"/>
      <w:bookmarkEnd w:id="4"/>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Assets and Liabilities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data)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35"/>
        <w:gridCol w:w="120"/>
        <w:gridCol w:w="261"/>
        <w:gridCol w:w="1066"/>
        <w:gridCol w:w="120"/>
        <w:gridCol w:w="120"/>
        <w:gridCol w:w="267"/>
        <w:gridCol w:w="1007"/>
        <w:gridCol w:w="109"/>
      </w:tblGrid>
      <w:tr>
        <w:trPr/>
        <w:tc>
          <w:tcPr>
            <w:tcW w:w="71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2841"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10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1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132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12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10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1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1327"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120" w:type="dxa"/>
            <w:tcBorders/>
            <w:shd w:fill="auto" w:val="clear"/>
            <w:vAlign w:val="center"/>
          </w:tcPr>
          <w:p>
            <w:pPr>
              <w:pStyle w:val="TableContents"/>
              <w:spacing w:before="0" w:after="283"/>
              <w:rPr/>
            </w:pPr>
            <w:r>
              <w:rPr/>
              <w:t> </w:t>
            </w:r>
          </w:p>
        </w:tc>
        <w:tc>
          <w:tcPr>
            <w:tcW w:w="1274" w:type="dxa"/>
            <w:gridSpan w:val="2"/>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ind w:left="0" w:right="0" w:hanging="180"/>
              <w:rPr/>
            </w:pPr>
            <w:r>
              <w:rPr/>
              <w:t> </w:t>
            </w:r>
          </w:p>
        </w:tc>
      </w:tr>
      <w:tr>
        <w:trPr/>
        <w:tc>
          <w:tcPr>
            <w:tcW w:w="71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p>
        </w:tc>
        <w:tc>
          <w:tcPr>
            <w:tcW w:w="1066"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jc w:val="left"/>
              <w:rPr/>
            </w:pPr>
            <w:r>
              <w:rPr/>
              <w:t> </w:t>
            </w:r>
          </w:p>
        </w:tc>
        <w:tc>
          <w:tcPr>
            <w:tcW w:w="120"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jc w:val="left"/>
              <w:rPr/>
            </w:pPr>
            <w:r>
              <w:rPr/>
              <w:t> </w:t>
            </w:r>
          </w:p>
        </w:tc>
        <w:tc>
          <w:tcPr>
            <w:tcW w:w="1007"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ind w:left="0" w:right="0" w:hanging="180"/>
              <w:jc w:val="left"/>
              <w:rPr/>
            </w:pPr>
            <w:r>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at fair value:</w:t>
            </w:r>
          </w:p>
        </w:tc>
        <w:tc>
          <w:tcPr>
            <w:tcW w:w="12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1066" w:type="dxa"/>
            <w:tcBorders/>
            <w:shd w:fill="FFFFFF" w:val="clear"/>
            <w:vAlign w:val="center"/>
          </w:tcPr>
          <w:p>
            <w:pPr>
              <w:pStyle w:val="TableContents"/>
              <w:spacing w:before="0" w:after="283"/>
              <w:jc w:val="right"/>
              <w:rPr/>
            </w:pPr>
            <w:r>
              <w:rPr/>
              <w:t> </w:t>
            </w:r>
          </w:p>
        </w:tc>
        <w:tc>
          <w:tcPr>
            <w:tcW w:w="120"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left"/>
              <w:rPr/>
            </w:pPr>
            <w:r>
              <w:rPr/>
              <w:t> </w:t>
            </w:r>
          </w:p>
        </w:tc>
        <w:tc>
          <w:tcPr>
            <w:tcW w:w="1007" w:type="dxa"/>
            <w:tcBorders/>
            <w:shd w:fill="FFFFFF" w:val="clear"/>
            <w:vAlign w:val="center"/>
          </w:tcPr>
          <w:p>
            <w:pPr>
              <w:pStyle w:val="TableContents"/>
              <w:spacing w:before="0" w:after="283"/>
              <w:jc w:val="right"/>
              <w:rPr/>
            </w:pPr>
            <w:r>
              <w:rPr/>
              <w:t> </w:t>
            </w:r>
          </w:p>
        </w:tc>
        <w:tc>
          <w:tcPr>
            <w:tcW w:w="109" w:type="dxa"/>
            <w:tcBorders/>
            <w:shd w:fill="FFFFFF" w:val="clear"/>
            <w:vAlign w:val="center"/>
          </w:tcPr>
          <w:p>
            <w:pPr>
              <w:pStyle w:val="TableContents"/>
              <w:spacing w:before="0" w:after="283"/>
              <w:ind w:left="0" w:right="0" w:hanging="180"/>
              <w:jc w:val="left"/>
              <w:rPr/>
            </w:pPr>
            <w:r>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 (amortized cost of $190,961 and $250,433, respectively)</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185,260</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241,046</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 (amortized cost of $83,241 and $80,756, respectively)</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86,361</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98,763</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 (amortized cost of $8,995 and $22,692, respectively)</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8,628</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22,723</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investments at fair value (amortized cost of $283,197 and $353,881, respectively)</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43,687</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62,321</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receivable</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326,603</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427,337</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p>
        </w:tc>
        <w:tc>
          <w:tcPr>
            <w:tcW w:w="1066"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jc w:val="left"/>
              <w:rPr/>
            </w:pPr>
            <w:r>
              <w:rPr/>
              <w:t> </w:t>
            </w:r>
          </w:p>
        </w:tc>
        <w:tc>
          <w:tcPr>
            <w:tcW w:w="120"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jc w:val="left"/>
              <w:rPr/>
            </w:pPr>
            <w:r>
              <w:rPr/>
              <w:t> </w:t>
            </w:r>
          </w:p>
        </w:tc>
        <w:tc>
          <w:tcPr>
            <w:tcW w:w="1007"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ind w:left="0" w:right="0" w:hanging="180"/>
              <w:jc w:val="left"/>
              <w:rPr/>
            </w:pPr>
            <w:r>
              <w:rPr/>
              <w:t> </w:t>
            </w:r>
          </w:p>
        </w:tc>
      </w:tr>
      <w:tr>
        <w:trPr/>
        <w:tc>
          <w:tcPr>
            <w:tcW w:w="71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12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1066" w:type="dxa"/>
            <w:tcBorders/>
            <w:shd w:fill="FFFFFF" w:val="clear"/>
            <w:vAlign w:val="center"/>
          </w:tcPr>
          <w:p>
            <w:pPr>
              <w:pStyle w:val="TableContents"/>
              <w:spacing w:before="0" w:after="283"/>
              <w:jc w:val="right"/>
              <w:rPr/>
            </w:pPr>
            <w:r>
              <w:rPr/>
              <w:t> </w:t>
            </w:r>
          </w:p>
        </w:tc>
        <w:tc>
          <w:tcPr>
            <w:tcW w:w="120"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left"/>
              <w:rPr/>
            </w:pPr>
            <w:r>
              <w:rPr/>
              <w:t> </w:t>
            </w:r>
          </w:p>
        </w:tc>
        <w:tc>
          <w:tcPr>
            <w:tcW w:w="1007" w:type="dxa"/>
            <w:tcBorders/>
            <w:shd w:fill="FFFFFF" w:val="clear"/>
            <w:vAlign w:val="center"/>
          </w:tcPr>
          <w:p>
            <w:pPr>
              <w:pStyle w:val="TableContents"/>
              <w:spacing w:before="0" w:after="283"/>
              <w:jc w:val="right"/>
              <w:rPr/>
            </w:pPr>
            <w:r>
              <w:rPr/>
              <w:t> </w:t>
            </w:r>
          </w:p>
        </w:tc>
        <w:tc>
          <w:tcPr>
            <w:tcW w:w="109" w:type="dxa"/>
            <w:tcBorders/>
            <w:shd w:fill="FFFFFF" w:val="clear"/>
            <w:vAlign w:val="center"/>
          </w:tcPr>
          <w:p>
            <w:pPr>
              <w:pStyle w:val="TableContents"/>
              <w:spacing w:before="0" w:after="283"/>
              <w:ind w:left="0" w:right="0" w:hanging="180"/>
              <w:jc w:val="left"/>
              <w:rPr/>
            </w:pPr>
            <w:r>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SBA Debentures (net of deferred financing costs of $571 and $1,006, respectively)</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90,429</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148,994</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Notes (net of deferred financing costs of $988 and $1,447, respectively)</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71,845</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73,553</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Convertible Notes (net of deferred financing costs of $645 and $916, respectively)</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51,443</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51,172</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Facility (net of deferred financing costs of $0 and $1,165, respectively)</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w:t>
            </w:r>
          </w:p>
        </w:tc>
        <w:tc>
          <w:tcPr>
            <w:tcW w:w="109"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and incentive fees payable</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3,602</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fees payable</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2,439</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218,194</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279,224</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p>
        </w:tc>
        <w:tc>
          <w:tcPr>
            <w:tcW w:w="1066"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jc w:val="left"/>
              <w:rPr/>
            </w:pPr>
            <w:r>
              <w:rPr/>
              <w:t> </w:t>
            </w:r>
          </w:p>
        </w:tc>
        <w:tc>
          <w:tcPr>
            <w:tcW w:w="120"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jc w:val="left"/>
              <w:rPr/>
            </w:pPr>
            <w:r>
              <w:rPr/>
              <w:t> </w:t>
            </w:r>
          </w:p>
        </w:tc>
        <w:tc>
          <w:tcPr>
            <w:tcW w:w="1007"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ind w:left="0" w:right="0" w:hanging="180"/>
              <w:jc w:val="left"/>
              <w:rPr/>
            </w:pPr>
            <w:r>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2)</w:t>
            </w:r>
          </w:p>
        </w:tc>
        <w:tc>
          <w:tcPr>
            <w:tcW w:w="12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1066" w:type="dxa"/>
            <w:tcBorders/>
            <w:shd w:fill="FFFFFF" w:val="clear"/>
            <w:vAlign w:val="center"/>
          </w:tcPr>
          <w:p>
            <w:pPr>
              <w:pStyle w:val="TableContents"/>
              <w:spacing w:before="0" w:after="283"/>
              <w:jc w:val="right"/>
              <w:rPr/>
            </w:pPr>
            <w:r>
              <w:rPr/>
              <w:t> </w:t>
            </w:r>
          </w:p>
        </w:tc>
        <w:tc>
          <w:tcPr>
            <w:tcW w:w="120"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left"/>
              <w:rPr/>
            </w:pPr>
            <w:r>
              <w:rPr/>
              <w:t> </w:t>
            </w:r>
          </w:p>
        </w:tc>
        <w:tc>
          <w:tcPr>
            <w:tcW w:w="1007" w:type="dxa"/>
            <w:tcBorders/>
            <w:shd w:fill="FFFFFF" w:val="clear"/>
            <w:vAlign w:val="center"/>
          </w:tcPr>
          <w:p>
            <w:pPr>
              <w:pStyle w:val="TableContents"/>
              <w:spacing w:before="0" w:after="283"/>
              <w:jc w:val="right"/>
              <w:rPr/>
            </w:pPr>
            <w:r>
              <w:rPr/>
              <w:t> </w:t>
            </w:r>
          </w:p>
        </w:tc>
        <w:tc>
          <w:tcPr>
            <w:tcW w:w="109" w:type="dxa"/>
            <w:tcBorders/>
            <w:shd w:fill="FFFFFF" w:val="clear"/>
            <w:vAlign w:val="center"/>
          </w:tcPr>
          <w:p>
            <w:pPr>
              <w:pStyle w:val="TableContents"/>
              <w:spacing w:before="0" w:after="283"/>
              <w:ind w:left="0" w:right="0" w:hanging="180"/>
              <w:jc w:val="left"/>
              <w:rPr/>
            </w:pPr>
            <w:r>
              <w:rPr/>
              <w:t> </w:t>
            </w:r>
          </w:p>
        </w:tc>
      </w:tr>
      <w:tr>
        <w:trPr/>
        <w:tc>
          <w:tcPr>
            <w:tcW w:w="713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p>
        </w:tc>
        <w:tc>
          <w:tcPr>
            <w:tcW w:w="1066"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jc w:val="left"/>
              <w:rPr/>
            </w:pPr>
            <w:r>
              <w:rPr/>
              <w:t> </w:t>
            </w:r>
          </w:p>
        </w:tc>
        <w:tc>
          <w:tcPr>
            <w:tcW w:w="120"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jc w:val="left"/>
              <w:rPr/>
            </w:pPr>
            <w:r>
              <w:rPr/>
              <w:t> </w:t>
            </w:r>
          </w:p>
        </w:tc>
        <w:tc>
          <w:tcPr>
            <w:tcW w:w="1007"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ind w:left="0" w:right="0" w:hanging="180"/>
              <w:jc w:val="left"/>
              <w:rPr/>
            </w:pPr>
            <w:r>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w:t>
            </w:r>
          </w:p>
        </w:tc>
        <w:tc>
          <w:tcPr>
            <w:tcW w:w="12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1066" w:type="dxa"/>
            <w:tcBorders/>
            <w:shd w:fill="FFFFFF" w:val="clear"/>
            <w:vAlign w:val="center"/>
          </w:tcPr>
          <w:p>
            <w:pPr>
              <w:pStyle w:val="TableContents"/>
              <w:spacing w:before="0" w:after="283"/>
              <w:jc w:val="right"/>
              <w:rPr/>
            </w:pPr>
            <w:r>
              <w:rPr/>
              <w:t> </w:t>
            </w:r>
          </w:p>
        </w:tc>
        <w:tc>
          <w:tcPr>
            <w:tcW w:w="120"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left"/>
              <w:rPr/>
            </w:pPr>
            <w:r>
              <w:rPr/>
              <w:t> </w:t>
            </w:r>
          </w:p>
        </w:tc>
        <w:tc>
          <w:tcPr>
            <w:tcW w:w="1007" w:type="dxa"/>
            <w:tcBorders/>
            <w:shd w:fill="FFFFFF" w:val="clear"/>
            <w:vAlign w:val="center"/>
          </w:tcPr>
          <w:p>
            <w:pPr>
              <w:pStyle w:val="TableContents"/>
              <w:spacing w:before="0" w:after="283"/>
              <w:jc w:val="right"/>
              <w:rPr/>
            </w:pPr>
            <w:r>
              <w:rPr/>
              <w:t> </w:t>
            </w:r>
          </w:p>
        </w:tc>
        <w:tc>
          <w:tcPr>
            <w:tcW w:w="109" w:type="dxa"/>
            <w:tcBorders/>
            <w:shd w:fill="FFFFFF" w:val="clear"/>
            <w:vAlign w:val="center"/>
          </w:tcPr>
          <w:p>
            <w:pPr>
              <w:pStyle w:val="TableContents"/>
              <w:spacing w:before="0" w:after="283"/>
              <w:ind w:left="0" w:right="0" w:hanging="180"/>
              <w:jc w:val="left"/>
              <w:rPr/>
            </w:pPr>
            <w:r>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par value $0.01, 100,000,000 common shares authorized, 2,711,068 and 2,700,628 common shares issued and outstanding, respectively </w:t>
            </w:r>
            <w:r>
              <w:rPr>
                <w:rFonts w:ascii="Times New Roman;Times;Serif" w:hAnsi="Times New Roman;Times;Serif"/>
                <w:b w:val="false"/>
                <w:i w:val="false"/>
                <w:caps w:val="false"/>
                <w:smallCaps w:val="false"/>
                <w:position w:val="7"/>
                <w:sz w:val="16"/>
                <w:sz w:val="20"/>
              </w:rPr>
              <w:t>(1)</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r>
              <w:rPr>
                <w:sz w:val="20"/>
              </w:rPr>
              <w:t>$</w:t>
            </w:r>
          </w:p>
        </w:tc>
        <w:tc>
          <w:tcPr>
            <w:tcW w:w="1066" w:type="dxa"/>
            <w:tcBorders/>
            <w:shd w:fill="CCEEFF" w:val="clear"/>
            <w:vAlign w:val="center"/>
          </w:tcPr>
          <w:p>
            <w:pPr>
              <w:pStyle w:val="TableContents"/>
              <w:spacing w:before="0" w:after="283"/>
              <w:jc w:val="right"/>
              <w:rPr/>
            </w:pPr>
            <w:r>
              <w:rPr/>
              <w:t> </w:t>
            </w:r>
            <w:r>
              <w:rPr>
                <w:sz w:val="20"/>
              </w:rPr>
              <w:t>27</w:t>
            </w:r>
          </w:p>
        </w:tc>
        <w:tc>
          <w:tcPr>
            <w:tcW w:w="120" w:type="dxa"/>
            <w:tcBorders/>
            <w:shd w:fill="CCEEFF" w:val="clear"/>
            <w:vAlign w:val="center"/>
          </w:tcPr>
          <w:p>
            <w:pPr>
              <w:pStyle w:val="TableContents"/>
              <w:spacing w:before="0" w:after="283"/>
              <w:jc w:val="left"/>
              <w:rPr/>
            </w:pPr>
            <w:r>
              <w:rPr/>
              <w:t>  </w:t>
            </w:r>
          </w:p>
        </w:tc>
        <w:tc>
          <w:tcPr>
            <w:tcW w:w="120" w:type="dxa"/>
            <w:tcBorders/>
            <w:shd w:fill="CCEEFF" w:val="clear"/>
            <w:vAlign w:val="center"/>
          </w:tcPr>
          <w:p>
            <w:pPr>
              <w:pStyle w:val="TableContents"/>
              <w:spacing w:before="0" w:after="283"/>
              <w:rPr/>
            </w:pPr>
            <w:r>
              <w:rPr/>
              <w:t>  </w:t>
            </w:r>
          </w:p>
        </w:tc>
        <w:tc>
          <w:tcPr>
            <w:tcW w:w="267" w:type="dxa"/>
            <w:tcBorders/>
            <w:shd w:fill="CCEEFF" w:val="clear"/>
            <w:vAlign w:val="center"/>
          </w:tcPr>
          <w:p>
            <w:pPr>
              <w:pStyle w:val="TableContents"/>
              <w:spacing w:before="0" w:after="283"/>
              <w:jc w:val="left"/>
              <w:rPr/>
            </w:pPr>
            <w:r>
              <w:rPr/>
              <w:t> </w:t>
            </w:r>
            <w:r>
              <w:rPr>
                <w:sz w:val="20"/>
              </w:rPr>
              <w:t>$</w:t>
            </w:r>
          </w:p>
        </w:tc>
        <w:tc>
          <w:tcPr>
            <w:tcW w:w="1007" w:type="dxa"/>
            <w:tcBorders/>
            <w:shd w:fill="CCEEFF" w:val="clear"/>
            <w:vAlign w:val="center"/>
          </w:tcPr>
          <w:p>
            <w:pPr>
              <w:pStyle w:val="TableContents"/>
              <w:spacing w:before="0" w:after="283"/>
              <w:jc w:val="right"/>
              <w:rPr/>
            </w:pPr>
            <w:r>
              <w:rPr/>
              <w:t> </w:t>
            </w:r>
            <w:r>
              <w:rPr>
                <w:sz w:val="20"/>
              </w:rPr>
              <w:t>27</w:t>
            </w:r>
          </w:p>
        </w:tc>
        <w:tc>
          <w:tcPr>
            <w:tcW w:w="109" w:type="dxa"/>
            <w:tcBorders/>
            <w:shd w:fill="CCEEFF" w:val="clear"/>
            <w:vAlign w:val="center"/>
          </w:tcPr>
          <w:p>
            <w:pPr>
              <w:pStyle w:val="TableContents"/>
              <w:spacing w:before="0" w:after="283"/>
              <w:ind w:left="0" w:right="0" w:hanging="180"/>
              <w:jc w:val="left"/>
              <w:rPr/>
            </w:pPr>
            <w:r>
              <w:rPr/>
              <w:t>  </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238,355</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238,021</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distributable loss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(129,973</w:t>
            </w:r>
          </w:p>
        </w:tc>
        <w:tc>
          <w:tcPr>
            <w:tcW w:w="1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(89,935</w:t>
            </w:r>
          </w:p>
        </w:tc>
        <w:tc>
          <w:tcPr>
            <w:tcW w:w="109"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assets</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108,409</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spacing w:before="0" w:after="283"/>
              <w:rPr>
                <w:caps w:val="false"/>
                <w:smallCaps w:val="false"/>
              </w:rPr>
            </w:pPr>
            <w:r>
              <w:rPr>
                <w:caps w:val="false"/>
                <w:smallCaps w:val="false"/>
              </w:rPr>
              <w:t> </w:t>
            </w:r>
          </w:p>
        </w:tc>
        <w:tc>
          <w:tcPr>
            <w:tcW w:w="26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148,113</w:t>
            </w:r>
          </w:p>
        </w:tc>
        <w:tc>
          <w:tcPr>
            <w:tcW w:w="10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net assets</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326,603</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427,337</w:t>
            </w:r>
          </w:p>
        </w:tc>
        <w:tc>
          <w:tcPr>
            <w:tcW w:w="109"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13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1066" w:type="dxa"/>
            <w:tcBorders/>
            <w:shd w:fill="FFFFFF" w:val="clear"/>
            <w:vAlign w:val="center"/>
          </w:tcPr>
          <w:p>
            <w:pPr>
              <w:pStyle w:val="TableContents"/>
              <w:spacing w:before="0" w:after="283"/>
              <w:jc w:val="right"/>
              <w:rPr/>
            </w:pPr>
            <w:r>
              <w:rPr/>
              <w:t> </w:t>
            </w:r>
          </w:p>
        </w:tc>
        <w:tc>
          <w:tcPr>
            <w:tcW w:w="120" w:type="dxa"/>
            <w:tcBorders/>
            <w:shd w:fill="FFFFFF" w:val="clear"/>
            <w:vAlign w:val="center"/>
          </w:tcPr>
          <w:p>
            <w:pPr>
              <w:pStyle w:val="TableContents"/>
              <w:spacing w:before="0" w:after="283"/>
              <w:jc w:val="left"/>
              <w:rPr/>
            </w:pPr>
            <w:r>
              <w:rPr/>
              <w:t> </w:t>
            </w:r>
          </w:p>
        </w:tc>
        <w:tc>
          <w:tcPr>
            <w:tcW w:w="120"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left"/>
              <w:rPr/>
            </w:pPr>
            <w:r>
              <w:rPr/>
              <w:t> </w:t>
            </w:r>
          </w:p>
        </w:tc>
        <w:tc>
          <w:tcPr>
            <w:tcW w:w="1007" w:type="dxa"/>
            <w:tcBorders/>
            <w:shd w:fill="FFFFFF" w:val="clear"/>
            <w:vAlign w:val="center"/>
          </w:tcPr>
          <w:p>
            <w:pPr>
              <w:pStyle w:val="TableContents"/>
              <w:spacing w:before="0" w:after="283"/>
              <w:jc w:val="right"/>
              <w:rPr/>
            </w:pPr>
            <w:r>
              <w:rPr/>
              <w:t> </w:t>
            </w:r>
          </w:p>
        </w:tc>
        <w:tc>
          <w:tcPr>
            <w:tcW w:w="109" w:type="dxa"/>
            <w:tcBorders/>
            <w:shd w:fill="FFFFFF" w:val="clear"/>
            <w:vAlign w:val="center"/>
          </w:tcPr>
          <w:p>
            <w:pPr>
              <w:pStyle w:val="TableContents"/>
              <w:spacing w:before="0" w:after="283"/>
              <w:ind w:left="0" w:right="0" w:hanging="180"/>
              <w:jc w:val="left"/>
              <w:rPr/>
            </w:pPr>
            <w:r>
              <w:rPr/>
              <w:t> </w:t>
            </w:r>
          </w:p>
        </w:tc>
      </w:tr>
      <w:tr>
        <w:trPr/>
        <w:tc>
          <w:tcPr>
            <w:tcW w:w="71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asset value per share </w:t>
            </w:r>
            <w:r>
              <w:rPr>
                <w:rFonts w:ascii="Times New Roman;Times;Serif" w:hAnsi="Times New Roman;Times;Serif"/>
                <w:b w:val="false"/>
                <w:i w:val="false"/>
                <w:caps w:val="false"/>
                <w:smallCaps w:val="false"/>
                <w:position w:val="7"/>
                <w:sz w:val="16"/>
                <w:sz w:val="20"/>
              </w:rPr>
              <w:t>(1)</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spacing w:before="0" w:after="283"/>
              <w:rPr>
                <w:caps w:val="false"/>
                <w:smallCaps w:val="false"/>
              </w:rPr>
            </w:pPr>
            <w:r>
              <w:rPr>
                <w:caps w:val="false"/>
                <w:smallCaps w:val="false"/>
              </w:rPr>
              <w:t> </w:t>
            </w:r>
          </w:p>
        </w:tc>
        <w:tc>
          <w:tcPr>
            <w:tcW w:w="2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54.84</w:t>
            </w:r>
          </w:p>
        </w:tc>
        <w:tc>
          <w:tcPr>
            <w:tcW w:w="109"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Authorized, issued and outstanding shares of Capitala Finance Corp.'s common stock and net asset value per share have been adjusted for the periods shown to reflect the one-for-six reverse stock split effected on August 21, 2020 on a retroactive basis, as described in Note 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5" w:name="s_017"/>
      <w:bookmarkEnd w:id="5"/>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Operations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data)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rPr/>
      </w:pPr>
      <w:r>
        <w:rPr/>
        <w:t> </w:t>
      </w:r>
    </w:p>
    <w:tbl>
      <w:tblPr>
        <w:tblW w:w="10205" w:type="dxa"/>
        <w:jc w:val="left"/>
        <w:tblInd w:w="0" w:type="dxa"/>
        <w:tblCellMar>
          <w:top w:w="0" w:type="dxa"/>
          <w:left w:w="0" w:type="dxa"/>
          <w:bottom w:w="0" w:type="dxa"/>
          <w:right w:w="0" w:type="dxa"/>
        </w:tblCellMar>
      </w:tblPr>
      <w:tblGrid>
        <w:gridCol w:w="5512"/>
        <w:gridCol w:w="60"/>
        <w:gridCol w:w="133"/>
        <w:gridCol w:w="905"/>
        <w:gridCol w:w="85"/>
        <w:gridCol w:w="64"/>
        <w:gridCol w:w="133"/>
        <w:gridCol w:w="905"/>
        <w:gridCol w:w="80"/>
        <w:gridCol w:w="60"/>
        <w:gridCol w:w="131"/>
        <w:gridCol w:w="885"/>
        <w:gridCol w:w="83"/>
        <w:gridCol w:w="62"/>
        <w:gridCol w:w="131"/>
        <w:gridCol w:w="885"/>
        <w:gridCol w:w="91"/>
      </w:tblGrid>
      <w:tr>
        <w:trPr/>
        <w:tc>
          <w:tcPr>
            <w:tcW w:w="55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September 30,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7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br/>
              <w:t>September 30,</w:t>
            </w:r>
          </w:p>
        </w:tc>
        <w:tc>
          <w:tcPr>
            <w:tcW w:w="9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5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103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01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91"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fee income:</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4,407</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13,807</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21,096</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6,578</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fee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19,148</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29,095</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Payment-in-kind interest and dividend income:</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payment-in-kind interest and dividend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income:</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dividend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20,767</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34,400</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3,423</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12,134</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12,751</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management fee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4,988</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6,063</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3,236</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before incentive fee waiver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23,547</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 waiver (See Note 6)</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23,259</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11,141</w:t>
            </w:r>
          </w:p>
        </w:tc>
        <w:tc>
          <w:tcPr>
            <w:tcW w:w="9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GAIN (LOSS) ON INVESTMENTS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investments:</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85"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ind w:left="0" w:right="0" w:hanging="180"/>
              <w:jc w:val="left"/>
              <w:rPr/>
            </w:pPr>
            <w:r>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(12,344</w:t>
            </w:r>
          </w:p>
        </w:tc>
        <w:tc>
          <w:tcPr>
            <w:tcW w:w="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(25,518</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(3,544</w:t>
            </w:r>
          </w:p>
        </w:tc>
        <w:tc>
          <w:tcPr>
            <w:tcW w:w="9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(19,656</w:t>
            </w:r>
          </w:p>
        </w:tc>
        <w:tc>
          <w:tcPr>
            <w:tcW w:w="9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(12,344</w:t>
            </w:r>
          </w:p>
        </w:tc>
        <w:tc>
          <w:tcPr>
            <w:tcW w:w="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(24,661</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appreciation (depreciation) on investments: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Non-control/non-affiliate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15,218</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4,539</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(14,887</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w:t>
            </w:r>
          </w:p>
        </w:tc>
        <w:tc>
          <w:tcPr>
            <w:tcW w:w="9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(17,999</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appreciation (depreciation)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(17,179</w:t>
            </w:r>
          </w:p>
        </w:tc>
        <w:tc>
          <w:tcPr>
            <w:tcW w:w="9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and unrealized gain (loss)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(36,260</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(38,091</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provision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9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realized and unrealized gain (loss) on investments, net of taxes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(36,260</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(38,719</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on extinguishment of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(35,985</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(27,578</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INCREASE (DECREASE) IN NET ASSETS PER SHARE RESULTING FROM OPERATIONS – BASIC AND DILUTED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9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COMMON STOCK OUTSTANDING  –  BASIC AND DILUTED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2,711,068</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2,688,894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2,708,532</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2,682,985</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85"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551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DISTRIBUTIONS PAID PER SHARE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9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55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jc w:val="left"/>
              <w:rPr/>
            </w:pPr>
            <w:r>
              <w:rPr/>
              <w:t> </w:t>
            </w:r>
          </w:p>
        </w:tc>
        <w:tc>
          <w:tcPr>
            <w:tcW w:w="885" w:type="dxa"/>
            <w:tcBorders/>
            <w:shd w:fill="auto" w:val="clear"/>
            <w:vAlign w:val="center"/>
          </w:tcPr>
          <w:p>
            <w:pPr>
              <w:pStyle w:val="TableContents"/>
              <w:spacing w:before="0" w:after="283"/>
              <w:jc w:val="right"/>
              <w:rPr/>
            </w:pPr>
            <w:r>
              <w:rPr/>
              <w:t> </w:t>
            </w:r>
          </w:p>
        </w:tc>
        <w:tc>
          <w:tcPr>
            <w:tcW w:w="83" w:type="dxa"/>
            <w:tcBorders/>
            <w:shd w:fill="auto" w:val="clear"/>
            <w:vAlign w:val="center"/>
          </w:tcPr>
          <w:p>
            <w:pPr>
              <w:pStyle w:val="TableContents"/>
              <w:spacing w:before="0" w:after="283"/>
              <w:jc w:val="left"/>
              <w:rPr/>
            </w:pPr>
            <w:r>
              <w:rPr/>
              <w:t> </w:t>
            </w:r>
          </w:p>
        </w:tc>
        <w:tc>
          <w:tcPr>
            <w:tcW w:w="62"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jc w:val="left"/>
              <w:rPr/>
            </w:pPr>
            <w:r>
              <w:rPr/>
              <w:t> </w:t>
            </w:r>
          </w:p>
        </w:tc>
        <w:tc>
          <w:tcPr>
            <w:tcW w:w="885"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jc w:val="left"/>
              <w:rPr/>
            </w:pPr>
            <w:r>
              <w:rPr/>
              <w:t> </w:t>
            </w:r>
          </w:p>
        </w:tc>
      </w:tr>
    </w:tbl>
    <w:p>
      <w:pPr>
        <w:pStyle w:val="TextBody"/>
        <w:rPr/>
      </w:pPr>
      <w:r>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Basic and diluted shares of Capitala Finance Corp.'s (the "Company") common stock have been adjusted for the periods shown to reflect the one-for-six reverse stock split effected on August 21, 2020 on a retroactive basis, as described in Note 1.</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Dividends paid per share of the Company's common stock has been adjusted for the periods shown to reflect the one-for-six reverse stock split effected on August 21, 2020 on a retroactive basis, as described in Note 1.</w:t>
      </w:r>
    </w:p>
    <w:p>
      <w:pPr>
        <w:pStyle w:val="TextBody"/>
        <w:spacing w:before="0" w:after="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6" w:name="s_018"/>
      <w:bookmarkEnd w:id="6"/>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Net Assets</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(in thousands, except share data) </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(unaudited)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21"/>
        <w:gridCol w:w="60"/>
        <w:gridCol w:w="60"/>
        <w:gridCol w:w="740"/>
        <w:gridCol w:w="80"/>
        <w:gridCol w:w="60"/>
        <w:gridCol w:w="262"/>
        <w:gridCol w:w="478"/>
        <w:gridCol w:w="60"/>
        <w:gridCol w:w="60"/>
        <w:gridCol w:w="174"/>
        <w:gridCol w:w="968"/>
        <w:gridCol w:w="60"/>
        <w:gridCol w:w="60"/>
        <w:gridCol w:w="183"/>
        <w:gridCol w:w="1125"/>
        <w:gridCol w:w="80"/>
        <w:gridCol w:w="60"/>
        <w:gridCol w:w="110"/>
        <w:gridCol w:w="605"/>
        <w:gridCol w:w="99"/>
      </w:tblGrid>
      <w:tr>
        <w:trPr/>
        <w:tc>
          <w:tcPr>
            <w:tcW w:w="48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142"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8"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jc w:val="center"/>
              <w:rPr/>
            </w:pPr>
            <w:r>
              <w:rPr/>
              <w:t> </w:t>
            </w:r>
          </w:p>
        </w:tc>
        <w:tc>
          <w:tcPr>
            <w:tcW w:w="99" w:type="dxa"/>
            <w:tcBorders/>
            <w:shd w:fill="auto" w:val="clear"/>
            <w:vAlign w:val="center"/>
          </w:tcPr>
          <w:p>
            <w:pPr>
              <w:pStyle w:val="TableContents"/>
              <w:spacing w:before="0" w:after="283"/>
              <w:rPr/>
            </w:pPr>
            <w:r>
              <w:rPr/>
              <w:t> </w:t>
            </w:r>
          </w:p>
        </w:tc>
      </w:tr>
      <w:tr>
        <w:trPr/>
        <w:tc>
          <w:tcPr>
            <w:tcW w:w="4821" w:type="dxa"/>
            <w:tcBorders/>
            <w:shd w:fill="auto"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Three Months Ended September 30, 2020 and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 xml:space="preserve">Shares </w:t>
            </w:r>
            <w:r>
              <w:rPr>
                <w:rFonts w:ascii="Times New Roman;Times;Serif" w:hAnsi="Times New Roman;Times;Serif"/>
                <w:b/>
                <w:i w:val="false"/>
                <w:caps w:val="false"/>
                <w:smallCaps w:val="false"/>
                <w:position w:val="5"/>
                <w:sz w:val="13"/>
                <w:sz w:val="16"/>
              </w:rPr>
              <w:t>(1)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4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 Paid</w:t>
              <w:br/>
              <w:t>in 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0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Distributable Loss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June 30, 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2,711,081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238,355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(133,328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105,054</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FFFFFF" w:val="clear"/>
            <w:vAlign w:val="center"/>
          </w:tcPr>
          <w:p>
            <w:pPr>
              <w:pStyle w:val="TableContents"/>
              <w:spacing w:before="0" w:after="283"/>
              <w:jc w:val="left"/>
              <w:rPr>
                <w:sz w:val="16"/>
              </w:rPr>
            </w:pPr>
            <w:r>
              <w:rPr>
                <w:sz w:val="16"/>
              </w:rPr>
              <w:t>Net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Net realized loss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(12,344</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(12,344</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21" w:type="dxa"/>
            <w:tcBorders/>
            <w:shd w:fill="FFFFFF" w:val="clear"/>
            <w:vAlign w:val="center"/>
          </w:tcPr>
          <w:p>
            <w:pPr>
              <w:pStyle w:val="TableContents"/>
              <w:spacing w:before="0" w:after="283"/>
              <w:jc w:val="left"/>
              <w:rPr>
                <w:sz w:val="16"/>
              </w:rPr>
            </w:pPr>
            <w:r>
              <w:rPr>
                <w:sz w:val="16"/>
              </w:rPr>
              <w:t>Net unrealized appreciation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14,802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14,802</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Tax provision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FFFFFF" w:val="clear"/>
            <w:vAlign w:val="center"/>
          </w:tcPr>
          <w:p>
            <w:pPr>
              <w:pStyle w:val="TableContents"/>
              <w:spacing w:before="0" w:after="283"/>
              <w:jc w:val="left"/>
              <w:rPr>
                <w:sz w:val="16"/>
              </w:rPr>
            </w:pPr>
            <w:r>
              <w:rPr>
                <w:sz w:val="16"/>
              </w:rPr>
              <w:t>Net realized gain on extinguishment of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99"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Fractional shares settled in cash as part of one-for-six reverse stock split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FFFFFF" w:val="clear"/>
            <w:vAlign w:val="center"/>
          </w:tcPr>
          <w:p>
            <w:pPr>
              <w:pStyle w:val="TableContents"/>
              <w:spacing w:before="0" w:after="283"/>
              <w:rPr>
                <w:sz w:val="16"/>
              </w:rPr>
            </w:pPr>
            <w:r>
              <w:rPr>
                <w:sz w:val="16"/>
              </w:rPr>
              <w:t>BALANCE, September 30, 2020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2,711,068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238,355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2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(129,973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108,409</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left"/>
              <w:rPr/>
            </w:pPr>
            <w:r>
              <w:rPr/>
              <w:t> </w:t>
            </w:r>
          </w:p>
        </w:tc>
        <w:tc>
          <w:tcPr>
            <w:tcW w:w="4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9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 </w:t>
            </w:r>
          </w:p>
        </w:tc>
        <w:tc>
          <w:tcPr>
            <w:tcW w:w="112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r>
      <w:tr>
        <w:trPr/>
        <w:tc>
          <w:tcPr>
            <w:tcW w:w="4821"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June 30, 2019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2,686,491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242,441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(88,605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153,863</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Net investment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2,984</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FFFFFF" w:val="clear"/>
            <w:vAlign w:val="center"/>
          </w:tcPr>
          <w:p>
            <w:pPr>
              <w:pStyle w:val="TableContents"/>
              <w:spacing w:before="0" w:after="283"/>
              <w:jc w:val="left"/>
              <w:rPr>
                <w:sz w:val="16"/>
              </w:rPr>
            </w:pPr>
            <w:r>
              <w:rPr>
                <w:sz w:val="16"/>
              </w:rPr>
              <w:t>Net realized gain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Net unrealized depreciation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(1,279</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21" w:type="dxa"/>
            <w:tcBorders/>
            <w:shd w:fill="FFFFFF" w:val="clear"/>
            <w:vAlign w:val="center"/>
          </w:tcPr>
          <w:p>
            <w:pPr>
              <w:pStyle w:val="TableContents"/>
              <w:spacing w:before="0" w:after="283"/>
              <w:jc w:val="left"/>
              <w:rPr>
                <w:sz w:val="16"/>
              </w:rPr>
            </w:pPr>
            <w:r>
              <w:rPr>
                <w:sz w:val="16"/>
              </w:rPr>
              <w:t>Tax provision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Distributions to Shareholders: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left"/>
              <w:rPr/>
            </w:pPr>
            <w:r>
              <w:rPr/>
              <w:t> </w:t>
            </w:r>
          </w:p>
        </w:tc>
        <w:tc>
          <w:tcPr>
            <w:tcW w:w="4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96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 </w:t>
            </w:r>
          </w:p>
        </w:tc>
        <w:tc>
          <w:tcPr>
            <w:tcW w:w="112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r>
      <w:tr>
        <w:trPr/>
        <w:tc>
          <w:tcPr>
            <w:tcW w:w="4821" w:type="dxa"/>
            <w:tcBorders/>
            <w:shd w:fill="FFFFFF" w:val="clear"/>
            <w:vAlign w:val="center"/>
          </w:tcPr>
          <w:p>
            <w:pPr>
              <w:pStyle w:val="TableContents"/>
              <w:spacing w:before="0" w:after="283"/>
              <w:jc w:val="left"/>
              <w:rPr>
                <w:sz w:val="16"/>
              </w:rPr>
            </w:pPr>
            <w:r>
              <w:rPr>
                <w:sz w:val="16"/>
              </w:rPr>
              <w:t>Stock issued under dividend reinvestment plan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7,022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21" w:type="dxa"/>
            <w:tcBorders/>
            <w:shd w:fill="CCEEFF" w:val="clear"/>
            <w:vAlign w:val="center"/>
          </w:tcPr>
          <w:p>
            <w:pPr>
              <w:pStyle w:val="TableContents"/>
              <w:spacing w:before="0" w:after="283"/>
              <w:jc w:val="left"/>
              <w:rPr>
                <w:sz w:val="16"/>
              </w:rPr>
            </w:pPr>
            <w:r>
              <w:rPr>
                <w:sz w:val="16"/>
              </w:rPr>
              <w:t>Distributions declared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21" w:type="dxa"/>
            <w:tcBorders/>
            <w:shd w:fill="FFFFFF" w:val="clear"/>
            <w:vAlign w:val="center"/>
          </w:tcPr>
          <w:p>
            <w:pPr>
              <w:pStyle w:val="TableContents"/>
              <w:spacing w:before="0" w:after="283"/>
              <w:rPr>
                <w:sz w:val="16"/>
              </w:rPr>
            </w:pPr>
            <w:r>
              <w:rPr>
                <w:sz w:val="16"/>
              </w:rPr>
              <w:t>BALANCE, September 30, 2019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2,693,513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242,774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2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(90,920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151,881</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4808"/>
        <w:gridCol w:w="60"/>
        <w:gridCol w:w="60"/>
        <w:gridCol w:w="740"/>
        <w:gridCol w:w="80"/>
        <w:gridCol w:w="60"/>
        <w:gridCol w:w="261"/>
        <w:gridCol w:w="477"/>
        <w:gridCol w:w="60"/>
        <w:gridCol w:w="60"/>
        <w:gridCol w:w="174"/>
        <w:gridCol w:w="967"/>
        <w:gridCol w:w="60"/>
        <w:gridCol w:w="60"/>
        <w:gridCol w:w="188"/>
        <w:gridCol w:w="1137"/>
        <w:gridCol w:w="80"/>
        <w:gridCol w:w="60"/>
        <w:gridCol w:w="110"/>
        <w:gridCol w:w="605"/>
        <w:gridCol w:w="98"/>
      </w:tblGrid>
      <w:tr>
        <w:trPr/>
        <w:tc>
          <w:tcPr>
            <w:tcW w:w="480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7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141"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jc w:val="center"/>
              <w:rPr/>
            </w:pPr>
            <w:r>
              <w:rPr/>
              <w:t> </w:t>
            </w:r>
          </w:p>
        </w:tc>
        <w:tc>
          <w:tcPr>
            <w:tcW w:w="98" w:type="dxa"/>
            <w:tcBorders/>
            <w:shd w:fill="auto" w:val="clear"/>
            <w:vAlign w:val="center"/>
          </w:tcPr>
          <w:p>
            <w:pPr>
              <w:pStyle w:val="TableContents"/>
              <w:spacing w:before="0" w:after="283"/>
              <w:rPr/>
            </w:pPr>
            <w:r>
              <w:rPr/>
              <w:t> </w:t>
            </w:r>
          </w:p>
        </w:tc>
      </w:tr>
      <w:tr>
        <w:trPr/>
        <w:tc>
          <w:tcPr>
            <w:tcW w:w="4808" w:type="dxa"/>
            <w:tcBorders/>
            <w:shd w:fill="auto" w:val="clear"/>
            <w:vAlign w:val="center"/>
          </w:tcPr>
          <w:p>
            <w:pPr>
              <w:pStyle w:val="TableContents"/>
              <w:spacing w:before="0" w:after="283"/>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Nine Months Ended September 30, 2020 and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 xml:space="preserve">Shares </w:t>
            </w:r>
            <w:r>
              <w:rPr>
                <w:rFonts w:ascii="Times New Roman;Times;Serif" w:hAnsi="Times New Roman;Times;Serif"/>
                <w:b/>
                <w:i w:val="false"/>
                <w:caps w:val="false"/>
                <w:smallCaps w:val="false"/>
                <w:position w:val="5"/>
                <w:sz w:val="13"/>
                <w:sz w:val="16"/>
              </w:rPr>
              <w:t>(1)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4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 Paid</w:t>
              <w:br/>
              <w:t>in Capital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Distributable Loss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80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2,700,628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238,021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(89,935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148,113</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Net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98"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CCEEFF" w:val="clear"/>
            <w:vAlign w:val="center"/>
          </w:tcPr>
          <w:p>
            <w:pPr>
              <w:pStyle w:val="TableContents"/>
              <w:spacing w:before="0" w:after="283"/>
              <w:jc w:val="left"/>
              <w:rPr>
                <w:sz w:val="16"/>
              </w:rPr>
            </w:pPr>
            <w:r>
              <w:rPr>
                <w:sz w:val="16"/>
              </w:rPr>
              <w:t>Net realized loss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(24,661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(24,661</w:t>
            </w:r>
          </w:p>
        </w:tc>
        <w:tc>
          <w:tcPr>
            <w:tcW w:w="98"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FFFFFF" w:val="clear"/>
            <w:vAlign w:val="center"/>
          </w:tcPr>
          <w:p>
            <w:pPr>
              <w:pStyle w:val="TableContents"/>
              <w:spacing w:before="0" w:after="283"/>
              <w:jc w:val="left"/>
              <w:rPr>
                <w:sz w:val="16"/>
              </w:rPr>
            </w:pPr>
            <w:r>
              <w:rPr>
                <w:sz w:val="16"/>
              </w:rPr>
              <w:t>Net unrealized depreciation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(11,599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(11,599</w:t>
            </w:r>
          </w:p>
        </w:tc>
        <w:tc>
          <w:tcPr>
            <w:tcW w:w="98"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CCEEFF" w:val="clear"/>
            <w:vAlign w:val="center"/>
          </w:tcPr>
          <w:p>
            <w:pPr>
              <w:pStyle w:val="TableContents"/>
              <w:spacing w:before="0" w:after="283"/>
              <w:jc w:val="left"/>
              <w:rPr>
                <w:sz w:val="16"/>
              </w:rPr>
            </w:pPr>
            <w:r>
              <w:rPr>
                <w:sz w:val="16"/>
              </w:rPr>
              <w:t>Tax provision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Net realized gain on extinguishment of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98"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CCEEFF" w:val="clear"/>
            <w:vAlign w:val="center"/>
          </w:tcPr>
          <w:p>
            <w:pPr>
              <w:pStyle w:val="TableContents"/>
              <w:spacing w:before="0" w:after="283"/>
              <w:jc w:val="left"/>
              <w:rPr>
                <w:sz w:val="16"/>
              </w:rPr>
            </w:pPr>
            <w:r>
              <w:rPr>
                <w:sz w:val="16"/>
              </w:rPr>
              <w:t>Fractional shares settled in cash as part of one-for-six reverse stock split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Distributions to Shareholders: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47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3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ind w:left="0" w:right="0" w:hanging="180"/>
              <w:jc w:val="left"/>
              <w:rPr/>
            </w:pPr>
            <w:r>
              <w:rPr/>
              <w:t> </w:t>
            </w:r>
          </w:p>
        </w:tc>
      </w:tr>
      <w:tr>
        <w:trPr/>
        <w:tc>
          <w:tcPr>
            <w:tcW w:w="4808" w:type="dxa"/>
            <w:tcBorders/>
            <w:shd w:fill="CCEEFF" w:val="clear"/>
            <w:vAlign w:val="center"/>
          </w:tcPr>
          <w:p>
            <w:pPr>
              <w:pStyle w:val="TableContents"/>
              <w:spacing w:before="0" w:after="283"/>
              <w:jc w:val="left"/>
              <w:rPr>
                <w:sz w:val="16"/>
              </w:rPr>
            </w:pPr>
            <w:r>
              <w:rPr>
                <w:sz w:val="16"/>
              </w:rPr>
              <w:t>Stock issued under dividend reinvestment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10,453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Distributions declared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(4,053</w:t>
            </w:r>
          </w:p>
        </w:tc>
        <w:tc>
          <w:tcPr>
            <w:tcW w:w="9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CCEEFF" w:val="clear"/>
            <w:vAlign w:val="center"/>
          </w:tcPr>
          <w:p>
            <w:pPr>
              <w:pStyle w:val="TableContents"/>
              <w:spacing w:before="0" w:after="283"/>
              <w:rPr>
                <w:sz w:val="16"/>
              </w:rPr>
            </w:pPr>
            <w:r>
              <w:rPr>
                <w:sz w:val="16"/>
              </w:rPr>
              <w:t>BALANCE, September 30, 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2,711,068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238,355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3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(129,973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108,409</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47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3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r>
      <w:tr>
        <w:trPr/>
        <w:tc>
          <w:tcPr>
            <w:tcW w:w="480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2018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2,675,258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241,891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(51,274</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190,644</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Net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11,141</w:t>
            </w:r>
          </w:p>
        </w:tc>
        <w:tc>
          <w:tcPr>
            <w:tcW w:w="98"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CCEEFF" w:val="clear"/>
            <w:vAlign w:val="center"/>
          </w:tcPr>
          <w:p>
            <w:pPr>
              <w:pStyle w:val="TableContents"/>
              <w:spacing w:before="0" w:after="283"/>
              <w:jc w:val="left"/>
              <w:rPr>
                <w:sz w:val="16"/>
              </w:rPr>
            </w:pPr>
            <w:r>
              <w:rPr>
                <w:sz w:val="16"/>
              </w:rPr>
              <w:t>Net realized loss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(20,912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(20,912</w:t>
            </w:r>
          </w:p>
        </w:tc>
        <w:tc>
          <w:tcPr>
            <w:tcW w:w="98"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FFFFFF" w:val="clear"/>
            <w:vAlign w:val="center"/>
          </w:tcPr>
          <w:p>
            <w:pPr>
              <w:pStyle w:val="TableContents"/>
              <w:spacing w:before="0" w:after="283"/>
              <w:jc w:val="left"/>
              <w:rPr>
                <w:sz w:val="16"/>
              </w:rPr>
            </w:pPr>
            <w:r>
              <w:rPr>
                <w:sz w:val="16"/>
              </w:rPr>
              <w:t>Net unrealized depreciation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(17,179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(17,179</w:t>
            </w:r>
          </w:p>
        </w:tc>
        <w:tc>
          <w:tcPr>
            <w:tcW w:w="98"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CCEEFF" w:val="clear"/>
            <w:vAlign w:val="center"/>
          </w:tcPr>
          <w:p>
            <w:pPr>
              <w:pStyle w:val="TableContents"/>
              <w:spacing w:before="0" w:after="283"/>
              <w:jc w:val="left"/>
              <w:rPr>
                <w:sz w:val="16"/>
              </w:rPr>
            </w:pPr>
            <w:r>
              <w:rPr>
                <w:sz w:val="16"/>
              </w:rPr>
              <w:t>Tax provision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w:t>
            </w:r>
          </w:p>
        </w:tc>
        <w:tc>
          <w:tcPr>
            <w:tcW w:w="98"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FFFFFF" w:val="clear"/>
            <w:vAlign w:val="center"/>
          </w:tcPr>
          <w:p>
            <w:pPr>
              <w:pStyle w:val="TableContents"/>
              <w:spacing w:before="0" w:after="283"/>
              <w:jc w:val="left"/>
              <w:rPr>
                <w:sz w:val="16"/>
              </w:rPr>
            </w:pPr>
            <w:r>
              <w:rPr>
                <w:sz w:val="16"/>
              </w:rPr>
              <w:t>Distributions to Shareholders: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47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3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ind w:left="0" w:right="0" w:hanging="180"/>
              <w:jc w:val="left"/>
              <w:rPr/>
            </w:pPr>
            <w:r>
              <w:rPr/>
              <w:t> </w:t>
            </w:r>
          </w:p>
        </w:tc>
      </w:tr>
      <w:tr>
        <w:trPr/>
        <w:tc>
          <w:tcPr>
            <w:tcW w:w="4808" w:type="dxa"/>
            <w:tcBorders/>
            <w:shd w:fill="CCEEFF" w:val="clear"/>
            <w:vAlign w:val="center"/>
          </w:tcPr>
          <w:p>
            <w:pPr>
              <w:pStyle w:val="TableContents"/>
              <w:spacing w:before="0" w:after="283"/>
              <w:jc w:val="left"/>
              <w:rPr>
                <w:sz w:val="16"/>
              </w:rPr>
            </w:pPr>
            <w:r>
              <w:rPr>
                <w:sz w:val="16"/>
              </w:rPr>
              <w:t>Stock issued under dividend reinvestment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18,255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883</w:t>
            </w:r>
          </w:p>
        </w:tc>
        <w:tc>
          <w:tcPr>
            <w:tcW w:w="98"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4808" w:type="dxa"/>
            <w:tcBorders/>
            <w:shd w:fill="FFFFFF" w:val="clear"/>
            <w:vAlign w:val="center"/>
          </w:tcPr>
          <w:p>
            <w:pPr>
              <w:pStyle w:val="TableContents"/>
              <w:spacing w:before="0" w:after="283"/>
              <w:jc w:val="left"/>
              <w:rPr>
                <w:sz w:val="16"/>
              </w:rPr>
            </w:pPr>
            <w:r>
              <w:rPr>
                <w:sz w:val="16"/>
              </w:rPr>
              <w:t>Distributions declared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(12,068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(12,068</w:t>
            </w:r>
          </w:p>
        </w:tc>
        <w:tc>
          <w:tcPr>
            <w:tcW w:w="9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80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September 30,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2,693,513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242,774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3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(90,920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151,881</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spacing w:before="0" w:after="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Shares of Capitala Finance Corp.'s common stock have been adjusted for the periods shown to reflect the one-for-six reverse stock split effected on August 21, 2020 on a retroactive basis, as described in Note 1.</w:t>
      </w:r>
    </w:p>
    <w:p>
      <w:pPr>
        <w:pStyle w:val="TextBody"/>
        <w:spacing w:before="0" w:after="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7" w:name="s_019"/>
      <w:bookmarkEnd w:id="7"/>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(in thousands) </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(unaudited) </w:t>
      </w:r>
    </w:p>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872"/>
        <w:gridCol w:w="60"/>
        <w:gridCol w:w="160"/>
        <w:gridCol w:w="837"/>
        <w:gridCol w:w="102"/>
        <w:gridCol w:w="76"/>
        <w:gridCol w:w="160"/>
        <w:gridCol w:w="837"/>
        <w:gridCol w:w="101"/>
      </w:tblGrid>
      <w:tr>
        <w:trPr/>
        <w:tc>
          <w:tcPr>
            <w:tcW w:w="787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7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br/>
              <w:t>September 30,</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87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102" w:type="dxa"/>
            <w:tcBorders/>
            <w:shd w:fill="auto" w:val="clear"/>
            <w:vAlign w:val="center"/>
          </w:tcPr>
          <w:p>
            <w:pPr>
              <w:pStyle w:val="TableContents"/>
              <w:spacing w:before="0" w:after="283"/>
              <w:rPr>
                <w:caps w:val="false"/>
                <w:smallCaps w:val="false"/>
              </w:rPr>
            </w:pPr>
            <w:r>
              <w:rPr>
                <w:caps w:val="false"/>
                <w:smallCaps w:val="false"/>
              </w:rPr>
              <w:t> </w:t>
            </w:r>
          </w:p>
        </w:tc>
        <w:tc>
          <w:tcPr>
            <w:tcW w:w="76" w:type="dxa"/>
            <w:tcBorders/>
            <w:shd w:fill="auto" w:val="clear"/>
            <w:vAlign w:val="center"/>
          </w:tcPr>
          <w:p>
            <w:pPr>
              <w:pStyle w:val="TableContents"/>
              <w:spacing w:before="0" w:after="283"/>
              <w:rPr>
                <w:caps w:val="false"/>
                <w:smallCaps w:val="false"/>
              </w:rPr>
            </w:pPr>
            <w:r>
              <w:rPr>
                <w:caps w:val="false"/>
                <w:smallCaps w:val="false"/>
              </w:rPr>
              <w:t> </w:t>
            </w:r>
          </w:p>
        </w:tc>
        <w:tc>
          <w:tcPr>
            <w:tcW w:w="99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ind w:left="0" w:right="0" w:hanging="180"/>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net assets resulting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(35,985</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(27,578</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decrease in net assets resulting from operations to net cash provided by operating activities: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r>
      <w:tr>
        <w:trPr/>
        <w:tc>
          <w:tcPr>
            <w:tcW w:w="787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(21,070</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(48,785</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and sales of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69,157</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24,661</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on extinguishment of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depreciation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17,179</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Payment-in-kind interest and dividends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financing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1,579</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provision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and incentive fees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fees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settlement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6,442</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46,279</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60,472</w:t>
            </w:r>
          </w:p>
        </w:tc>
        <w:tc>
          <w:tcPr>
            <w:tcW w:w="10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2"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1" w:type="dxa"/>
            <w:tcBorders/>
            <w:shd w:fill="FFFFFF" w:val="clear"/>
            <w:vAlign w:val="center"/>
          </w:tcPr>
          <w:p>
            <w:pPr>
              <w:pStyle w:val="TableContents"/>
              <w:spacing w:before="0" w:after="283"/>
              <w:jc w:val="left"/>
              <w:rPr/>
            </w:pPr>
            <w:r>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ind w:left="0" w:right="0" w:hanging="180"/>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Paydowns on SBA debentures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(59,000</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(15,700</w:t>
            </w:r>
          </w:p>
        </w:tc>
        <w:tc>
          <w:tcPr>
            <w:tcW w:w="10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2022 Notes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(1,980</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Credit Facility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10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on Credit Facility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101"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to shareholders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(11,185</w:t>
            </w:r>
          </w:p>
        </w:tc>
        <w:tc>
          <w:tcPr>
            <w:tcW w:w="10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fees paid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10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(64,913</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(36,991</w:t>
            </w:r>
          </w:p>
        </w:tc>
        <w:tc>
          <w:tcPr>
            <w:tcW w:w="101"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(18,634</w:t>
            </w:r>
          </w:p>
        </w:tc>
        <w:tc>
          <w:tcPr>
            <w:tcW w:w="10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23,481</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beginning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62,321</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39,295</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43,687</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62,776</w:t>
            </w:r>
          </w:p>
        </w:tc>
        <w:tc>
          <w:tcPr>
            <w:tcW w:w="101"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8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CASH FLOW INFORMATION</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2"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1" w:type="dxa"/>
            <w:tcBorders/>
            <w:shd w:fill="FFFFFF" w:val="clear"/>
            <w:vAlign w:val="center"/>
          </w:tcPr>
          <w:p>
            <w:pPr>
              <w:pStyle w:val="TableContents"/>
              <w:spacing w:before="0" w:after="283"/>
              <w:ind w:left="0" w:right="0" w:hanging="180"/>
              <w:jc w:val="left"/>
              <w:rPr/>
            </w:pPr>
            <w:r>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10,964</w:t>
            </w:r>
          </w:p>
        </w:tc>
        <w:tc>
          <w:tcPr>
            <w:tcW w:w="10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11,906</w:t>
            </w:r>
          </w:p>
        </w:tc>
        <w:tc>
          <w:tcPr>
            <w:tcW w:w="101"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87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2" w:type="dxa"/>
            <w:tcBorders/>
            <w:shd w:fill="FFFFFF" w:val="clear"/>
            <w:vAlign w:val="center"/>
          </w:tcPr>
          <w:p>
            <w:pPr>
              <w:pStyle w:val="TableContents"/>
              <w:spacing w:before="0" w:after="283"/>
              <w:jc w:val="left"/>
              <w:rPr/>
            </w:pPr>
            <w:r>
              <w:rPr/>
              <w:t> </w:t>
            </w:r>
          </w:p>
        </w:tc>
        <w:tc>
          <w:tcPr>
            <w:tcW w:w="7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jc w:val="left"/>
              <w:rPr/>
            </w:pPr>
            <w:r>
              <w:rPr/>
              <w:t> </w:t>
            </w:r>
          </w:p>
        </w:tc>
        <w:tc>
          <w:tcPr>
            <w:tcW w:w="837" w:type="dxa"/>
            <w:tcBorders/>
            <w:shd w:fill="FFFFFF" w:val="clear"/>
            <w:vAlign w:val="center"/>
          </w:tcPr>
          <w:p>
            <w:pPr>
              <w:pStyle w:val="TableContents"/>
              <w:spacing w:before="0" w:after="283"/>
              <w:jc w:val="right"/>
              <w:rPr/>
            </w:pPr>
            <w:r>
              <w:rPr/>
              <w:t> </w:t>
            </w:r>
          </w:p>
        </w:tc>
        <w:tc>
          <w:tcPr>
            <w:tcW w:w="101" w:type="dxa"/>
            <w:tcBorders/>
            <w:shd w:fill="FFFFFF" w:val="clear"/>
            <w:vAlign w:val="center"/>
          </w:tcPr>
          <w:p>
            <w:pPr>
              <w:pStyle w:val="TableContents"/>
              <w:spacing w:before="0" w:after="283"/>
              <w:jc w:val="left"/>
              <w:rPr/>
            </w:pPr>
            <w:r>
              <w:rPr/>
              <w:t> </w:t>
            </w:r>
          </w:p>
        </w:tc>
      </w:tr>
      <w:tr>
        <w:trPr/>
        <w:tc>
          <w:tcPr>
            <w:tcW w:w="78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NON-CASH INVESTING AND FINANCING TRANSACTIONS</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2"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837"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ind w:left="0" w:right="0" w:hanging="180"/>
              <w:jc w:val="left"/>
              <w:rPr/>
            </w:pPr>
            <w:r>
              <w:rPr/>
              <w:t> </w:t>
            </w:r>
          </w:p>
        </w:tc>
      </w:tr>
      <w:tr>
        <w:trPr/>
        <w:tc>
          <w:tcPr>
            <w:tcW w:w="78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through dividend reinvestment plan share issuances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10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8" w:name="x_013"/>
      <w:bookmarkEnd w:id="8"/>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rPr/>
      </w:pPr>
      <w:r>
        <w:rPr/>
        <w:t> </w:t>
      </w:r>
    </w:p>
    <w:tbl>
      <w:tblPr>
        <w:tblW w:w="10205" w:type="dxa"/>
        <w:jc w:val="left"/>
        <w:tblInd w:w="0" w:type="dxa"/>
        <w:tblCellMar>
          <w:top w:w="0" w:type="dxa"/>
          <w:left w:w="0" w:type="dxa"/>
          <w:bottom w:w="0" w:type="dxa"/>
          <w:right w:w="0" w:type="dxa"/>
        </w:tblCellMar>
      </w:tblPr>
      <w:tblGrid>
        <w:gridCol w:w="3245"/>
        <w:gridCol w:w="60"/>
        <w:gridCol w:w="929"/>
        <w:gridCol w:w="60"/>
        <w:gridCol w:w="2575"/>
        <w:gridCol w:w="60"/>
        <w:gridCol w:w="119"/>
        <w:gridCol w:w="561"/>
        <w:gridCol w:w="60"/>
        <w:gridCol w:w="60"/>
        <w:gridCol w:w="110"/>
        <w:gridCol w:w="515"/>
        <w:gridCol w:w="60"/>
        <w:gridCol w:w="60"/>
        <w:gridCol w:w="132"/>
        <w:gridCol w:w="624"/>
        <w:gridCol w:w="60"/>
        <w:gridCol w:w="60"/>
        <w:gridCol w:w="103"/>
        <w:gridCol w:w="578"/>
        <w:gridCol w:w="174"/>
      </w:tblGrid>
      <w:tr>
        <w:trPr/>
        <w:tc>
          <w:tcPr>
            <w:tcW w:w="10205" w:type="dxa"/>
            <w:gridSpan w:val="21"/>
            <w:tcBorders/>
            <w:shd w:fill="auto" w:val="clear"/>
            <w:vAlign w:val="center"/>
          </w:tcPr>
          <w:p>
            <w:pPr>
              <w:pStyle w:val="TableContents"/>
              <w:spacing w:before="0" w:after="283"/>
              <w:rPr/>
            </w:pPr>
            <w:r>
              <w:rPr/>
              <w:t> </w:t>
            </w:r>
          </w:p>
        </w:tc>
      </w:tr>
      <w:tr>
        <w:trPr/>
        <w:tc>
          <w:tcPr>
            <w:tcW w:w="324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r>
              <w:rPr>
                <w:rFonts w:ascii="Times New Roman;Times;Serif" w:hAnsi="Times New Roman;Times;Serif"/>
                <w:b/>
                <w:i w:val="false"/>
                <w:caps w:val="false"/>
                <w:smallCaps w:val="false"/>
                <w:sz w:val="16"/>
              </w:rPr>
              <w:t xml:space="preserve">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2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57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Non-control/non-affiliated investments - 170.9%</w:t>
            </w:r>
          </w:p>
        </w:tc>
        <w:tc>
          <w:tcPr>
            <w:tcW w:w="60" w:type="dxa"/>
            <w:tcBorders/>
            <w:shd w:fill="CCEEFF" w:val="clear"/>
            <w:vAlign w:val="center"/>
          </w:tcPr>
          <w:p>
            <w:pPr>
              <w:pStyle w:val="TableContents"/>
              <w:spacing w:before="0" w:after="283"/>
              <w:rPr/>
            </w:pPr>
            <w:r>
              <w:rPr/>
              <w:t> </w:t>
            </w:r>
          </w:p>
        </w:tc>
        <w:tc>
          <w:tcPr>
            <w:tcW w:w="92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7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right"/>
              <w:rPr/>
            </w:pPr>
            <w:r>
              <w:rPr/>
              <w:t> </w:t>
            </w:r>
          </w:p>
        </w:tc>
        <w:tc>
          <w:tcPr>
            <w:tcW w:w="5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right"/>
              <w:rPr/>
            </w:pPr>
            <w:r>
              <w:rPr/>
              <w:t> </w:t>
            </w:r>
          </w:p>
        </w:tc>
        <w:tc>
          <w:tcPr>
            <w:tcW w:w="6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174" w:type="dxa"/>
            <w:tcBorders/>
            <w:shd w:fill="CCEEFF" w:val="clear"/>
            <w:vAlign w:val="center"/>
          </w:tcPr>
          <w:p>
            <w:pPr>
              <w:pStyle w:val="TableContents"/>
              <w:spacing w:before="0" w:after="283"/>
              <w:jc w:val="left"/>
              <w:rPr/>
            </w:pPr>
            <w:r>
              <w:rPr/>
              <w:t> </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right"/>
              <w:rPr/>
            </w:pPr>
            <w:r>
              <w:rPr/>
              <w:t> </w:t>
            </w:r>
          </w:p>
        </w:tc>
        <w:tc>
          <w:tcPr>
            <w:tcW w:w="51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righ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174" w:type="dxa"/>
            <w:tcBorders/>
            <w:shd w:fill="FFFFFF" w:val="clear"/>
            <w:vAlign w:val="center"/>
          </w:tcPr>
          <w:p>
            <w:pPr>
              <w:pStyle w:val="TableContents"/>
              <w:spacing w:before="0" w:after="283"/>
              <w:jc w:val="left"/>
              <w:rPr/>
            </w:pPr>
            <w:r>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Non-control/non-affiliated investments - United States</w:t>
            </w:r>
          </w:p>
        </w:tc>
        <w:tc>
          <w:tcPr>
            <w:tcW w:w="60" w:type="dxa"/>
            <w:tcBorders/>
            <w:shd w:fill="CCEEFF" w:val="clear"/>
            <w:vAlign w:val="center"/>
          </w:tcPr>
          <w:p>
            <w:pPr>
              <w:pStyle w:val="TableContents"/>
              <w:spacing w:before="0" w:after="283"/>
              <w:rPr/>
            </w:pPr>
            <w:r>
              <w:rPr/>
              <w:t> </w:t>
            </w:r>
          </w:p>
        </w:tc>
        <w:tc>
          <w:tcPr>
            <w:tcW w:w="92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7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right"/>
              <w:rPr/>
            </w:pPr>
            <w:r>
              <w:rPr/>
              <w:t> </w:t>
            </w:r>
          </w:p>
        </w:tc>
        <w:tc>
          <w:tcPr>
            <w:tcW w:w="5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right"/>
              <w:rPr/>
            </w:pPr>
            <w:r>
              <w:rPr/>
              <w:t> </w:t>
            </w:r>
          </w:p>
        </w:tc>
        <w:tc>
          <w:tcPr>
            <w:tcW w:w="6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578" w:type="dxa"/>
            <w:tcBorders/>
            <w:shd w:fill="CCEEFF" w:val="clear"/>
            <w:vAlign w:val="center"/>
          </w:tcPr>
          <w:p>
            <w:pPr>
              <w:pStyle w:val="TableContents"/>
              <w:spacing w:before="0" w:after="283"/>
              <w:jc w:val="right"/>
              <w:rPr/>
            </w:pPr>
            <w:r>
              <w:rPr/>
              <w:t> </w:t>
            </w:r>
          </w:p>
        </w:tc>
        <w:tc>
          <w:tcPr>
            <w:tcW w:w="174" w:type="dxa"/>
            <w:tcBorders/>
            <w:shd w:fill="CCEEFF" w:val="clear"/>
            <w:vAlign w:val="center"/>
          </w:tcPr>
          <w:p>
            <w:pPr>
              <w:pStyle w:val="TableContents"/>
              <w:spacing w:before="0" w:after="283"/>
              <w:jc w:val="left"/>
              <w:rPr/>
            </w:pPr>
            <w:r>
              <w:rPr/>
              <w:t> </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right"/>
              <w:rPr/>
            </w:pPr>
            <w:r>
              <w:rPr/>
              <w:t> </w:t>
            </w:r>
          </w:p>
        </w:tc>
        <w:tc>
          <w:tcPr>
            <w:tcW w:w="51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righ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174" w:type="dxa"/>
            <w:tcBorders/>
            <w:shd w:fill="FFFFFF" w:val="clear"/>
            <w:vAlign w:val="center"/>
          </w:tcPr>
          <w:p>
            <w:pPr>
              <w:pStyle w:val="TableContents"/>
              <w:spacing w:before="0" w:after="283"/>
              <w:jc w:val="left"/>
              <w:rPr/>
            </w:pPr>
            <w:r>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(13.0% Cash, Due 12/4/22)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right"/>
              <w:rPr/>
            </w:pPr>
            <w:r>
              <w:rPr/>
              <w:t> </w:t>
            </w:r>
          </w:p>
        </w:tc>
        <w:tc>
          <w:tcPr>
            <w:tcW w:w="51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righ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174" w:type="dxa"/>
            <w:tcBorders/>
            <w:shd w:fill="FFFFFF" w:val="clear"/>
            <w:vAlign w:val="center"/>
          </w:tcPr>
          <w:p>
            <w:pPr>
              <w:pStyle w:val="TableContents"/>
              <w:spacing w:before="0" w:after="283"/>
              <w:jc w:val="left"/>
              <w:rPr/>
            </w:pPr>
            <w:r>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(965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right"/>
              <w:rPr/>
            </w:pPr>
            <w:r>
              <w:rPr/>
              <w:t> </w:t>
            </w:r>
          </w:p>
        </w:tc>
        <w:tc>
          <w:tcPr>
            <w:tcW w:w="51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righ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578" w:type="dxa"/>
            <w:tcBorders/>
            <w:shd w:fill="FFFFFF" w:val="clear"/>
            <w:vAlign w:val="center"/>
          </w:tcPr>
          <w:p>
            <w:pPr>
              <w:pStyle w:val="TableContents"/>
              <w:spacing w:before="0" w:after="283"/>
              <w:jc w:val="right"/>
              <w:rPr/>
            </w:pPr>
            <w:r>
              <w:rPr/>
              <w:t> </w:t>
            </w:r>
          </w:p>
        </w:tc>
        <w:tc>
          <w:tcPr>
            <w:tcW w:w="174" w:type="dxa"/>
            <w:tcBorders/>
            <w:shd w:fill="FFFFFF" w:val="clear"/>
            <w:vAlign w:val="center"/>
          </w:tcPr>
          <w:p>
            <w:pPr>
              <w:pStyle w:val="TableContents"/>
              <w:spacing w:before="0" w:after="283"/>
              <w:jc w:val="left"/>
              <w:rPr/>
            </w:pPr>
            <w:r>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(39,000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13,541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13,422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w:t>
            </w:r>
          </w:p>
        </w:tc>
        <w:tc>
          <w:tcPr>
            <w:tcW w:w="1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(8.0% Cash, Due 12/18/22)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A Preferred Units (13,014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B Preferred Units (45,255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3,943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C Preferred Units (78,900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(20,092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Warrant (49,295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13,137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12,088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1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American Clinical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(7.0% Cash, Due 12/31/22)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American Clinical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(7.0% Cash, Due 10/13/20)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5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2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American Clinical Solutions,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Membership Units (6,030,384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righ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righ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6,948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6,998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1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32"/>
        <w:gridCol w:w="60"/>
        <w:gridCol w:w="1868"/>
        <w:gridCol w:w="60"/>
        <w:gridCol w:w="3228"/>
        <w:gridCol w:w="60"/>
        <w:gridCol w:w="119"/>
        <w:gridCol w:w="561"/>
        <w:gridCol w:w="60"/>
        <w:gridCol w:w="60"/>
        <w:gridCol w:w="110"/>
        <w:gridCol w:w="515"/>
        <w:gridCol w:w="60"/>
        <w:gridCol w:w="60"/>
        <w:gridCol w:w="121"/>
        <w:gridCol w:w="570"/>
        <w:gridCol w:w="60"/>
        <w:gridCol w:w="60"/>
        <w:gridCol w:w="86"/>
        <w:gridCol w:w="483"/>
        <w:gridCol w:w="172"/>
      </w:tblGrid>
      <w:tr>
        <w:trPr/>
        <w:tc>
          <w:tcPr>
            <w:tcW w:w="10205" w:type="dxa"/>
            <w:gridSpan w:val="21"/>
            <w:tcBorders/>
            <w:shd w:fill="auto" w:val="clear"/>
            <w:vAlign w:val="center"/>
          </w:tcPr>
          <w:p>
            <w:pPr>
              <w:pStyle w:val="TableContents"/>
              <w:spacing w:before="0" w:after="283"/>
              <w:rPr/>
            </w:pPr>
            <w:r>
              <w:rPr/>
              <w:t> </w:t>
            </w:r>
          </w:p>
        </w:tc>
      </w:tr>
      <w:tr>
        <w:trPr/>
        <w:tc>
          <w:tcPr>
            <w:tcW w:w="1832"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68"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28"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6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2"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AmeriMark Direct,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 Products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(14.5% Cash, 1.3% PIK, Due 9/8/21)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BigMouth,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 Products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(9.0% Cash (1 month LIBOR + 8.5%, 0.5% Floor), Due 11/14/21) </w:t>
            </w:r>
            <w:r>
              <w:rPr>
                <w:rFonts w:ascii="Times New Roman;Times;Serif" w:hAnsi="Times New Roman;Times;Serif"/>
                <w:b w:val="false"/>
                <w:i w:val="false"/>
                <w:caps w:val="false"/>
                <w:smallCaps w:val="false"/>
                <w:position w:val="5"/>
                <w:sz w:val="13"/>
                <w:sz w:val="16"/>
              </w:rPr>
              <w:t>(6)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BLST Operating Company,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Online Merchandise Retailer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(10.0% (1 month LIBOR + 8.5%, 1.5% Floor), Due 8/28/25) </w:t>
            </w:r>
            <w:r>
              <w:rPr>
                <w:rFonts w:ascii="Times New Roman;Times;Serif" w:hAnsi="Times New Roman;Times;Serif"/>
                <w:b w:val="false"/>
                <w:i w:val="false"/>
                <w:caps w:val="false"/>
                <w:smallCaps w:val="false"/>
                <w:position w:val="5"/>
                <w:sz w:val="13"/>
                <w:sz w:val="16"/>
              </w:rPr>
              <w:t>(7)</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BLST Operating Company,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Online Merchandise Retailer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Common Units (217,013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Burke America Parts Group,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Home Repair Parts Manufacturer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(14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Chicken Soup for the Soul,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Multi-platform media and consumer products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(10.0% Cash (1 month LIBOR + 8.5%, 1.5% Floor), Due 12/13/20)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(8.6% Cash (1 month LIBOR + 7.0%, 1.6% Floor), Due 11/8/24) </w:t>
            </w:r>
            <w:r>
              <w:rPr>
                <w:rFonts w:ascii="Times New Roman;Times;Serif" w:hAnsi="Times New Roman;Times;Serif"/>
                <w:b w:val="false"/>
                <w:i w:val="false"/>
                <w:caps w:val="false"/>
                <w:smallCaps w:val="false"/>
                <w:position w:val="5"/>
                <w:sz w:val="13"/>
                <w:sz w:val="16"/>
              </w:rPr>
              <w:t>(6)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Units (34,740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B Common Units (3,510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CIS Secure Computing,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(9.5% Cash (1 month LIBOR + 8.5%, 1.0% Floor), 1.0% PIK, Due 9/14/22)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CIS Secure Computing,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(46,163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11,041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Corporate Visions,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&amp; Marketing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(11.0%, Due 11/29/21) </w:t>
            </w:r>
            <w:r>
              <w:rPr>
                <w:rFonts w:ascii="Times New Roman;Times;Serif" w:hAnsi="Times New Roman;Times;Serif"/>
                <w:b w:val="false"/>
                <w:i w:val="false"/>
                <w:caps w:val="false"/>
                <w:smallCaps w:val="false"/>
                <w:position w:val="5"/>
                <w:sz w:val="13"/>
                <w:sz w:val="16"/>
              </w:rPr>
              <w:t>(8)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19,425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19,425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19,402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Corporate Visions,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&amp; Marketing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(15,750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20,377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8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w:t>
            </w:r>
          </w:p>
        </w:tc>
        <w:tc>
          <w:tcPr>
            <w:tcW w:w="17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Currency Capital,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(12.5% Cash (1 month LIBOR + 12.0%, 0.5% Floor), 4.0% PIK, Due 7/20/21) </w:t>
            </w:r>
            <w:r>
              <w:rPr>
                <w:rFonts w:ascii="Times New Roman;Times;Serif" w:hAnsi="Times New Roman;Times;Serif"/>
                <w:b w:val="false"/>
                <w:i w:val="false"/>
                <w:caps w:val="false"/>
                <w:smallCaps w:val="false"/>
                <w:position w:val="5"/>
                <w:sz w:val="13"/>
                <w:sz w:val="16"/>
              </w:rPr>
              <w:t>(9)(10)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16,158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w:t>
            </w:r>
          </w:p>
        </w:tc>
        <w:tc>
          <w:tcPr>
            <w:tcW w:w="17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77"/>
        <w:gridCol w:w="60"/>
        <w:gridCol w:w="1521"/>
        <w:gridCol w:w="60"/>
        <w:gridCol w:w="3309"/>
        <w:gridCol w:w="60"/>
        <w:gridCol w:w="124"/>
        <w:gridCol w:w="556"/>
        <w:gridCol w:w="60"/>
        <w:gridCol w:w="60"/>
        <w:gridCol w:w="95"/>
        <w:gridCol w:w="515"/>
        <w:gridCol w:w="60"/>
        <w:gridCol w:w="60"/>
        <w:gridCol w:w="108"/>
        <w:gridCol w:w="590"/>
        <w:gridCol w:w="60"/>
        <w:gridCol w:w="60"/>
        <w:gridCol w:w="90"/>
        <w:gridCol w:w="506"/>
        <w:gridCol w:w="174"/>
      </w:tblGrid>
      <w:tr>
        <w:trPr/>
        <w:tc>
          <w:tcPr>
            <w:tcW w:w="10205" w:type="dxa"/>
            <w:gridSpan w:val="21"/>
            <w:tcBorders/>
            <w:shd w:fill="auto" w:val="clear"/>
            <w:vAlign w:val="center"/>
          </w:tcPr>
          <w:p>
            <w:pPr>
              <w:pStyle w:val="TableContents"/>
              <w:spacing w:before="0" w:after="283"/>
              <w:rPr/>
            </w:pPr>
            <w:r>
              <w:rPr/>
              <w:t> </w:t>
            </w:r>
          </w:p>
        </w:tc>
      </w:tr>
      <w:tr>
        <w:trPr/>
        <w:tc>
          <w:tcPr>
            <w:tcW w:w="2077"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21"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0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9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Currency Capital,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Preferred Units (2,000,000 units) </w:t>
            </w:r>
            <w:r>
              <w:rPr>
                <w:rFonts w:ascii="Times New Roman;Times;Serif" w:hAnsi="Times New Roman;Times;Serif"/>
                <w:b w:val="false"/>
                <w:i w:val="false"/>
                <w:caps w:val="false"/>
                <w:smallCaps w:val="false"/>
                <w:position w:val="5"/>
                <w:sz w:val="13"/>
                <w:sz w:val="16"/>
              </w:rPr>
              <w:t>(9)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18,334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17,126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Freedom Electronics,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Electronic Machine Repair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(7.0% Cash (1 month LIBOR + 5.0%, 2.0% Floor), Due 12/20/23)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Freedom Electronics,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Electronic Machine Repair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(8.7% Cash, Due 12/20/23) </w:t>
            </w:r>
            <w:r>
              <w:rPr>
                <w:rFonts w:ascii="Times New Roman;Times;Serif" w:hAnsi="Times New Roman;Times;Serif"/>
                <w:b w:val="false"/>
                <w:i w:val="false"/>
                <w:caps w:val="false"/>
                <w:smallCaps w:val="false"/>
                <w:position w:val="5"/>
                <w:sz w:val="13"/>
                <w:sz w:val="16"/>
              </w:rPr>
              <w:t>(11)(12)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Freedom Electronics,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Electronic Machine Repair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(181,818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8,764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8,658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HUMC Opco,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(9.0% Cash, Due 11/16/20) </w:t>
            </w:r>
            <w:r>
              <w:rPr>
                <w:rFonts w:ascii="Times New Roman;Times;Serif" w:hAnsi="Times New Roman;Times;Serif"/>
                <w:b w:val="false"/>
                <w:i w:val="false"/>
                <w:caps w:val="false"/>
                <w:smallCaps w:val="false"/>
                <w:position w:val="5"/>
                <w:sz w:val="13"/>
                <w:sz w:val="16"/>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J5 Infrastructure Partners,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Wireless Deployment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(8.3% Cash (1 month LIBOR + 6.5%, 1.8% Floor), Due 12/20/24) </w:t>
            </w:r>
            <w:r>
              <w:rPr>
                <w:rFonts w:ascii="Times New Roman;Times;Serif" w:hAnsi="Times New Roman;Times;Serif"/>
                <w:b w:val="false"/>
                <w:i w:val="false"/>
                <w:caps w:val="false"/>
                <w:smallCaps w:val="false"/>
                <w:position w:val="5"/>
                <w:sz w:val="13"/>
                <w:sz w:val="16"/>
              </w:rPr>
              <w:t>(13)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J5 Infrastructure Partners,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Wireless Deployment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(8.3% Cash (1 month LIBOR + 6.5%, 1.8% Floor), Due 12/20/24)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6,965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Jurassic Quest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Entertainment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(9.5% Cash (1 month LIBOR + 7.5%, 2.0% Floor), Due 5/1/24)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9,665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9,665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Jurassic Quest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Entertainment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(467,784 units)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10,145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9,737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MicroHoldco,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Industrial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(838,042 units) </w:t>
            </w:r>
            <w:r>
              <w:rPr>
                <w:rFonts w:ascii="Times New Roman;Times;Serif" w:hAnsi="Times New Roman;Times;Serif"/>
                <w:b w:val="false"/>
                <w:i w:val="false"/>
                <w:caps w:val="false"/>
                <w:smallCaps w:val="false"/>
                <w:position w:val="5"/>
                <w:sz w:val="13"/>
                <w:sz w:val="16"/>
              </w:rPr>
              <w:t>(14)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Rapid Fire Protection,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(5.5% Cash (1 month LIBOR + 3.8%, 1.7% Floor), Due 11/22/24) </w:t>
            </w:r>
            <w:r>
              <w:rPr>
                <w:rFonts w:ascii="Times New Roman;Times;Serif" w:hAnsi="Times New Roman;Times;Serif"/>
                <w:b w:val="false"/>
                <w:i w:val="false"/>
                <w:caps w:val="false"/>
                <w:smallCaps w:val="false"/>
                <w:position w:val="5"/>
                <w:sz w:val="13"/>
                <w:sz w:val="16"/>
              </w:rPr>
              <w:t>(15)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Rapid Fire Protection,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(8.9% Cash, Due 11/22/24) </w:t>
            </w:r>
            <w:r>
              <w:rPr>
                <w:rFonts w:ascii="Times New Roman;Times;Serif" w:hAnsi="Times New Roman;Times;Serif"/>
                <w:b w:val="false"/>
                <w:i w:val="false"/>
                <w:caps w:val="false"/>
                <w:smallCaps w:val="false"/>
                <w:position w:val="5"/>
                <w:sz w:val="13"/>
                <w:sz w:val="16"/>
              </w:rPr>
              <w:t>(11)(16)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Rapid Fire Protection,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(363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8,490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Seitel,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2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Data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(9.3% Cash (3 month LIBOR + 8.3%, 1.0% Floor), Due 3/15/23)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1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2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1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470"/>
        <w:gridCol w:w="60"/>
        <w:gridCol w:w="1507"/>
        <w:gridCol w:w="60"/>
        <w:gridCol w:w="2783"/>
        <w:gridCol w:w="60"/>
        <w:gridCol w:w="119"/>
        <w:gridCol w:w="561"/>
        <w:gridCol w:w="60"/>
        <w:gridCol w:w="60"/>
        <w:gridCol w:w="110"/>
        <w:gridCol w:w="605"/>
        <w:gridCol w:w="60"/>
        <w:gridCol w:w="60"/>
        <w:gridCol w:w="115"/>
        <w:gridCol w:w="632"/>
        <w:gridCol w:w="60"/>
        <w:gridCol w:w="60"/>
        <w:gridCol w:w="72"/>
        <w:gridCol w:w="517"/>
        <w:gridCol w:w="174"/>
      </w:tblGrid>
      <w:tr>
        <w:trPr/>
        <w:tc>
          <w:tcPr>
            <w:tcW w:w="247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47"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8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4"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Sequoia Healthcare Management,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 Management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(12.8% Cash, Due 11/16/20) </w:t>
            </w:r>
            <w:r>
              <w:rPr>
                <w:rFonts w:ascii="Times New Roman;Times;Serif" w:hAnsi="Times New Roman;Times;Serif"/>
                <w:b w:val="false"/>
                <w:i w:val="false"/>
                <w:caps w:val="false"/>
                <w:smallCaps w:val="false"/>
                <w:position w:val="5"/>
                <w:sz w:val="13"/>
                <w:sz w:val="16"/>
              </w:rPr>
              <w:t>(6)(10)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10,835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10,835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Taylor Precision Products,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Household Product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C Preferred Stock (379 shares)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(7.0% Cash (3 month LIBOR + 5.0%, 2.0% Floor), Due 12/14/23)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(9.3% Cash, Due 12/14/23) </w:t>
            </w:r>
            <w:r>
              <w:rPr>
                <w:rFonts w:ascii="Times New Roman;Times;Serif" w:hAnsi="Times New Roman;Times;Serif"/>
                <w:b w:val="false"/>
                <w:i w:val="false"/>
                <w:caps w:val="false"/>
                <w:smallCaps w:val="false"/>
                <w:position w:val="5"/>
                <w:sz w:val="13"/>
                <w:sz w:val="16"/>
              </w:rPr>
              <w:t>(11) (12)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D Preferred Units (78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Units (500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C Units (578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8,138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7,790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Well Services,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Common Stock (1,202,499 shares) </w:t>
            </w:r>
            <w:r>
              <w:rPr>
                <w:rFonts w:ascii="Times New Roman;Times;Serif" w:hAnsi="Times New Roman;Times;Serif"/>
                <w:b w:val="false"/>
                <w:i w:val="false"/>
                <w:caps w:val="false"/>
                <w:smallCaps w:val="false"/>
                <w:position w:val="5"/>
                <w:sz w:val="13"/>
                <w:sz w:val="16"/>
              </w:rPr>
              <w:t>(17)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Xirgo Technologies,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(600,000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 Total Non-control/non-affiliated investments - United States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190,961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185,260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170.9</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Affiliate Investments - 79.6%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Affiliate investments - United States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(12.0% Cash, 3.0% PIK, Due 3/23/21)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Class B (1,085,073 shares)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4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Class A (1,253,198 shares)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15,858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7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rPr/>
      </w:pPr>
      <w:r>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06"/>
        <w:gridCol w:w="60"/>
        <w:gridCol w:w="1572"/>
        <w:gridCol w:w="60"/>
        <w:gridCol w:w="3229"/>
        <w:gridCol w:w="60"/>
        <w:gridCol w:w="119"/>
        <w:gridCol w:w="561"/>
        <w:gridCol w:w="60"/>
        <w:gridCol w:w="60"/>
        <w:gridCol w:w="110"/>
        <w:gridCol w:w="515"/>
        <w:gridCol w:w="60"/>
        <w:gridCol w:w="60"/>
        <w:gridCol w:w="122"/>
        <w:gridCol w:w="576"/>
        <w:gridCol w:w="60"/>
        <w:gridCol w:w="60"/>
        <w:gridCol w:w="88"/>
        <w:gridCol w:w="494"/>
        <w:gridCol w:w="173"/>
      </w:tblGrid>
      <w:tr>
        <w:trPr/>
        <w:tc>
          <w:tcPr>
            <w:tcW w:w="10205" w:type="dxa"/>
            <w:gridSpan w:val="21"/>
            <w:tcBorders/>
            <w:shd w:fill="auto" w:val="clear"/>
            <w:vAlign w:val="center"/>
          </w:tcPr>
          <w:p>
            <w:pPr>
              <w:pStyle w:val="TableContents"/>
              <w:spacing w:before="0" w:after="283"/>
              <w:rPr/>
            </w:pPr>
            <w:r>
              <w:rPr/>
              <w:t> </w:t>
            </w:r>
          </w:p>
        </w:tc>
      </w:tr>
      <w:tr>
        <w:trPr/>
        <w:tc>
          <w:tcPr>
            <w:tcW w:w="2106"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72"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2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City Gear,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Footwear Retail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Membership Unit Warrants </w:t>
            </w:r>
            <w:r>
              <w:rPr>
                <w:rFonts w:ascii="Times New Roman;Times;Serif" w:hAnsi="Times New Roman;Times;Serif"/>
                <w:b w:val="false"/>
                <w:i w:val="false"/>
                <w:caps w:val="false"/>
                <w:smallCaps w:val="false"/>
                <w:position w:val="5"/>
                <w:sz w:val="13"/>
                <w:sz w:val="16"/>
              </w:rPr>
              <w:t>(14)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7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Eastport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(13.5% Cash (3 month LIBOR + 13.0%, 0.5% Floor), Due 12/29/21) </w:t>
            </w:r>
            <w:r>
              <w:rPr>
                <w:rFonts w:ascii="Times New Roman;Times;Serif" w:hAnsi="Times New Roman;Times;Serif"/>
                <w:b w:val="false"/>
                <w:i w:val="false"/>
                <w:caps w:val="false"/>
                <w:smallCaps w:val="false"/>
                <w:position w:val="5"/>
                <w:sz w:val="13"/>
                <w:sz w:val="16"/>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Eastport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(22.9% ownership)</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19,548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30,503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 Communications,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Advertising &amp; Marketing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A-1 Preferred Stock (1,998 shares)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 Communications,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Advertising &amp; Marketing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B-1 Common Stock (200,000 shares)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3,992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LJS Partners,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QSR Franchisor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(182,288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LJS Partners,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QSR Franchisor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Membership Units (2,593,234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(12.0% Cash, Due 1/31/21) </w:t>
            </w:r>
            <w:r>
              <w:rPr>
                <w:rFonts w:ascii="Times New Roman;Times;Serif" w:hAnsi="Times New Roman;Times;Serif"/>
                <w:b w:val="false"/>
                <w:i w:val="false"/>
                <w:caps w:val="false"/>
                <w:smallCaps w:val="false"/>
                <w:position w:val="5"/>
                <w:sz w:val="13"/>
                <w:sz w:val="16"/>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(6.0% Cash, Due 1/31/21) </w:t>
            </w:r>
            <w:r>
              <w:rPr>
                <w:rFonts w:ascii="Times New Roman;Times;Serif" w:hAnsi="Times New Roman;Times;Serif"/>
                <w:b w:val="false"/>
                <w:i w:val="false"/>
                <w:caps w:val="false"/>
                <w:smallCaps w:val="false"/>
                <w:position w:val="5"/>
                <w:sz w:val="13"/>
                <w:sz w:val="16"/>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(1,000 units, 6.0% PIK Dividend) </w:t>
            </w:r>
            <w:r>
              <w:rPr>
                <w:rFonts w:ascii="Times New Roman;Times;Serif" w:hAnsi="Times New Roman;Times;Serif"/>
                <w:b w:val="false"/>
                <w:i w:val="false"/>
                <w:caps w:val="false"/>
                <w:smallCaps w:val="false"/>
                <w:position w:val="5"/>
                <w:sz w:val="13"/>
                <w:sz w:val="16"/>
              </w:rPr>
              <w:t>(18)</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Membership Units (45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(9.0% Cash, 2.0% PIK, Due 6/30/23) </w:t>
            </w:r>
            <w:r>
              <w:rPr>
                <w:rFonts w:ascii="Times New Roman;Times;Serif" w:hAnsi="Times New Roman;Times;Serif"/>
                <w:b w:val="false"/>
                <w:i w:val="false"/>
                <w:caps w:val="false"/>
                <w:smallCaps w:val="false"/>
                <w:position w:val="5"/>
                <w:sz w:val="13"/>
                <w:sz w:val="16"/>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Stock (1,000 shares)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7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(60,000 shares)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12,738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12,253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Nth Degree Investment Group,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(6,088,000 Units)</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7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2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RAM Payment,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(6.5% Cash (1 month LIBOR + 5.0%, 1.5% Floor), Due 1/4/24)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063"/>
        <w:gridCol w:w="60"/>
        <w:gridCol w:w="1840"/>
        <w:gridCol w:w="60"/>
        <w:gridCol w:w="2826"/>
        <w:gridCol w:w="60"/>
        <w:gridCol w:w="139"/>
        <w:gridCol w:w="541"/>
        <w:gridCol w:w="60"/>
        <w:gridCol w:w="60"/>
        <w:gridCol w:w="110"/>
        <w:gridCol w:w="605"/>
        <w:gridCol w:w="60"/>
        <w:gridCol w:w="60"/>
        <w:gridCol w:w="115"/>
        <w:gridCol w:w="633"/>
        <w:gridCol w:w="60"/>
        <w:gridCol w:w="60"/>
        <w:gridCol w:w="73"/>
        <w:gridCol w:w="518"/>
        <w:gridCol w:w="202"/>
      </w:tblGrid>
      <w:tr>
        <w:trPr/>
        <w:tc>
          <w:tcPr>
            <w:tcW w:w="2063"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4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91"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202"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RAM Payment,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(9.8% Cash, Due 1/4/24) </w:t>
            </w:r>
            <w:r>
              <w:rPr>
                <w:rFonts w:ascii="Times New Roman;Times;Serif" w:hAnsi="Times New Roman;Times;Serif"/>
                <w:b w:val="false"/>
                <w:i w:val="false"/>
                <w:caps w:val="false"/>
                <w:smallCaps w:val="false"/>
                <w:position w:val="5"/>
                <w:sz w:val="13"/>
                <w:sz w:val="16"/>
              </w:rPr>
              <w:t>(11)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RAM Payment,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(86,000 units, 8.0% PIK Dividend) </w:t>
            </w:r>
            <w:r>
              <w:rPr>
                <w:rFonts w:ascii="Times New Roman;Times;Serif" w:hAnsi="Times New Roman;Times;Serif"/>
                <w:b w:val="false"/>
                <w:i w:val="false"/>
                <w:caps w:val="false"/>
                <w:smallCaps w:val="false"/>
                <w:position w:val="5"/>
                <w:sz w:val="13"/>
                <w:sz w:val="16"/>
              </w:rPr>
              <w:t>(18)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12,817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w:t>
            </w:r>
          </w:p>
        </w:tc>
        <w:tc>
          <w:tcPr>
            <w:tcW w:w="20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Engineering and Consulting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Second Lien Debt (15.0% PIK, Due 9/12/23)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Engineering and Consulting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(15,068,000 shares)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7,435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20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V12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Data Processing &amp; Digital Marketing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w:t>
            </w:r>
            <w:r>
              <w:rPr>
                <w:rFonts w:ascii="Times New Roman;Times;Serif" w:hAnsi="Times New Roman;Times;Serif"/>
                <w:b w:val="false"/>
                <w:i w:val="false"/>
                <w:caps w:val="false"/>
                <w:smallCaps w:val="false"/>
                <w:position w:val="5"/>
                <w:sz w:val="13"/>
                <w:sz w:val="16"/>
              </w:rPr>
              <w:t>(14)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20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 Total Affiliate investments - United States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83,241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3"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86,361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 Investments - 8.0%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 investments - United States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(10.5% Cash (1 month LIBOR + 8.5%, 2.0% Floor), Due 12/31/21)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Units (9,041,810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3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(5,363,982 Units)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FFFFFF" w:val="clear"/>
            <w:vAlign w:val="center"/>
          </w:tcPr>
          <w:p>
            <w:pPr>
              <w:pStyle w:val="TableContents"/>
              <w:spacing w:before="0" w:after="283"/>
              <w:jc w:val="right"/>
              <w:rPr>
                <w:caps w:val="false"/>
                <w:smallCaps w:val="false"/>
              </w:rPr>
            </w:pPr>
            <w:r>
              <w:rPr>
                <w:caps w:val="false"/>
                <w:smallCaps w:val="false"/>
              </w:rPr>
              <w:t> </w:t>
            </w:r>
          </w:p>
        </w:tc>
        <w:tc>
          <w:tcPr>
            <w:tcW w:w="63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20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 Total Control investments - United States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3"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2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63" w:type="dxa"/>
            <w:tcBorders/>
            <w:shd w:fill="FFFF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INVESTMENTS - 258.5%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54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283,197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280,249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3" w:type="dxa"/>
            <w:tcBorders>
              <w:bottom w:val="double" w:sz="6"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258.5</w:t>
            </w:r>
          </w:p>
        </w:tc>
        <w:tc>
          <w:tcPr>
            <w:tcW w:w="202" w:type="dxa"/>
            <w:tcBorders/>
            <w:shd w:fill="FFFF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All investments valued using unobservable inputs (Level 3), unless otherwise noted.</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All investments valued by Capitala Finance Corp.'s (the "Company") board of directors.</w:t>
            </w:r>
          </w:p>
        </w:tc>
      </w:tr>
      <w:tr>
        <w:trPr/>
        <w:tc>
          <w:tcPr>
            <w:tcW w:w="10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All debt investments are income producing, unless otherwise noted. Equity and warrant investments are non-income producing, unless otherwise noted.</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Percentages are based on net assets of $108,409 as of September 30, 2020.</w:t>
            </w:r>
          </w:p>
        </w:tc>
      </w:tr>
      <w:tr>
        <w:trPr/>
        <w:tc>
          <w:tcPr>
            <w:tcW w:w="10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Non-accrual investment.</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 1.0% of interest payable in cash. 9.0% of interest payable in cash or paid-in-kind at borrower's election.</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 9.0% of interest payable in cash. 2.0% of interest payable in cash or paid-in-kind at borrower's election.</w:t>
            </w:r>
          </w:p>
        </w:tc>
      </w:tr>
      <w:tr>
        <w:trPr/>
        <w:tc>
          <w:tcPr>
            <w:tcW w:w="10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 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September 30, 2020, 5.3% of the Company's total assets were non-qualifying assets.</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 The maturity date of the original investment has been extended.</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 The cash rate equals the approximate current yield on our last-out portion of the unitranche facility.</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 The investment has a $1.0 million unfunded commitment.</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 The investment has a $3.5 million unfunded commitment.</w:t>
            </w:r>
          </w:p>
        </w:tc>
      </w:tr>
      <w:tr>
        <w:trPr/>
        <w:tc>
          <w:tcPr>
            <w:tcW w:w="10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 The investment has been exited or sold. The residual value reflects estimated earnout, escrow, or other proceeds expected post-closing.</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 The investment has a $3.0 million unfunded commitment.</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 The investment has a $1.3 million unfunded commitment.</w:t>
            </w:r>
          </w:p>
        </w:tc>
      </w:tr>
      <w:tr>
        <w:trPr/>
        <w:tc>
          <w:tcPr>
            <w:tcW w:w="10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 Investment is valued using observable inputs (Level 1). The stock of the company is traded on the NASDAQ Capital Market under the ticker "USWS."</w:t>
            </w:r>
          </w:p>
        </w:tc>
      </w:tr>
      <w:tr>
        <w:trPr/>
        <w:tc>
          <w:tcPr>
            <w:tcW w:w="10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 The equity investment is income producing, based on rate disclosed.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111"/>
        <w:gridCol w:w="60"/>
        <w:gridCol w:w="1576"/>
        <w:gridCol w:w="60"/>
        <w:gridCol w:w="3205"/>
        <w:gridCol w:w="60"/>
        <w:gridCol w:w="119"/>
        <w:gridCol w:w="561"/>
        <w:gridCol w:w="60"/>
        <w:gridCol w:w="60"/>
        <w:gridCol w:w="110"/>
        <w:gridCol w:w="515"/>
        <w:gridCol w:w="60"/>
        <w:gridCol w:w="60"/>
        <w:gridCol w:w="123"/>
        <w:gridCol w:w="580"/>
        <w:gridCol w:w="60"/>
        <w:gridCol w:w="60"/>
        <w:gridCol w:w="89"/>
        <w:gridCol w:w="502"/>
        <w:gridCol w:w="174"/>
      </w:tblGrid>
      <w:tr>
        <w:trPr/>
        <w:tc>
          <w:tcPr>
            <w:tcW w:w="2111" w:type="dxa"/>
            <w:tcBorders>
              <w:bottom w:val="single" w:sz="8" w:space="0" w:color="000000"/>
            </w:tcBorders>
            <w:shd w:fill="auto" w:val="clear"/>
            <w:vAlign w:val="center"/>
          </w:tcPr>
          <w:p>
            <w:pPr>
              <w:pStyle w:val="TableContents"/>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 xml:space="preserve">(1), (2), (3), (4), (5)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03"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91"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4" w:type="dxa"/>
            <w:tcBorders/>
            <w:shd w:fill="auto" w:val="clear"/>
            <w:tcMar>
              <w:bottom w:w="0" w:type="dxa"/>
            </w:tcMar>
            <w:vAlign w:val="center"/>
          </w:tcPr>
          <w:p>
            <w:pPr>
              <w:pStyle w:val="TableContents"/>
              <w:spacing w:before="0" w:after="283"/>
              <w:ind w:left="0" w:right="0" w:hanging="180"/>
              <w:rPr>
                <w:caps w:val="false"/>
                <w:smallCaps w:val="false"/>
              </w:rPr>
            </w:pPr>
            <w:r>
              <w:rPr>
                <w:caps w:val="false"/>
                <w:smallCaps w:val="false"/>
              </w:rPr>
              <w:t> </w:t>
            </w:r>
          </w:p>
        </w:tc>
      </w:tr>
      <w:tr>
        <w:trPr/>
        <w:tc>
          <w:tcPr>
            <w:tcW w:w="7191" w:type="dxa"/>
            <w:gridSpan w:val="7"/>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Non-control/non-affiliated investments - 162.8%</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51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3" w:type="dxa"/>
            <w:tcBorders/>
            <w:shd w:fill="CCEEFF" w:val="clear"/>
            <w:tcMar>
              <w:bottom w:w="0" w:type="dxa"/>
            </w:tcMar>
            <w:vAlign w:val="center"/>
          </w:tcPr>
          <w:p>
            <w:pPr>
              <w:pStyle w:val="TableContents"/>
              <w:spacing w:before="0" w:after="283"/>
              <w:jc w:val="left"/>
              <w:rPr/>
            </w:pPr>
            <w:r>
              <w:rPr/>
              <w:t> </w:t>
            </w:r>
          </w:p>
        </w:tc>
        <w:tc>
          <w:tcPr>
            <w:tcW w:w="58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9" w:type="dxa"/>
            <w:tcBorders/>
            <w:shd w:fill="CCEEFF" w:val="clear"/>
            <w:tcMar>
              <w:bottom w:w="0" w:type="dxa"/>
            </w:tcMar>
            <w:vAlign w:val="center"/>
          </w:tcPr>
          <w:p>
            <w:pPr>
              <w:pStyle w:val="TableContents"/>
              <w:spacing w:before="0" w:after="283"/>
              <w:jc w:val="left"/>
              <w:rPr/>
            </w:pPr>
            <w:r>
              <w:rPr/>
              <w:t> </w:t>
            </w:r>
          </w:p>
        </w:tc>
        <w:tc>
          <w:tcPr>
            <w:tcW w:w="502" w:type="dxa"/>
            <w:tcBorders/>
            <w:shd w:fill="CCEEFF" w:val="clear"/>
            <w:tcMar>
              <w:bottom w:w="0" w:type="dxa"/>
            </w:tcMar>
            <w:vAlign w:val="center"/>
          </w:tcPr>
          <w:p>
            <w:pPr>
              <w:pStyle w:val="TableContents"/>
              <w:spacing w:before="0" w:after="283"/>
              <w:jc w:val="right"/>
              <w:rPr/>
            </w:pPr>
            <w:r>
              <w:rPr/>
              <w:t> </w:t>
            </w:r>
          </w:p>
        </w:tc>
        <w:tc>
          <w:tcPr>
            <w:tcW w:w="17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7191" w:type="dxa"/>
            <w:gridSpan w:val="7"/>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Non-control/non-affiliated investments - United States</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51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3" w:type="dxa"/>
            <w:tcBorders/>
            <w:shd w:fill="CCEEFF" w:val="clear"/>
            <w:tcMar>
              <w:bottom w:w="0" w:type="dxa"/>
            </w:tcMar>
            <w:vAlign w:val="center"/>
          </w:tcPr>
          <w:p>
            <w:pPr>
              <w:pStyle w:val="TableContents"/>
              <w:spacing w:before="0" w:after="283"/>
              <w:jc w:val="left"/>
              <w:rPr/>
            </w:pPr>
            <w:r>
              <w:rPr/>
              <w:t> </w:t>
            </w:r>
          </w:p>
        </w:tc>
        <w:tc>
          <w:tcPr>
            <w:tcW w:w="58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9" w:type="dxa"/>
            <w:tcBorders/>
            <w:shd w:fill="CCEEFF" w:val="clear"/>
            <w:tcMar>
              <w:bottom w:w="0" w:type="dxa"/>
            </w:tcMar>
            <w:vAlign w:val="center"/>
          </w:tcPr>
          <w:p>
            <w:pPr>
              <w:pStyle w:val="TableContents"/>
              <w:spacing w:before="0" w:after="283"/>
              <w:jc w:val="left"/>
              <w:rPr/>
            </w:pPr>
            <w:r>
              <w:rPr/>
              <w:t> </w:t>
            </w:r>
          </w:p>
        </w:tc>
        <w:tc>
          <w:tcPr>
            <w:tcW w:w="502" w:type="dxa"/>
            <w:tcBorders/>
            <w:shd w:fill="CCEEFF" w:val="clear"/>
            <w:tcMar>
              <w:bottom w:w="0" w:type="dxa"/>
            </w:tcMar>
            <w:vAlign w:val="center"/>
          </w:tcPr>
          <w:p>
            <w:pPr>
              <w:pStyle w:val="TableContents"/>
              <w:spacing w:before="0" w:after="283"/>
              <w:jc w:val="right"/>
              <w:rPr/>
            </w:pPr>
            <w:r>
              <w:rPr/>
              <w:t> </w:t>
            </w:r>
          </w:p>
        </w:tc>
        <w:tc>
          <w:tcPr>
            <w:tcW w:w="17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(10.7% Cash (1 month LIBOR + 9.0%, 1.0% Floor), Due 12/4/22)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(965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Bridge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 Consulting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(39,000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(8.0% Cash, 3.8% PIK, Due 12/18/22)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5,491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(8.0% Cash, 3.8% PIK, Due 12/18/22) </w:t>
            </w:r>
            <w:r>
              <w:rPr>
                <w:rFonts w:ascii="Times New Roman;Times;Serif" w:hAnsi="Times New Roman;Times;Serif"/>
                <w:b w:val="false"/>
                <w:i w:val="false"/>
                <w:caps w:val="false"/>
                <w:smallCaps w:val="false"/>
                <w:position w:val="5"/>
                <w:sz w:val="13"/>
                <w:sz w:val="16"/>
              </w:rPr>
              <w:t>(6)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Alternative Biomedical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(20,092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American Clinical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(7.0% Cash, Due 12/31/22)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American Clinical Solutions,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(2.0% PIK, Due 12/31/22) </w:t>
            </w:r>
            <w:r>
              <w:rPr>
                <w:rFonts w:ascii="Times New Roman;Times;Serif" w:hAnsi="Times New Roman;Times;Serif"/>
                <w:b w:val="false"/>
                <w:i w:val="false"/>
                <w:caps w:val="false"/>
                <w:smallCaps w:val="false"/>
                <w:position w:val="5"/>
                <w:sz w:val="13"/>
                <w:sz w:val="16"/>
              </w:rPr>
              <w:t>(7)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AmeriMark Direct,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 Products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(14.3% Cash, Due 9/8/21)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16,123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BigMouth,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 Products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(10.3% Cash (1 month LIBOR + 8.5%, 0.5% Floor, Due 11/14/21) </w:t>
            </w:r>
            <w:r>
              <w:rPr>
                <w:rFonts w:ascii="Times New Roman;Times;Serif" w:hAnsi="Times New Roman;Times;Serif"/>
                <w:b w:val="false"/>
                <w:i w:val="false"/>
                <w:caps w:val="false"/>
                <w:smallCaps w:val="false"/>
                <w:position w:val="5"/>
                <w:sz w:val="13"/>
                <w:sz w:val="16"/>
              </w:rPr>
              <w:t>(8)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BigMouth,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 Products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(10.2% Cash (1 month LIBOR + 8.5%, 0.5% Floor, Due 11/14/21)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9,641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Bluestem Brands,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Online Merchandise Retailer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(9.3% Cash (1 month LIBOR + 7.5%, 1.0% Floor), Due 11/7/20)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Burke America Parts Group,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Home Repair Parts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(14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shd w:fill="FFFFFF" w:val="clear"/>
            <w:tcMar>
              <w:bottom w:w="0" w:type="dxa"/>
            </w:tcMar>
            <w:vAlign w:val="center"/>
          </w:tcPr>
          <w:p>
            <w:pPr>
              <w:pStyle w:val="TableContents"/>
              <w:spacing w:before="0" w:after="283"/>
              <w:jc w:val="left"/>
              <w:rPr/>
            </w:pPr>
            <w:r>
              <w:rPr/>
              <w:t> </w:t>
            </w:r>
          </w:p>
        </w:tc>
        <w:tc>
          <w:tcPr>
            <w:tcW w:w="58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502"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Computer Supply Retail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w:t>
            </w:r>
            <w:r>
              <w:rPr>
                <w:rFonts w:ascii="Times New Roman;Times;Serif" w:hAnsi="Times New Roman;Times;Serif"/>
                <w:b w:val="false"/>
                <w:i w:val="false"/>
                <w:caps w:val="false"/>
                <w:smallCaps w:val="false"/>
                <w:position w:val="5"/>
                <w:sz w:val="13"/>
                <w:sz w:val="16"/>
              </w:rPr>
              <w:t>(9)</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11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57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3" w:type="dxa"/>
            <w:tcBorders>
              <w:bottom w:val="single" w:sz="8" w:space="0" w:color="000000"/>
            </w:tcBorders>
            <w:shd w:fill="FFFFFF" w:val="clear"/>
            <w:vAlign w:val="center"/>
          </w:tcPr>
          <w:p>
            <w:pPr>
              <w:pStyle w:val="TableContents"/>
              <w:spacing w:before="0" w:after="283"/>
              <w:jc w:val="left"/>
              <w:rPr/>
            </w:pPr>
            <w:r>
              <w:rPr/>
              <w:t> </w:t>
            </w:r>
          </w:p>
        </w:tc>
        <w:tc>
          <w:tcPr>
            <w:tcW w:w="58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bottom w:val="single" w:sz="8" w:space="0" w:color="000000"/>
            </w:tcBorders>
            <w:shd w:fill="FFFFFF" w:val="clear"/>
            <w:vAlign w:val="center"/>
          </w:tcPr>
          <w:p>
            <w:pPr>
              <w:pStyle w:val="TableContents"/>
              <w:spacing w:before="0" w:after="283"/>
              <w:jc w:val="left"/>
              <w:rPr/>
            </w:pPr>
            <w:r>
              <w:rPr/>
              <w:t> </w:t>
            </w:r>
          </w:p>
        </w:tc>
        <w:tc>
          <w:tcPr>
            <w:tcW w:w="502"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11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2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8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858"/>
        <w:gridCol w:w="60"/>
        <w:gridCol w:w="1899"/>
        <w:gridCol w:w="60"/>
        <w:gridCol w:w="3167"/>
        <w:gridCol w:w="60"/>
        <w:gridCol w:w="119"/>
        <w:gridCol w:w="561"/>
        <w:gridCol w:w="60"/>
        <w:gridCol w:w="60"/>
        <w:gridCol w:w="110"/>
        <w:gridCol w:w="515"/>
        <w:gridCol w:w="60"/>
        <w:gridCol w:w="60"/>
        <w:gridCol w:w="121"/>
        <w:gridCol w:w="570"/>
        <w:gridCol w:w="60"/>
        <w:gridCol w:w="60"/>
        <w:gridCol w:w="86"/>
        <w:gridCol w:w="484"/>
        <w:gridCol w:w="175"/>
      </w:tblGrid>
      <w:tr>
        <w:trPr/>
        <w:tc>
          <w:tcPr>
            <w:tcW w:w="1858" w:type="dxa"/>
            <w:tcBorders>
              <w:bottom w:val="single" w:sz="8" w:space="0" w:color="000000"/>
            </w:tcBorders>
            <w:shd w:fill="auto" w:val="clear"/>
            <w:vAlign w:val="center"/>
          </w:tcPr>
          <w:p>
            <w:pPr>
              <w:pStyle w:val="TableContents"/>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 xml:space="preserve">(1), (2), (3), (4), (5)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1"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7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5" w:type="dxa"/>
            <w:tcBorders/>
            <w:shd w:fill="auto" w:val="clear"/>
            <w:tcMar>
              <w:bottom w:w="0" w:type="dxa"/>
            </w:tcMar>
            <w:vAlign w:val="center"/>
          </w:tcPr>
          <w:p>
            <w:pPr>
              <w:pStyle w:val="TableContents"/>
              <w:spacing w:before="0" w:after="283"/>
              <w:ind w:left="0" w:right="0" w:hanging="180"/>
              <w:rPr>
                <w:caps w:val="false"/>
                <w:smallCaps w:val="false"/>
              </w:rPr>
            </w:pPr>
            <w:r>
              <w:rPr>
                <w:caps w:val="false"/>
                <w:smallCaps w:val="false"/>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California Pizza Kitchen,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Restaurant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Second Lien Debt (11.9% Cash (3 month LIBOR + 10.0%, 1.0% Floor), Due 8/23/23)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Chicken Soup for the Soul,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Multi-platform Media and Consumer Products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(10.2% Cash (1 month LIBOR + 8.5%, 1.5% Floor), Due 12/13/20)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(8.7% Cash (1 month LIBOR + 7.0%, 1.6% Floor), Due 11/8/24)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Preferred Units (34,740 units, 10.0% PIK Dividend) </w:t>
            </w:r>
            <w:r>
              <w:rPr>
                <w:rFonts w:ascii="Times New Roman;Times;Serif" w:hAnsi="Times New Roman;Times;Serif"/>
                <w:b w:val="false"/>
                <w:i w:val="false"/>
                <w:caps w:val="false"/>
                <w:smallCaps w:val="false"/>
                <w:position w:val="5"/>
                <w:sz w:val="13"/>
                <w:sz w:val="16"/>
              </w:rPr>
              <w:t>(10)</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Fire Intermediate,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B Common Units (3,510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CIS Secure Computing,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(10.2% Cash (1 month LIBOR + 8.5%, 1.0% Floor), 1.0% PIK, Due 9/14/22)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CIS Secure Computing,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(46,163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11,279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Corporate Visions,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&amp; Marketing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Second Lien Debt (9.0% Cash, 2.0% PIK, Due 11/29/21)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Corporate Visions,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&amp; Marketing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(15,750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20,902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19,291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Currency Capital,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(13.7% Cash (1 month LIBOR + 12.0%, 0.5% Floor), 2.0% PIK, Due 1/2/20) </w:t>
            </w:r>
            <w:r>
              <w:rPr>
                <w:rFonts w:ascii="Times New Roman;Times;Serif" w:hAnsi="Times New Roman;Times;Serif"/>
                <w:b w:val="false"/>
                <w:i w:val="false"/>
                <w:caps w:val="false"/>
                <w:smallCaps w:val="false"/>
                <w:position w:val="5"/>
                <w:sz w:val="13"/>
                <w:sz w:val="16"/>
              </w:rPr>
              <w:t>(11)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16,269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16,269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16,269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Currency Capital,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Preferred Units (2,000,000 units) </w:t>
            </w:r>
            <w:r>
              <w:rPr>
                <w:rFonts w:ascii="Times New Roman;Times;Serif" w:hAnsi="Times New Roman;Times;Serif"/>
                <w:b w:val="false"/>
                <w:i w:val="false"/>
                <w:caps w:val="false"/>
                <w:smallCaps w:val="false"/>
                <w:position w:val="5"/>
                <w:sz w:val="13"/>
                <w:sz w:val="16"/>
              </w:rPr>
              <w:t>(11)</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18,269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Flavors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Food Product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(7.7% Cash (3 month LIBOR + 5.8%, 1.0% Floor), Due 4/3/20)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5,767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Flavors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Food Product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Second Lien Debt (11.9% Cash (3 month LIBOR + 10.0%, 1.0% Floor), Due 10/3/21)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11,842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17,609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Freedom Electronics,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Electronic Machine Repair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(8.7% Cash, Due 12/20/23) </w:t>
            </w:r>
            <w:r>
              <w:rPr>
                <w:rFonts w:ascii="Times New Roman;Times;Serif" w:hAnsi="Times New Roman;Times;Serif"/>
                <w:b w:val="false"/>
                <w:i w:val="false"/>
                <w:caps w:val="false"/>
                <w:smallCaps w:val="false"/>
                <w:position w:val="5"/>
                <w:sz w:val="13"/>
                <w:sz w:val="16"/>
              </w:rPr>
              <w:t>(6)(12)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shd w:fill="FFFFFF" w:val="clear"/>
            <w:tcMar>
              <w:bottom w:w="0" w:type="dxa"/>
            </w:tcMar>
            <w:vAlign w:val="center"/>
          </w:tcPr>
          <w:p>
            <w:pPr>
              <w:pStyle w:val="TableContents"/>
              <w:spacing w:before="0" w:after="283"/>
              <w:jc w:val="left"/>
              <w:rPr/>
            </w:pPr>
            <w:r>
              <w:rPr/>
              <w:t> </w:t>
            </w:r>
          </w:p>
        </w:tc>
        <w:tc>
          <w:tcPr>
            <w:tcW w:w="5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484" w:type="dxa"/>
            <w:tcBorders/>
            <w:shd w:fill="FFFFFF" w:val="clear"/>
            <w:tcMar>
              <w:bottom w:w="0" w:type="dxa"/>
            </w:tcM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Freedom Electronics,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Electronic Machine Repair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6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(181,818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5"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85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67"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1" w:type="dxa"/>
            <w:tcBorders>
              <w:bottom w:val="single" w:sz="8" w:space="0" w:color="000000"/>
            </w:tcBorders>
            <w:shd w:fill="FFFFFF" w:val="clear"/>
            <w:vAlign w:val="center"/>
          </w:tcPr>
          <w:p>
            <w:pPr>
              <w:pStyle w:val="TableContents"/>
              <w:spacing w:before="0" w:after="283"/>
              <w:jc w:val="left"/>
              <w:rPr/>
            </w:pPr>
            <w:r>
              <w:rPr/>
              <w:t> </w:t>
            </w:r>
          </w:p>
        </w:tc>
        <w:tc>
          <w:tcPr>
            <w:tcW w:w="57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6" w:type="dxa"/>
            <w:tcBorders>
              <w:bottom w:val="single" w:sz="8" w:space="0" w:color="000000"/>
            </w:tcBorders>
            <w:shd w:fill="FFFFFF" w:val="clear"/>
            <w:vAlign w:val="center"/>
          </w:tcPr>
          <w:p>
            <w:pPr>
              <w:pStyle w:val="TableContents"/>
              <w:spacing w:before="0" w:after="283"/>
              <w:jc w:val="left"/>
              <w:rPr/>
            </w:pPr>
            <w:r>
              <w:rPr/>
              <w:t> </w:t>
            </w:r>
          </w:p>
        </w:tc>
        <w:tc>
          <w:tcPr>
            <w:tcW w:w="484" w:type="dxa"/>
            <w:tcBorders>
              <w:bottom w:val="single" w:sz="8" w:space="0" w:color="000000"/>
            </w:tcBorders>
            <w:shd w:fill="FFFFFF" w:val="clear"/>
            <w:vAlign w:val="center"/>
          </w:tcPr>
          <w:p>
            <w:pPr>
              <w:pStyle w:val="TableContents"/>
              <w:spacing w:before="0" w:after="283"/>
              <w:jc w:val="right"/>
              <w:rPr/>
            </w:pPr>
            <w:r>
              <w:rPr/>
              <w:t> </w:t>
            </w:r>
          </w:p>
        </w:tc>
        <w:tc>
          <w:tcPr>
            <w:tcW w:w="175"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85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67"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w:t>
            </w:r>
          </w:p>
        </w:tc>
        <w:tc>
          <w:tcPr>
            <w:tcW w:w="1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78"/>
        <w:gridCol w:w="60"/>
        <w:gridCol w:w="1816"/>
        <w:gridCol w:w="60"/>
        <w:gridCol w:w="3114"/>
        <w:gridCol w:w="60"/>
        <w:gridCol w:w="119"/>
        <w:gridCol w:w="561"/>
        <w:gridCol w:w="60"/>
        <w:gridCol w:w="60"/>
        <w:gridCol w:w="110"/>
        <w:gridCol w:w="515"/>
        <w:gridCol w:w="60"/>
        <w:gridCol w:w="60"/>
        <w:gridCol w:w="122"/>
        <w:gridCol w:w="576"/>
        <w:gridCol w:w="60"/>
        <w:gridCol w:w="60"/>
        <w:gridCol w:w="113"/>
        <w:gridCol w:w="468"/>
        <w:gridCol w:w="173"/>
      </w:tblGrid>
      <w:tr>
        <w:trPr/>
        <w:tc>
          <w:tcPr>
            <w:tcW w:w="197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 xml:space="preserve">(1), (2), (3), (4), (5)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81"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3" w:type="dxa"/>
            <w:tcBorders/>
            <w:shd w:fill="auto" w:val="clear"/>
            <w:tcMar>
              <w:bottom w:w="0" w:type="dxa"/>
            </w:tcMar>
            <w:vAlign w:val="center"/>
          </w:tcPr>
          <w:p>
            <w:pPr>
              <w:pStyle w:val="TableContents"/>
              <w:spacing w:before="0" w:after="283"/>
              <w:ind w:left="0" w:right="0" w:hanging="180"/>
              <w:rPr>
                <w:caps w:val="false"/>
                <w:smallCaps w:val="false"/>
              </w:rPr>
            </w:pPr>
            <w:r>
              <w:rPr>
                <w:caps w:val="false"/>
                <w:smallCaps w:val="false"/>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HUMC Opco,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(9.0% Cash, Due 8/16/20)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Installs,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Logistics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(9.3% Cash, Due 6/20/23) </w:t>
            </w:r>
            <w:r>
              <w:rPr>
                <w:rFonts w:ascii="Times New Roman;Times;Serif" w:hAnsi="Times New Roman;Times;Serif"/>
                <w:b w:val="false"/>
                <w:i w:val="false"/>
                <w:caps w:val="false"/>
                <w:smallCaps w:val="false"/>
                <w:position w:val="5"/>
                <w:sz w:val="13"/>
                <w:sz w:val="16"/>
              </w:rPr>
              <w:t>(6)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J5 Infrastructure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Wireless Deployment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(8.3% Cash (1 month LIBOR + 6.5%, 1.8% Floor), Due 12/20/24) </w:t>
            </w:r>
            <w:r>
              <w:rPr>
                <w:rFonts w:ascii="Times New Roman;Times;Serif" w:hAnsi="Times New Roman;Times;Serif"/>
                <w:b w:val="false"/>
                <w:i w:val="false"/>
                <w:caps w:val="false"/>
                <w:smallCaps w:val="false"/>
                <w:position w:val="5"/>
                <w:sz w:val="13"/>
                <w:sz w:val="16"/>
              </w:rPr>
              <w:t>(13)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J5 Infrastructure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Wireless Deployment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(8.3% Cash (1 month LIBOR + 6.5%, 1.8% Floor), Due 12/20/24)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Jurassic Quest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Entertainment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(9.5% Cash (1 month LIBOR + 7.5%, 2.0% Floor), Due 5/1/24) </w:t>
            </w:r>
            <w:r>
              <w:rPr>
                <w:rFonts w:ascii="Times New Roman;Times;Serif" w:hAnsi="Times New Roman;Times;Serif"/>
                <w:b w:val="false"/>
                <w:i w:val="false"/>
                <w:caps w:val="false"/>
                <w:smallCaps w:val="false"/>
                <w:position w:val="5"/>
                <w:sz w:val="13"/>
                <w:sz w:val="16"/>
              </w:rPr>
              <w:t>(14)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Jurassic Quest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Entertainment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(375,000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10,912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MicroHoldco,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Industrial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w:t>
            </w:r>
            <w:r>
              <w:rPr>
                <w:rFonts w:ascii="Times New Roman;Times;Serif" w:hAnsi="Times New Roman;Times;Serif"/>
                <w:b w:val="false"/>
                <w:i w:val="false"/>
                <w:caps w:val="false"/>
                <w:smallCaps w:val="false"/>
                <w:position w:val="5"/>
                <w:sz w:val="13"/>
                <w:sz w:val="16"/>
              </w:rPr>
              <w:t>(9)</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Portrait Studio,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Professional and Personal Digital Imaging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w:t>
            </w:r>
            <w:r>
              <w:rPr>
                <w:rFonts w:ascii="Times New Roman;Times;Serif" w:hAnsi="Times New Roman;Times;Serif"/>
                <w:b w:val="false"/>
                <w:i w:val="false"/>
                <w:caps w:val="false"/>
                <w:smallCaps w:val="false"/>
                <w:position w:val="5"/>
                <w:sz w:val="13"/>
                <w:sz w:val="16"/>
              </w:rPr>
              <w:t>(9)</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Rapid Fire Protection,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(9.2% Cash, Due 11/22/24) </w:t>
            </w:r>
            <w:r>
              <w:rPr>
                <w:rFonts w:ascii="Times New Roman;Times;Serif" w:hAnsi="Times New Roman;Times;Serif"/>
                <w:b w:val="false"/>
                <w:i w:val="false"/>
                <w:caps w:val="false"/>
                <w:smallCaps w:val="false"/>
                <w:position w:val="5"/>
                <w:sz w:val="13"/>
                <w:sz w:val="16"/>
              </w:rPr>
              <w:t>(6)(15)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Rapid Fire Protection,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(363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Seitel,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Data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(10.0% Cash (1 month LIBOR + 8.3%, 1.0% Floor), Due 3/15/23)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Sequoia Healthcare Management,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Healthcare Management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(12.8% Cash, Due 6/26/20)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Sur La Table,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Retail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(10.9% Cash (3 month LIBOR + 9.0%, 1.0% Floor), Due 7/31/22) </w:t>
            </w:r>
            <w:r>
              <w:rPr>
                <w:rFonts w:ascii="Times New Roman;Times;Serif" w:hAnsi="Times New Roman;Times;Serif"/>
                <w:b w:val="false"/>
                <w:i w:val="false"/>
                <w:caps w:val="false"/>
                <w:smallCaps w:val="false"/>
                <w:position w:val="5"/>
                <w:sz w:val="13"/>
                <w:sz w:val="16"/>
              </w:rPr>
              <w:t>(16)(17)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51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center"/>
          </w:tcPr>
          <w:p>
            <w:pPr>
              <w:pStyle w:val="TableContents"/>
              <w:spacing w:before="0" w:after="283"/>
              <w:jc w:val="left"/>
              <w:rPr/>
            </w:pPr>
            <w:r>
              <w:rPr/>
              <w:t> </w:t>
            </w:r>
          </w:p>
        </w:tc>
        <w:tc>
          <w:tcPr>
            <w:tcW w:w="576"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Taylor Precision Products,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1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Household Product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C Preferred Stock (379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6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173"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7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1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114"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51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2" w:type="dxa"/>
            <w:tcBorders>
              <w:bottom w:val="single" w:sz="8" w:space="0" w:color="000000"/>
            </w:tcBorders>
            <w:shd w:fill="FFFFFF" w:val="clear"/>
            <w:vAlign w:val="center"/>
          </w:tcPr>
          <w:p>
            <w:pPr>
              <w:pStyle w:val="TableContents"/>
              <w:spacing w:before="0" w:after="283"/>
              <w:jc w:val="left"/>
              <w:rPr/>
            </w:pPr>
            <w:r>
              <w:rPr/>
              <w:t> </w:t>
            </w:r>
          </w:p>
        </w:tc>
        <w:tc>
          <w:tcPr>
            <w:tcW w:w="576"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3" w:type="dxa"/>
            <w:tcBorders>
              <w:bottom w:val="single" w:sz="8" w:space="0" w:color="000000"/>
            </w:tcBorders>
            <w:shd w:fill="FFFFFF" w:val="clear"/>
            <w:vAlign w:val="center"/>
          </w:tcPr>
          <w:p>
            <w:pPr>
              <w:pStyle w:val="TableContents"/>
              <w:spacing w:before="0" w:after="283"/>
              <w:jc w:val="left"/>
              <w:rPr/>
            </w:pPr>
            <w:r>
              <w:rPr/>
              <w:t> </w:t>
            </w:r>
          </w:p>
        </w:tc>
        <w:tc>
          <w:tcPr>
            <w:tcW w:w="468" w:type="dxa"/>
            <w:tcBorders>
              <w:bottom w:val="single" w:sz="8" w:space="0" w:color="000000"/>
            </w:tcBorders>
            <w:shd w:fill="FFFFFF" w:val="clear"/>
            <w:vAlign w:val="center"/>
          </w:tcPr>
          <w:p>
            <w:pPr>
              <w:pStyle w:val="TableContents"/>
              <w:spacing w:before="0" w:after="283"/>
              <w:jc w:val="right"/>
              <w:rPr/>
            </w:pPr>
            <w:r>
              <w:rPr/>
              <w:t> </w:t>
            </w:r>
          </w:p>
        </w:tc>
        <w:tc>
          <w:tcPr>
            <w:tcW w:w="173"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197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114"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6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17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471"/>
        <w:gridCol w:w="60"/>
        <w:gridCol w:w="1469"/>
        <w:gridCol w:w="60"/>
        <w:gridCol w:w="2833"/>
        <w:gridCol w:w="60"/>
        <w:gridCol w:w="119"/>
        <w:gridCol w:w="561"/>
        <w:gridCol w:w="60"/>
        <w:gridCol w:w="60"/>
        <w:gridCol w:w="110"/>
        <w:gridCol w:w="605"/>
        <w:gridCol w:w="60"/>
        <w:gridCol w:w="60"/>
        <w:gridCol w:w="114"/>
        <w:gridCol w:w="630"/>
        <w:gridCol w:w="60"/>
        <w:gridCol w:w="60"/>
        <w:gridCol w:w="71"/>
        <w:gridCol w:w="508"/>
        <w:gridCol w:w="174"/>
      </w:tblGrid>
      <w:tr>
        <w:trPr/>
        <w:tc>
          <w:tcPr>
            <w:tcW w:w="247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(1), (2), (3), (4), (5)</w:t>
            </w:r>
            <w:r>
              <w:rPr>
                <w:rFonts w:ascii="Times New Roman;Times;Serif" w:hAnsi="Times New Roman;Times;Serif"/>
                <w:b/>
                <w:i w:val="false"/>
                <w:caps w:val="false"/>
                <w:smallCaps w:val="false"/>
                <w:sz w:val="16"/>
              </w:rPr>
              <w:t xml:space="preserv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4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7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174" w:type="dxa"/>
            <w:tcBorders/>
            <w:shd w:fill="auto" w:val="clear"/>
            <w:tcMar>
              <w:bottom w:w="0" w:type="dxa"/>
            </w:tcMar>
            <w:vAlign w:val="center"/>
          </w:tcPr>
          <w:p>
            <w:pPr>
              <w:pStyle w:val="TableContents"/>
              <w:spacing w:before="0" w:after="283"/>
              <w:ind w:left="0" w:right="0" w:hanging="180"/>
              <w:rPr>
                <w:caps w:val="false"/>
                <w:smallCaps w:val="false"/>
              </w:rPr>
            </w:pPr>
            <w:r>
              <w:rPr>
                <w:caps w:val="false"/>
                <w:smallCaps w:val="false"/>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(9.3% Cash, Due 12/14/23) </w:t>
            </w:r>
            <w:r>
              <w:rPr>
                <w:rFonts w:ascii="Times New Roman;Times;Serif" w:hAnsi="Times New Roman;Times;Serif"/>
                <w:b w:val="false"/>
                <w:i w:val="false"/>
                <w:caps w:val="false"/>
                <w:smallCaps w:val="false"/>
                <w:position w:val="5"/>
                <w:sz w:val="13"/>
                <w:sz w:val="16"/>
              </w:rPr>
              <w:t>(6)(12)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Units (500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BioTek Laboratories,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Testing laboratories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C Units (500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7,471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7,026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Well Services,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Common Stock (77,073 shares) </w:t>
            </w:r>
            <w:r>
              <w:rPr>
                <w:rFonts w:ascii="Times New Roman;Times;Serif" w:hAnsi="Times New Roman;Times;Serif"/>
                <w:b w:val="false"/>
                <w:i w:val="false"/>
                <w:caps w:val="false"/>
                <w:smallCaps w:val="false"/>
                <w:position w:val="5"/>
                <w:sz w:val="13"/>
                <w:sz w:val="16"/>
              </w:rPr>
              <w:t>(11)(18)</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 Well Services,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B Common Stock (1,125,426 shares) </w:t>
            </w:r>
            <w:r>
              <w:rPr>
                <w:rFonts w:ascii="Times New Roman;Times;Serif" w:hAnsi="Times New Roman;Times;Serif"/>
                <w:b w:val="false"/>
                <w:i w:val="false"/>
                <w:caps w:val="false"/>
                <w:smallCaps w:val="false"/>
                <w:position w:val="5"/>
                <w:sz w:val="13"/>
                <w:sz w:val="16"/>
              </w:rPr>
              <w:t>(11)(18)</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7,472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Xirgo Technologies,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(600,000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 Total Non-control/non-affiliated investments - United States</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250,433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241,046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Affiliate Investments - 66.7%</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center"/>
          </w:tcPr>
          <w:p>
            <w:pPr>
              <w:pStyle w:val="TableContents"/>
              <w:spacing w:before="0" w:after="283"/>
              <w:jc w:val="left"/>
              <w:rPr/>
            </w:pPr>
            <w:r>
              <w:rPr/>
              <w:t> </w:t>
            </w:r>
          </w:p>
        </w:tc>
        <w:tc>
          <w:tcPr>
            <w:tcW w:w="63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1" w:type="dxa"/>
            <w:tcBorders/>
            <w:shd w:fill="CCEEFF" w:val="clear"/>
            <w:tcMar>
              <w:bottom w:w="0" w:type="dxa"/>
            </w:tcMar>
            <w:vAlign w:val="center"/>
          </w:tcPr>
          <w:p>
            <w:pPr>
              <w:pStyle w:val="TableContents"/>
              <w:spacing w:before="0" w:after="283"/>
              <w:jc w:val="left"/>
              <w:rPr/>
            </w:pPr>
            <w:r>
              <w:rPr/>
              <w:t> </w:t>
            </w:r>
          </w:p>
        </w:tc>
        <w:tc>
          <w:tcPr>
            <w:tcW w:w="508" w:type="dxa"/>
            <w:tcBorders/>
            <w:shd w:fill="CCEEFF" w:val="clear"/>
            <w:tcMar>
              <w:bottom w:w="0" w:type="dxa"/>
            </w:tcMar>
            <w:vAlign w:val="center"/>
          </w:tcPr>
          <w:p>
            <w:pPr>
              <w:pStyle w:val="TableContents"/>
              <w:spacing w:before="0" w:after="283"/>
              <w:jc w:val="right"/>
              <w:rPr/>
            </w:pPr>
            <w:r>
              <w:rPr/>
              <w:t> </w:t>
            </w:r>
          </w:p>
        </w:tc>
        <w:tc>
          <w:tcPr>
            <w:tcW w:w="17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Affiliate investments - United States</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center"/>
          </w:tcPr>
          <w:p>
            <w:pPr>
              <w:pStyle w:val="TableContents"/>
              <w:spacing w:before="0" w:after="283"/>
              <w:jc w:val="left"/>
              <w:rPr/>
            </w:pPr>
            <w:r>
              <w:rPr/>
              <w:t> </w:t>
            </w:r>
          </w:p>
        </w:tc>
        <w:tc>
          <w:tcPr>
            <w:tcW w:w="63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1" w:type="dxa"/>
            <w:tcBorders/>
            <w:shd w:fill="CCEEFF" w:val="clear"/>
            <w:tcMar>
              <w:bottom w:w="0" w:type="dxa"/>
            </w:tcMar>
            <w:vAlign w:val="center"/>
          </w:tcPr>
          <w:p>
            <w:pPr>
              <w:pStyle w:val="TableContents"/>
              <w:spacing w:before="0" w:after="283"/>
              <w:jc w:val="left"/>
              <w:rPr/>
            </w:pPr>
            <w:r>
              <w:rPr/>
              <w:t> </w:t>
            </w:r>
          </w:p>
        </w:tc>
        <w:tc>
          <w:tcPr>
            <w:tcW w:w="508" w:type="dxa"/>
            <w:tcBorders/>
            <w:shd w:fill="CCEEFF" w:val="clear"/>
            <w:tcMar>
              <w:bottom w:w="0" w:type="dxa"/>
            </w:tcMar>
            <w:vAlign w:val="center"/>
          </w:tcPr>
          <w:p>
            <w:pPr>
              <w:pStyle w:val="TableContents"/>
              <w:spacing w:before="0" w:after="283"/>
              <w:jc w:val="right"/>
              <w:rPr/>
            </w:pPr>
            <w:r>
              <w:rPr/>
              <w:t> </w:t>
            </w:r>
          </w:p>
        </w:tc>
        <w:tc>
          <w:tcPr>
            <w:tcW w:w="17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(12.0% Cash, 3.0% PIK, Due 3/23/21)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Class B (1,085,073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Burgaflex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Automobile Part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Class A (1,253,198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City Gear,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Footwear Retail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Membership Unit Warrants </w:t>
            </w:r>
            <w:r>
              <w:rPr>
                <w:rFonts w:ascii="Times New Roman;Times;Serif" w:hAnsi="Times New Roman;Times;Serif"/>
                <w:b w:val="false"/>
                <w:i w:val="false"/>
                <w:caps w:val="false"/>
                <w:smallCaps w:val="false"/>
                <w:position w:val="5"/>
                <w:sz w:val="13"/>
                <w:sz w:val="16"/>
              </w:rPr>
              <w:t>(9)</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Eastport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(14.9% Cash (3 month LIBOR + 13.0%, 0.5% Floor), Due 12/29/21) </w:t>
            </w:r>
            <w:r>
              <w:rPr>
                <w:rFonts w:ascii="Times New Roman;Times;Serif" w:hAnsi="Times New Roman;Times;Serif"/>
                <w:b w:val="false"/>
                <w:i w:val="false"/>
                <w:caps w:val="false"/>
                <w:smallCaps w:val="false"/>
                <w:position w:val="5"/>
                <w:sz w:val="13"/>
                <w:sz w:val="16"/>
              </w:rPr>
              <w:t>(16)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16,155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Eastport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(22.9% ownership)</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19,418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 Communications,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Advertising &amp; Marketing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Series A-1 Preferred Stock (1,998 shares, 8.0% PIK Dividend) </w:t>
            </w:r>
            <w:r>
              <w:rPr>
                <w:rFonts w:ascii="Times New Roman;Times;Serif" w:hAnsi="Times New Roman;Times;Serif"/>
                <w:b w:val="false"/>
                <w:i w:val="false"/>
                <w:caps w:val="false"/>
                <w:smallCaps w:val="false"/>
                <w:position w:val="5"/>
                <w:sz w:val="13"/>
                <w:sz w:val="16"/>
              </w:rPr>
              <w:t>(10)</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center"/>
          </w:tcPr>
          <w:p>
            <w:pPr>
              <w:pStyle w:val="TableContents"/>
              <w:spacing w:before="0" w:after="283"/>
              <w:jc w:val="left"/>
              <w:rPr/>
            </w:pPr>
            <w:r>
              <w:rPr/>
              <w:t> </w:t>
            </w:r>
          </w:p>
        </w:tc>
        <w:tc>
          <w:tcPr>
            <w:tcW w:w="63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shd w:fill="FFFFFF" w:val="clear"/>
            <w:tcMar>
              <w:bottom w:w="0" w:type="dxa"/>
            </w:tcMar>
            <w:vAlign w:val="center"/>
          </w:tcPr>
          <w:p>
            <w:pPr>
              <w:pStyle w:val="TableContents"/>
              <w:spacing w:before="0" w:after="283"/>
              <w:jc w:val="left"/>
              <w:rPr/>
            </w:pPr>
            <w:r>
              <w:rPr/>
              <w:t> </w:t>
            </w:r>
          </w:p>
        </w:tc>
        <w:tc>
          <w:tcPr>
            <w:tcW w:w="508" w:type="dxa"/>
            <w:tcBorders/>
            <w:shd w:fill="FFFFFF" w:val="clear"/>
            <w:tcMar>
              <w:bottom w:w="0" w:type="dxa"/>
            </w:tcM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 Communications,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Advertising &amp; Marketing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3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B-1 Common Stock (200,000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0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17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6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4" w:type="dxa"/>
            <w:tcBorders>
              <w:bottom w:val="single" w:sz="8" w:space="0" w:color="000000"/>
            </w:tcBorders>
            <w:shd w:fill="FFFFFF" w:val="clear"/>
            <w:vAlign w:val="center"/>
          </w:tcPr>
          <w:p>
            <w:pPr>
              <w:pStyle w:val="TableContents"/>
              <w:spacing w:before="0" w:after="283"/>
              <w:jc w:val="left"/>
              <w:rPr/>
            </w:pPr>
            <w:r>
              <w:rPr/>
              <w:t> </w:t>
            </w:r>
          </w:p>
        </w:tc>
        <w:tc>
          <w:tcPr>
            <w:tcW w:w="630"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1" w:type="dxa"/>
            <w:tcBorders>
              <w:bottom w:val="single" w:sz="8" w:space="0" w:color="000000"/>
            </w:tcBorders>
            <w:shd w:fill="FFFFFF" w:val="clear"/>
            <w:vAlign w:val="center"/>
          </w:tcPr>
          <w:p>
            <w:pPr>
              <w:pStyle w:val="TableContents"/>
              <w:spacing w:before="0" w:after="283"/>
              <w:jc w:val="left"/>
              <w:rPr/>
            </w:pPr>
            <w:r>
              <w:rPr/>
              <w:t> </w:t>
            </w:r>
          </w:p>
        </w:tc>
        <w:tc>
          <w:tcPr>
            <w:tcW w:w="508" w:type="dxa"/>
            <w:tcBorders>
              <w:bottom w:val="single" w:sz="8" w:space="0" w:color="000000"/>
            </w:tcBorders>
            <w:shd w:fill="FFFFFF" w:val="clear"/>
            <w:vAlign w:val="center"/>
          </w:tcPr>
          <w:p>
            <w:pPr>
              <w:pStyle w:val="TableContents"/>
              <w:spacing w:before="0" w:after="283"/>
              <w:jc w:val="right"/>
              <w:rPr/>
            </w:pPr>
            <w:r>
              <w:rPr/>
              <w:t> </w:t>
            </w:r>
          </w:p>
        </w:tc>
        <w:tc>
          <w:tcPr>
            <w:tcW w:w="17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0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17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Capitala Finance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units/shares)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051"/>
        <w:gridCol w:w="60"/>
        <w:gridCol w:w="1881"/>
        <w:gridCol w:w="60"/>
        <w:gridCol w:w="2799"/>
        <w:gridCol w:w="60"/>
        <w:gridCol w:w="119"/>
        <w:gridCol w:w="561"/>
        <w:gridCol w:w="60"/>
        <w:gridCol w:w="60"/>
        <w:gridCol w:w="110"/>
        <w:gridCol w:w="605"/>
        <w:gridCol w:w="60"/>
        <w:gridCol w:w="60"/>
        <w:gridCol w:w="115"/>
        <w:gridCol w:w="632"/>
        <w:gridCol w:w="60"/>
        <w:gridCol w:w="60"/>
        <w:gridCol w:w="72"/>
        <w:gridCol w:w="516"/>
        <w:gridCol w:w="204"/>
      </w:tblGrid>
      <w:tr>
        <w:trPr/>
        <w:tc>
          <w:tcPr>
            <w:tcW w:w="205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Portfolio Company, Country </w:t>
            </w:r>
            <w:r>
              <w:rPr>
                <w:rFonts w:ascii="Times New Roman;Times;Serif" w:hAnsi="Times New Roman;Times;Serif"/>
                <w:b/>
                <w:i w:val="false"/>
                <w:caps w:val="false"/>
                <w:smallCaps w:val="false"/>
                <w:position w:val="5"/>
                <w:sz w:val="13"/>
                <w:sz w:val="16"/>
              </w:rPr>
              <w:t xml:space="preserve">(1), (2), (3), (4), (5)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47"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8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of</w:t>
              <w:br/>
              <w:t>Net Assets</w:t>
            </w:r>
          </w:p>
        </w:tc>
        <w:tc>
          <w:tcPr>
            <w:tcW w:w="204" w:type="dxa"/>
            <w:tcBorders/>
            <w:shd w:fill="auto" w:val="clear"/>
            <w:tcMar>
              <w:bottom w:w="0" w:type="dxa"/>
            </w:tcMar>
            <w:vAlign w:val="center"/>
          </w:tcPr>
          <w:p>
            <w:pPr>
              <w:pStyle w:val="TableContents"/>
              <w:spacing w:before="0" w:after="283"/>
              <w:ind w:left="0" w:right="0" w:hanging="180"/>
              <w:rPr>
                <w:caps w:val="false"/>
                <w:smallCaps w:val="false"/>
              </w:rPr>
            </w:pPr>
            <w:r>
              <w:rPr>
                <w:caps w:val="false"/>
                <w:smallCaps w:val="false"/>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LJS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QSR Franchisor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Units (92,924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LJS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QSR Franchisor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Membership Units (2,593,234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(12.0% Cash, Due 1/31/21) </w:t>
            </w:r>
            <w:r>
              <w:rPr>
                <w:rFonts w:ascii="Times New Roman;Times;Serif" w:hAnsi="Times New Roman;Times;Serif"/>
                <w:b w:val="false"/>
                <w:i w:val="false"/>
                <w:caps w:val="false"/>
                <w:smallCaps w:val="false"/>
                <w:position w:val="5"/>
                <w:sz w:val="13"/>
                <w:sz w:val="16"/>
              </w:rPr>
              <w:t>(16)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(6.0% Cash, Due 1/31/21) </w:t>
            </w:r>
            <w:r>
              <w:rPr>
                <w:rFonts w:ascii="Times New Roman;Times;Serif" w:hAnsi="Times New Roman;Times;Serif"/>
                <w:b w:val="false"/>
                <w:i w:val="false"/>
                <w:caps w:val="false"/>
                <w:smallCaps w:val="false"/>
                <w:position w:val="5"/>
                <w:sz w:val="13"/>
                <w:sz w:val="16"/>
              </w:rPr>
              <w:t>(16)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(1,000 units, 6.0% PIK Dividend) </w:t>
            </w:r>
            <w:r>
              <w:rPr>
                <w:rFonts w:ascii="Times New Roman;Times;Serif" w:hAnsi="Times New Roman;Times;Serif"/>
                <w:b w:val="false"/>
                <w:i w:val="false"/>
                <w:caps w:val="false"/>
                <w:smallCaps w:val="false"/>
                <w:position w:val="5"/>
                <w:sz w:val="13"/>
                <w:sz w:val="16"/>
              </w:rPr>
              <w:t>(10)</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Medical Device Distributor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Membership Units (45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(11.0% Cash, Due 6/30/23) </w:t>
            </w:r>
            <w:r>
              <w:rPr>
                <w:rFonts w:ascii="Times New Roman;Times;Serif" w:hAnsi="Times New Roman;Times;Serif"/>
                <w:b w:val="false"/>
                <w:i w:val="false"/>
                <w:caps w:val="false"/>
                <w:smallCaps w:val="false"/>
                <w:position w:val="5"/>
                <w:sz w:val="13"/>
                <w:sz w:val="16"/>
              </w:rPr>
              <w:t>(16)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Class A Preferred Stock (1,000 shares, 10.0% Cash Dividend) </w:t>
            </w:r>
            <w:r>
              <w:rPr>
                <w:rFonts w:ascii="Times New Roman;Times;Serif" w:hAnsi="Times New Roman;Times;Serif"/>
                <w:b w:val="false"/>
                <w:i w:val="false"/>
                <w:caps w:val="false"/>
                <w:smallCaps w:val="false"/>
                <w:position w:val="5"/>
                <w:sz w:val="13"/>
                <w:sz w:val="16"/>
              </w:rPr>
              <w:t>(10)</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Navis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Textile Equipment Manufacturer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(60,000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11,564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Nth Degree Investment Group,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Business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(6,088,000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RAM Payment,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First Lien Debt (10.0% Cash, Due 1/4/24) </w:t>
            </w:r>
            <w:r>
              <w:rPr>
                <w:rFonts w:ascii="Times New Roman;Times;Serif" w:hAnsi="Times New Roman;Times;Serif"/>
                <w:b w:val="false"/>
                <w:i w:val="false"/>
                <w:caps w:val="false"/>
                <w:smallCaps w:val="false"/>
                <w:position w:val="5"/>
                <w:sz w:val="13"/>
                <w:sz w:val="16"/>
              </w:rPr>
              <w:t>(6)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RAM Payment,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Preferred Units (86,000 units, 8.0% PIK Dividend) </w:t>
            </w:r>
            <w:r>
              <w:rPr>
                <w:rFonts w:ascii="Times New Roman;Times;Serif" w:hAnsi="Times New Roman;Times;Serif"/>
                <w:b w:val="false"/>
                <w:i w:val="false"/>
                <w:caps w:val="false"/>
                <w:smallCaps w:val="false"/>
                <w:position w:val="5"/>
                <w:sz w:val="13"/>
                <w:sz w:val="16"/>
              </w:rPr>
              <w:t>(10)</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Engineering and Consulting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Second Lien Debt (15.0% PIK, Due 9/12/23)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Oil &amp; Gas Engineering and Consulting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Stock (15,068,000 shares)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6,958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7,706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V12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Data Processing &amp; Digital Marketing</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w:t>
            </w:r>
            <w:r>
              <w:rPr>
                <w:rFonts w:ascii="Times New Roman;Times;Serif" w:hAnsi="Times New Roman;Times;Serif"/>
                <w:b w:val="false"/>
                <w:i w:val="false"/>
                <w:caps w:val="false"/>
                <w:smallCaps w:val="false"/>
                <w:position w:val="5"/>
                <w:sz w:val="13"/>
                <w:sz w:val="16"/>
              </w:rPr>
              <w:t>(9)</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 Total Affiliate investments - United States</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80,756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98,763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66.7</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 Investments - 15.3%</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5" w:type="dxa"/>
            <w:tcBorders/>
            <w:shd w:fill="CCEEFF" w:val="clear"/>
            <w:tcMar>
              <w:bottom w:w="0" w:type="dxa"/>
            </w:tcMar>
            <w:vAlign w:val="center"/>
          </w:tcPr>
          <w:p>
            <w:pPr>
              <w:pStyle w:val="TableContents"/>
              <w:spacing w:before="0" w:after="283"/>
              <w:jc w:val="left"/>
              <w:rPr/>
            </w:pPr>
            <w:r>
              <w:rPr/>
              <w:t> </w:t>
            </w:r>
          </w:p>
        </w:tc>
        <w:tc>
          <w:tcPr>
            <w:tcW w:w="632"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left"/>
              <w:rPr/>
            </w:pPr>
            <w:r>
              <w:rPr/>
              <w:t> </w:t>
            </w:r>
          </w:p>
        </w:tc>
        <w:tc>
          <w:tcPr>
            <w:tcW w:w="516" w:type="dxa"/>
            <w:tcBorders/>
            <w:shd w:fill="CCEEFF" w:val="clear"/>
            <w:tcMar>
              <w:bottom w:w="0" w:type="dxa"/>
            </w:tcMar>
            <w:vAlign w:val="center"/>
          </w:tcPr>
          <w:p>
            <w:pPr>
              <w:pStyle w:val="TableContents"/>
              <w:spacing w:before="0" w:after="283"/>
              <w:jc w:val="right"/>
              <w:rPr/>
            </w:pPr>
            <w:r>
              <w:rPr/>
              <w:t> </w:t>
            </w:r>
          </w:p>
        </w:tc>
        <w:tc>
          <w:tcPr>
            <w:tcW w:w="20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 investments - United States</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5" w:type="dxa"/>
            <w:tcBorders/>
            <w:shd w:fill="CCEEFF" w:val="clear"/>
            <w:tcMar>
              <w:bottom w:w="0" w:type="dxa"/>
            </w:tcMar>
            <w:vAlign w:val="center"/>
          </w:tcPr>
          <w:p>
            <w:pPr>
              <w:pStyle w:val="TableContents"/>
              <w:spacing w:before="0" w:after="283"/>
              <w:jc w:val="left"/>
              <w:rPr/>
            </w:pPr>
            <w:r>
              <w:rPr/>
              <w:t> </w:t>
            </w:r>
          </w:p>
        </w:tc>
        <w:tc>
          <w:tcPr>
            <w:tcW w:w="632"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left"/>
              <w:rPr/>
            </w:pPr>
            <w:r>
              <w:rPr/>
              <w:t> </w:t>
            </w:r>
          </w:p>
        </w:tc>
        <w:tc>
          <w:tcPr>
            <w:tcW w:w="516" w:type="dxa"/>
            <w:tcBorders/>
            <w:shd w:fill="CCEEFF" w:val="clear"/>
            <w:tcMar>
              <w:bottom w:w="0" w:type="dxa"/>
            </w:tcMar>
            <w:vAlign w:val="center"/>
          </w:tcPr>
          <w:p>
            <w:pPr>
              <w:pStyle w:val="TableContents"/>
              <w:spacing w:before="0" w:after="283"/>
              <w:jc w:val="right"/>
              <w:rPr/>
            </w:pPr>
            <w:r>
              <w:rPr/>
              <w:t> </w:t>
            </w:r>
          </w:p>
        </w:tc>
        <w:tc>
          <w:tcPr>
            <w:tcW w:w="204" w:type="dxa"/>
            <w:tcBorders/>
            <w:shd w:fill="CCEE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Capitala Senior Loan Fund II,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Funds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Second Lien Debt (6.7% Cash (1 month LIBOR + 5.0%), Due 9/3/24) </w:t>
            </w:r>
            <w:r>
              <w:rPr>
                <w:rFonts w:ascii="Times New Roman;Times;Serif" w:hAnsi="Times New Roman;Times;Serif"/>
                <w:b w:val="false"/>
                <w:i w:val="false"/>
                <w:caps w:val="false"/>
                <w:smallCaps w:val="false"/>
                <w:position w:val="5"/>
                <w:sz w:val="13"/>
                <w:sz w:val="16"/>
              </w:rPr>
              <w:t>(11)(19)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Capitala Senior Loan Fund II,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Funds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Membership Units (80.0% ownership) </w:t>
            </w:r>
            <w:r>
              <w:rPr>
                <w:rFonts w:ascii="Times New Roman;Times;Serif" w:hAnsi="Times New Roman;Times;Serif"/>
                <w:b w:val="false"/>
                <w:i w:val="false"/>
                <w:caps w:val="false"/>
                <w:smallCaps w:val="false"/>
                <w:position w:val="5"/>
                <w:sz w:val="13"/>
                <w:sz w:val="16"/>
              </w:rPr>
              <w:t>(11)(20)(21)</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13,631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13,631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First Lien Debt (10.5% Cash (1 month LIBOR + 8.5%, 2.0% Floor), Due 12/31/21)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6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Preferred Units (9,041,810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5"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632"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shd w:fill="FFFFFF" w:val="clear"/>
            <w:tcMar>
              <w:bottom w:w="0" w:type="dxa"/>
            </w:tcMar>
            <w:vAlign w:val="center"/>
          </w:tcPr>
          <w:p>
            <w:pPr>
              <w:pStyle w:val="TableContents"/>
              <w:spacing w:before="0" w:after="283"/>
              <w:jc w:val="left"/>
              <w:rPr/>
            </w:pPr>
            <w:r>
              <w:rPr/>
              <w:t> </w:t>
            </w:r>
          </w:p>
        </w:tc>
        <w:tc>
          <w:tcPr>
            <w:tcW w:w="516" w:type="dxa"/>
            <w:tcBorders/>
            <w:shd w:fill="FFFFFF" w:val="clear"/>
            <w:tcMar>
              <w:bottom w:w="0" w:type="dxa"/>
            </w:tcM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88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Information Technology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9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Membership Units (5,363,982 Units)</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3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0" w:type="dxa"/>
            <w:tcBorders>
              <w:bottom w:val="single" w:sz="8" w:space="0" w:color="000000"/>
            </w:tcBorders>
            <w:shd w:fill="FFFFFF" w:val="clear"/>
            <w:vAlign w:val="center"/>
          </w:tcPr>
          <w:p>
            <w:pPr>
              <w:pStyle w:val="TableContents"/>
              <w:spacing w:before="0" w:after="283"/>
              <w:jc w:val="left"/>
              <w:rPr/>
            </w:pPr>
            <w:r>
              <w:rPr/>
              <w:t> </w:t>
            </w:r>
          </w:p>
        </w:tc>
        <w:tc>
          <w:tcPr>
            <w:tcW w:w="605"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bottom w:val="single" w:sz="8" w:space="0" w:color="000000"/>
            </w:tcBorders>
            <w:shd w:fill="FFFFFF" w:val="clear"/>
            <w:vAlign w:val="center"/>
          </w:tcPr>
          <w:p>
            <w:pPr>
              <w:pStyle w:val="TableContents"/>
              <w:spacing w:before="0" w:after="283"/>
              <w:jc w:val="left"/>
              <w:rPr/>
            </w:pPr>
            <w:r>
              <w:rPr/>
              <w:t> </w:t>
            </w:r>
          </w:p>
        </w:tc>
        <w:tc>
          <w:tcPr>
            <w:tcW w:w="632" w:type="dxa"/>
            <w:tcBorders>
              <w:bottom w:val="single" w:sz="8" w:space="0" w:color="000000"/>
            </w:tcBorders>
            <w:shd w:fill="FFFFFF" w:val="cle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2" w:type="dxa"/>
            <w:tcBorders>
              <w:bottom w:val="single" w:sz="8" w:space="0" w:color="000000"/>
            </w:tcBorders>
            <w:shd w:fill="FFFFFF" w:val="clear"/>
            <w:vAlign w:val="center"/>
          </w:tcPr>
          <w:p>
            <w:pPr>
              <w:pStyle w:val="TableContents"/>
              <w:spacing w:before="0" w:after="283"/>
              <w:jc w:val="left"/>
              <w:rPr/>
            </w:pPr>
            <w:r>
              <w:rPr/>
              <w:t> </w:t>
            </w:r>
          </w:p>
        </w:tc>
        <w:tc>
          <w:tcPr>
            <w:tcW w:w="516" w:type="dxa"/>
            <w:tcBorders>
              <w:bottom w:val="single" w:sz="8" w:space="0" w:color="000000"/>
            </w:tcBorders>
            <w:shd w:fill="FFFFFF" w:val="clear"/>
            <w:vAlign w:val="center"/>
          </w:tcPr>
          <w:p>
            <w:pPr>
              <w:pStyle w:val="TableContents"/>
              <w:spacing w:before="0" w:after="283"/>
              <w:jc w:val="right"/>
              <w:rPr/>
            </w:pPr>
            <w:r>
              <w:rPr/>
              <w:t> </w:t>
            </w:r>
          </w:p>
        </w:tc>
        <w:tc>
          <w:tcPr>
            <w:tcW w:w="204" w:type="dxa"/>
            <w:tcBorders/>
            <w:shd w:fill="FFFFFF" w:val="clear"/>
            <w:tcMar>
              <w:bottom w:w="0" w:type="dxa"/>
            </w:tcMar>
            <w:vAlign w:val="center"/>
          </w:tcPr>
          <w:p>
            <w:pPr>
              <w:pStyle w:val="TableContents"/>
              <w:spacing w:before="0" w:after="283"/>
              <w:ind w:left="0" w:right="0" w:hanging="180"/>
              <w:jc w:val="left"/>
              <w:rPr/>
            </w:pPr>
            <w:r>
              <w:rPr/>
              <w:t> </w:t>
            </w:r>
          </w:p>
        </w:tc>
      </w:tr>
      <w:tr>
        <w:trPr/>
        <w:tc>
          <w:tcPr>
            <w:tcW w:w="205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32"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204" w:type="dxa"/>
            <w:tcBorders/>
            <w:shd w:fill="CCEEFF" w:val="clear"/>
            <w:tcMar>
              <w:bottom w:w="0" w:type="dxa"/>
            </w:tcM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51" w:type="dxa"/>
            <w:tcBorders/>
            <w:shd w:fill="FFFFFF" w:val="clear"/>
            <w:tcMar>
              <w:bottom w:w="0" w:type="dxa"/>
            </w:tcMar>
            <w:vAlign w:val="center"/>
          </w:tcPr>
          <w:p>
            <w:pPr>
              <w:pStyle w:val="TableContents"/>
              <w:spacing w:before="0" w:after="283"/>
              <w:jc w:val="left"/>
              <w:rPr>
                <w:b/>
                <w:sz w:val="16"/>
              </w:rPr>
            </w:pPr>
            <w:r>
              <w:rPr>
                <w:b/>
                <w:sz w:val="16"/>
              </w:rPr>
              <w:t>Sub Total Control investments - United States</w:t>
            </w:r>
          </w:p>
        </w:tc>
        <w:tc>
          <w:tcPr>
            <w:tcW w:w="60" w:type="dxa"/>
            <w:tcBorders/>
            <w:shd w:fill="FFFFFF" w:val="clear"/>
            <w:tcMar>
              <w:bottom w:w="0" w:type="dxa"/>
            </w:tcMar>
            <w:vAlign w:val="center"/>
          </w:tcPr>
          <w:p>
            <w:pPr>
              <w:pStyle w:val="TableContents"/>
              <w:spacing w:before="0" w:after="283"/>
              <w:rPr/>
            </w:pPr>
            <w:r>
              <w:rPr/>
              <w:t> </w:t>
            </w:r>
          </w:p>
        </w:tc>
        <w:tc>
          <w:tcPr>
            <w:tcW w:w="188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7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561"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22,692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2"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22,723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double" w:sz="6"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15.3</w:t>
            </w:r>
          </w:p>
        </w:tc>
        <w:tc>
          <w:tcPr>
            <w:tcW w:w="204" w:type="dxa"/>
            <w:tcBorders/>
            <w:shd w:fill="FFFFFF" w:val="clear"/>
            <w:tcMar>
              <w:bottom w:w="0" w:type="dxa"/>
            </w:tcMar>
            <w:vAlign w:val="center"/>
          </w:tcPr>
          <w:p>
            <w:pPr>
              <w:pStyle w:val="TableContents"/>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051" w:type="dxa"/>
            <w:tcBorders/>
            <w:shd w:fill="CCEEFF" w:val="clear"/>
            <w:tcMar>
              <w:bottom w:w="0" w:type="dxa"/>
            </w:tcMar>
            <w:vAlign w:val="center"/>
          </w:tcPr>
          <w:p>
            <w:pPr>
              <w:pStyle w:val="TableContents"/>
              <w:spacing w:before="0" w:after="283"/>
              <w:jc w:val="left"/>
              <w:rPr>
                <w:b/>
                <w:sz w:val="16"/>
              </w:rPr>
            </w:pPr>
            <w:r>
              <w:rPr>
                <w:b/>
                <w:sz w:val="16"/>
              </w:rPr>
              <w:t>TOTAL INVESTMENTS - 244.8%</w:t>
            </w:r>
          </w:p>
        </w:tc>
        <w:tc>
          <w:tcPr>
            <w:tcW w:w="60" w:type="dxa"/>
            <w:tcBorders/>
            <w:shd w:fill="CCEEFF" w:val="clear"/>
            <w:tcMar>
              <w:bottom w:w="0" w:type="dxa"/>
            </w:tcMar>
            <w:vAlign w:val="center"/>
          </w:tcPr>
          <w:p>
            <w:pPr>
              <w:pStyle w:val="TableContents"/>
              <w:spacing w:before="0" w:after="283"/>
              <w:rPr/>
            </w:pPr>
            <w:r>
              <w:rPr/>
              <w:t> </w:t>
            </w:r>
          </w:p>
        </w:tc>
        <w:tc>
          <w:tcPr>
            <w:tcW w:w="188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79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6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353,881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362,532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2"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244.8</w:t>
            </w:r>
          </w:p>
        </w:tc>
        <w:tc>
          <w:tcPr>
            <w:tcW w:w="204"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All investments valued using unobservable inputs (Level 3), unless otherwise noted.</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All investments valued by Capitala Finance Corp.'s (the "Company") board of directors.</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All debt investments are income producing, unless otherwise noted. Equity and warrant investments are non-income producing, unless otherwise noted.</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Percentages are based on net assets of $148,113 as of December 31, 2019.</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The cash rate equals the approximate current yield on our last-out portion of the unitranche facility.</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 The investment is convertible to preferred equity.</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 The investment has a $2.6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 The investment has been exited or sold. The residual value reflects estimated earnout, escrow, or other proceeds expected post-closing.</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 The equity investment is income producing, based on rate disclosed.</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 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2019, 8.1% of the Company's total assets were non-qualifying assets.</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 The investment has a $1.0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 The investment has a $3.5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 The investment has a $0.5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 The investment has a $4.5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 The maturity date of the original investment has been extended.</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 The company may elect to have 1.5% of its cash interest capitalized as paid-in-kind interest.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 Investment is valued using observable inputs (Level 1). The stock of the company is traded on the NASDAQ Capital Market under the ticker "USWS."</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 The investment has a $5.0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 The investment has a $6.4 million unfunded commitment.</w:t>
      </w:r>
    </w:p>
    <w:p>
      <w:pPr>
        <w:pStyle w:val="TextBody"/>
        <w:spacing w:before="0" w:after="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 The investment is valued based on the net asset value of the company.</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 w:name="x_001"/>
      <w:bookmarkEnd w:id="9"/>
      <w:r>
        <w:rPr>
          <w:rFonts w:ascii="Times New Roman;Times;Serif" w:hAnsi="Times New Roman;Times;Serif"/>
          <w:b/>
          <w:i w:val="false"/>
          <w:caps w:val="false"/>
          <w:smallCaps w:val="false"/>
          <w:sz w:val="20"/>
        </w:rPr>
        <w:t>CAPITALA FINANCE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both current income and capital appreciation through debt and equity investments. Both directly and through our subsidiary that is licensed by the U.S. Small Business Administration (“SBA”) under the Small Business Investment Act of 1958, as amended,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companies and traditional middle-market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Reverse Stock Split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2020, the Company’s board of directors (the “Board”) approved a one-for-six reverse stock split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and fractional shares were eliminated by paying cash for the fair value of a fractional portion of Shares. The Reverse Stock Split applied to all of the Company’s outstanding Shares and therefore did not affect any shareholder’s relative ownership percentage.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considered an investment company as defined in Accounting Standards Codification (“ASC”) Topic 946 — </w:t>
      </w:r>
      <w:r>
        <w:rPr>
          <w:rFonts w:ascii="Times New Roman;Times;Serif" w:hAnsi="Times New Roman;Times;Serif"/>
          <w:b w:val="false"/>
          <w:i/>
          <w:caps w:val="false"/>
          <w:smallCaps w:val="false"/>
          <w:sz w:val="20"/>
        </w:rPr>
        <w:t>Financial Services — Investment Companies</w:t>
      </w:r>
      <w:r>
        <w:rPr>
          <w:rFonts w:ascii="Times New Roman;Times;Serif" w:hAnsi="Times New Roman;Times;Serif"/>
          <w:b w:val="false"/>
          <w:i w:val="false"/>
          <w:caps w:val="false"/>
          <w:smallCaps w:val="false"/>
          <w:sz w:val="20"/>
        </w:rPr>
        <w:t xml:space="preserve"> (“ASC 946”)</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as of September 30, 2020 and December 31, 2019 and for the periods ended September 30,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2019, filed with the U.S. Securities and Exchange Commission (“SEC”) on March 2,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in the Preparation of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280 —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Classification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of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fair value accounting to all of its financial instruments in accordance with the 1940 Act and ASC Topic 820 —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used net asset value (“NAV”) as the fair value for its equity investment in CSLF II. CSLF II recorded its underlying investments at fair value on a quarterly basis in accordance with the 1940 Act and ASC 820.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methodologies summarized below are utilized by the Company in estimating fair value.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Value Waterfall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approach values an investment based on the value of the underlying collateral securing the investment.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recognition policies are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Interest income and paid-in-kind interest income: </w:t>
      </w:r>
      <w:r>
        <w:rPr>
          <w:rFonts w:ascii="Times New Roman;Times;Serif" w:hAnsi="Times New Roman;Times;Serif"/>
          <w:b w:val="false"/>
          <w:i w:val="false"/>
          <w:caps w:val="false"/>
          <w:smallCaps w:val="false"/>
          <w:sz w:val="20"/>
        </w:rPr>
        <w:t>Interest income is recorded on the accrual basis to the extent that such amounts are expected to be collected. The Company has loans in the portfolio that contain a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Non-accrual investments: </w:t>
      </w:r>
      <w:r>
        <w:rPr>
          <w:rFonts w:ascii="Times New Roman;Times;Serif" w:hAnsi="Times New Roman;Times;Serif"/>
          <w:b w:val="false"/>
          <w:i w:val="false"/>
          <w:caps w:val="false"/>
          <w:smallCaps w:val="false"/>
          <w:sz w:val="20"/>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Gains and losses on investment sales and paydowns: </w:t>
      </w:r>
      <w:r>
        <w:rPr>
          <w:rFonts w:ascii="Times New Roman;Times;Serif" w:hAnsi="Times New Roman;Times;Serif"/>
          <w:b w:val="false"/>
          <w:i w:val="false"/>
          <w:caps w:val="false"/>
          <w:smallCaps w:val="false"/>
          <w:sz w:val="20"/>
        </w:rPr>
        <w:t>Realized gains and losses on investments are recognized using the specific identification method.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 income and paid-in-kind dividends: </w:t>
      </w:r>
      <w:r>
        <w:rPr>
          <w:rFonts w:ascii="Times New Roman;Times;Serif" w:hAnsi="Times New Roman;Times;Serif"/>
          <w:b w:val="false"/>
          <w:i w:val="false"/>
          <w:caps w:val="false"/>
          <w:smallCaps w:val="false"/>
          <w:sz w:val="20"/>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Original issue discount: </w:t>
      </w:r>
      <w:r>
        <w:rPr>
          <w:rFonts w:ascii="Times New Roman;Times;Serif" w:hAnsi="Times New Roman;Times;Serif"/>
          <w:b w:val="false"/>
          <w:i w:val="false"/>
          <w:caps w:val="false"/>
          <w:smallCaps w:val="false"/>
          <w:sz w:val="20"/>
        </w:rPr>
        <w:t>Discounts received to par on loans purchased are capitalized and accreted into income over the life of the loan. Any remaining discount is accreted into income upon prepayment of the loan.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income: </w:t>
      </w:r>
      <w:r>
        <w:rPr>
          <w:rFonts w:ascii="Times New Roman;Times;Serif" w:hAnsi="Times New Roman;Times;Serif"/>
          <w:b w:val="false"/>
          <w:i w:val="false"/>
          <w:caps w:val="false"/>
          <w:smallCaps w:val="false"/>
          <w:sz w:val="20"/>
        </w:rPr>
        <w:t>Origination fees (to the extent services are performed to earn such income), amendment fees, consent fees, and other fees associated with investments in portfolio companies are recognized as income when the investment transaction closes. Prepayment penalties received by the Company for debt instruments repaid prior to maturity date are recorded as income upon receipt.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ASC Topic 860 — </w:t>
      </w:r>
      <w:r>
        <w:rPr>
          <w:rFonts w:ascii="Times New Roman;Times;Serif" w:hAnsi="Times New Roman;Times;Serif"/>
          <w:b w:val="false"/>
          <w:i/>
          <w:caps w:val="false"/>
          <w:smallCaps w:val="false"/>
          <w:sz w:val="20"/>
        </w:rPr>
        <w:t>Transfers and Servicing</w:t>
      </w:r>
      <w:r>
        <w:rPr>
          <w:rFonts w:ascii="Times New Roman;Times;Serif" w:hAnsi="Times New Roman;Times;Serif"/>
          <w:b w:val="false"/>
          <w:i w:val="false"/>
          <w:caps w:val="false"/>
          <w:smallCaps w:val="false"/>
          <w:sz w:val="20"/>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of ASC Topic 460 —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Financing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to issue the Company’s debt obligations are capitalized and are amortized over the term of the debt agreements under the effective interest method.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Earnings per share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Retroactive Adjustments for Reverse Stock Split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the Company had outstanding unfunded commitments related to debt investments in existing portfolio companies of $4.3 million (Rapid Fire Protection, Inc), $3.5 million (J5 Infrastructure Partners, LLC), $1.0 million (Freedom Electronics, LLC), and $1.0 million (U.S. BioTek Laboratories,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management’s opinion, no direct losses with respect to litigation contingencies were probable as of September 30, 2020 and December 31, 2019.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Company elected to amend its tax year end from August 31 to December 31 and filed a tax return for the four months ended December 31, 2017. The tax periods ended December 31, 2019, December 31, 2018, December 31, 2017, and August 31, 2017 remain subject to examination by U.S. federal, state, and local tax authorities. No interest expense or penalties have been assessed for the three and nine months ended September 30, 2020 and 2019. If the Company was required to recognize interest and penalties, if any, related to unrecognized tax benefits this would be recognized as income tax expense in the consolidated statements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as of September 30, 2020, the aggregate net unrealized depreciation for all securities was $(19.6) million. As of September 30, 2020, gross unrealized appreciation was $5.9 million and gross unrealized depreciation was $(25.5) million. The aggregate cost of securities for U.S. federal income tax purposes was $299.8 million as of September 30, 2020. For U.S. federal income tax purposes, as of December 31, 2019, the aggregate net unrealized depreciation for all securities was $(9.2) million. As of December 31, 2019, gross unrealized appreciation was $7.7 million and gross unrealized depreciation was $(16.9) million. The aggregate cost of securities for U.S. federal income tax purposes was $371.7 million as of December 31,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Taxable Subsidiaries record deferred tax assets or liabilities related to temporary book versus tax differences on the income or loss generated by the underlying equity investments held by the Taxable Subsidiaries. As of September 30, 2020 and December 31, 2019, the Company recorded a net deferred tax asset of $0.0. For the three and nine months ended September 30, 2020, the Company recorded a tax provision of $0.0. For the three and nine months ended September 30, 2019, the Company recorded a tax provision of $0.0 and $(0.6) million, respectively. As of September 30, 2020 and December 31, 2019, the valuation allowance on the Company’s deferred tax asset was $5.0 million and $3.2 million, respectively. During the three and nine months ended September 30, 2020, the Company recognized an increase in the valuation allowance of $1.0 million and $1.8 million, respectively. During the three and nine months ended September 30, 2019, the Company recognized an increase in the valuation allowance of $0.7 million and $2.7 million,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(which has been temporarily reduced to 10% for distributions declared on or after April 1, 2020, and on or before December 31, 2020)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Topic 740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2020 and December 31, 2019, there were no uncertain tax positions.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provides guidance on thresholds, measurement, de-recognition, classification, interest and penalties, accounting in interim periods, disclosure, and transition that is intended to provide better financial statement comparability among different entities.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consolidated financial statements, related tax disclosures, and the value of the investments.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Investment Risk, Concentration of Credit Risk, Liquidity Risk, and COVID-19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 may attempt to minimize this risk by maintaining low debt-to-liquidation values with each debt investment and the collateral underlying the debt investment.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results and portfolio companies may be negatively impacted by the recent outbreak of COVID-19. On March 11, 2020, the World Health Organization declared COVID-19 a pandemic, and on March 13, 2020, a national emergency was declared in the U.S. The ongoing spread of COVID-19 has had, and will continue to have, a material adverse impact on the U.S. and global economy as commercial activity and public perception have been negatively impacted by the outbreak. The ultimate extent to which the COVID-19 pandemic will impact the Company’s financial condition and results of operations will depend on future developments affecting not only the Company, but also the entire U.S. and global economy, which are inherently uncertain, including, among others, new information that may emerge concerning the severity and rate of spread of the disease.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the rapidly evolving situation surrounding the COVID-19 pandemic and guidance from U.S. and international authorities, including federal, state and local public health authorities, and may take additional actions based on their recommendations. In these circumstances, there may be developments outside our control requiring us to adjust our plan of operation. For example, recurring COVID-19 outbreaks have led to the re-introduction or continuation of certain public health restrictions (such as instituting quarantines, prohibitions on travel and the closure of offices, businesses, schools, retail stores and other public venues) in certain states in the United States and globally and could continue to lead to the re-introduction of such restrictions elsewhere. As such, given the dynamic nature of this situation, we cannot reasonably estimate the impact of the COVID-19 pandemic on our financial condition, results of operations or cash flows in the future.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Financial Accounting Standards Board (“FASB”) issued Accounting Standards Update (“ASU”)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has evaluated the impact of adoption of ASU 2018-13 and determined that these changes did not have a significant impact on the Company’s consolidated financial statements and disclosures.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FASB issued ASU 2020-04, Reference Rate Reform. The amendments in ASU 2020-04 provide optional expedients and exceptions for applying U.S. GAAP to contracts, hedging relationships, and other transactions affected by reference rate reform if certain criteria are met. The standard is effective as of March 12, 2020 through December 31, 2022. Management is currently evaluating the impact of the optional guidance on the Company’s consolidated financial statements and disclosures. The Company did not utilize the optional expedients and exceptions provided by ASU 2020-04 during the three and nine months ended September 30,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ending after December 15, 2021. Early adoption is permitted, but no earlier than fiscal years beginning after December 15, 2020. Management is currently evaluating the impact of adoption of ASU 2020-06.</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Investments and Fair Value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companies and traditional middle-market companies. As of September 30, 2020, our portfolio consisted of investments in 36 portfolio companies with a fair value of approximately $280.2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2020, 14.1%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2020, the Company made approximately $0.3 million of investments and had approximately $10.3 million in repayments and sales, resulting in net repayments and sales of approximately $10.0 million for the period. During the three months ended September 30, 2019, the Company made approximately $13.9 million of investments and had approximately $33.2 million in repayments and sales, resulting in net repayments and sales of approximately $19.3 million for the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2020, the Company made approximately $21.1 million of investments and had approximately $69.2 million in repayments and sales, resulting in net repayments and sales of approximately $48.1 million for the period. During the nine months ended September 30, 2019, the Company made approximately $48.8 million of investments and had approximately $91.3 million in repayments and sales, resulting in net repayments and sales of approximately $42.5 million for the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2020, the Company funded $0.0 and $4.5 million, respectively, of previously committed capital to existing portfolio companies. During the three and nine months ended September 30, 2020, the Company funded $0.3 million and $16.6 million, respectively, of investments in portfolio companies for which it was not previously committed to fund. During the three and nine months ended September 30, 2019, the Company funded $1.5 million and $6.4 million, respectively, of previously committed capital to existing portfolio companies. During the three and nine months ended September 30, 2019, the Company funded $12.4 million and $42.4 million, respectively, of investments in portfolio companies for which it was not previously committed to fund. During the three and nine months ended September 30, 2020 and 2019, the Company did not lead any syndicates.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the Company’s Board approved the fair value of the Company’s investment portfolio of approximately $280.2 million in good faith in accordance with the Company’s valuation procedures. The Company’s Board approved the fair value of the Company’s investment portfolio as of September 30,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September 30, 2020 by circumstances and events that are not yet known.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The Company is working with each of its portfolio companies to help them access short-term liquidity through interest deferrals, funding on unused lines of credit, and other sources of liquidity.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September 30, 2020, at amortized cost and fair value was as follows (dollars in thousands):</w:t>
      </w:r>
    </w:p>
    <w:p>
      <w:pPr>
        <w:pStyle w:val="TextBody"/>
        <w:spacing w:before="0" w:after="0"/>
        <w:ind w:left="0" w:right="0" w:firstLine="720"/>
        <w:jc w:val="both"/>
        <w:rPr>
          <w:caps w:val="false"/>
          <w:smallCaps w:val="false"/>
        </w:rPr>
      </w:pPr>
      <w:r>
        <w:rPr>
          <w:caps w:val="false"/>
          <w:smallCaps w:val="false"/>
        </w:rPr>
        <w:t> </w:t>
      </w:r>
    </w:p>
    <w:tbl>
      <w:tblPr>
        <w:tblW w:w="7445" w:type="dxa"/>
        <w:jc w:val="left"/>
        <w:tblInd w:w="0" w:type="dxa"/>
        <w:tblCellMar>
          <w:top w:w="0" w:type="dxa"/>
          <w:left w:w="0" w:type="dxa"/>
          <w:bottom w:w="0" w:type="dxa"/>
          <w:right w:w="0" w:type="dxa"/>
        </w:tblCellMar>
      </w:tblPr>
      <w:tblGrid>
        <w:gridCol w:w="1700"/>
        <w:gridCol w:w="60"/>
        <w:gridCol w:w="204"/>
        <w:gridCol w:w="1136"/>
        <w:gridCol w:w="60"/>
        <w:gridCol w:w="60"/>
        <w:gridCol w:w="147"/>
        <w:gridCol w:w="1193"/>
        <w:gridCol w:w="185"/>
        <w:gridCol w:w="60"/>
        <w:gridCol w:w="156"/>
        <w:gridCol w:w="869"/>
        <w:gridCol w:w="60"/>
        <w:gridCol w:w="60"/>
        <w:gridCol w:w="142"/>
        <w:gridCol w:w="1153"/>
        <w:gridCol w:w="200"/>
      </w:tblGrid>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Amortized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 Cost</w:t>
              <w:br/>
              <w:t>Percentage of</w:t>
              <w:br/>
              <w:t>Total Portfolio</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br/>
              <w:t>Percentage of</w:t>
              <w:br/>
              <w:t>Total Portfolio</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37,487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9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283,197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9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December 31, 2019, at amortized cost and fair value was as follows (dollars in thousands):</w:t>
      </w:r>
    </w:p>
    <w:p>
      <w:pPr>
        <w:pStyle w:val="TextBody"/>
        <w:spacing w:before="0" w:after="0"/>
        <w:ind w:left="0" w:right="0" w:firstLine="720"/>
        <w:jc w:val="both"/>
        <w:rPr>
          <w:caps w:val="false"/>
          <w:smallCaps w:val="false"/>
        </w:rPr>
      </w:pPr>
      <w:r>
        <w:rPr>
          <w:caps w:val="false"/>
          <w:smallCaps w:val="false"/>
        </w:rPr>
        <w:t> </w:t>
      </w:r>
    </w:p>
    <w:tbl>
      <w:tblPr>
        <w:tblW w:w="8599" w:type="dxa"/>
        <w:jc w:val="left"/>
        <w:tblInd w:w="0" w:type="dxa"/>
        <w:tblCellMar>
          <w:top w:w="0" w:type="dxa"/>
          <w:left w:w="0" w:type="dxa"/>
          <w:bottom w:w="0" w:type="dxa"/>
          <w:right w:w="0" w:type="dxa"/>
        </w:tblCellMar>
      </w:tblPr>
      <w:tblGrid>
        <w:gridCol w:w="2855"/>
        <w:gridCol w:w="60"/>
        <w:gridCol w:w="204"/>
        <w:gridCol w:w="1136"/>
        <w:gridCol w:w="60"/>
        <w:gridCol w:w="60"/>
        <w:gridCol w:w="147"/>
        <w:gridCol w:w="1193"/>
        <w:gridCol w:w="185"/>
        <w:gridCol w:w="60"/>
        <w:gridCol w:w="156"/>
        <w:gridCol w:w="869"/>
        <w:gridCol w:w="60"/>
        <w:gridCol w:w="60"/>
        <w:gridCol w:w="142"/>
        <w:gridCol w:w="1152"/>
        <w:gridCol w:w="200"/>
      </w:tblGrid>
      <w:tr>
        <w:trPr/>
        <w:tc>
          <w:tcPr>
            <w:tcW w:w="2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Amortized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 Cost</w:t>
              <w:br/>
              <w:t>Percentage of</w:t>
              <w:br/>
              <w:t>Total Portfolio</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br/>
              <w:t>Percentage of</w:t>
              <w:br/>
              <w:t>Total Portfolio</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235,646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54,079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Senior Loan Fund II,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353,881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9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1 — Valuations based on quoted prices in active markets for identical assets or liabilities that the Company has the ability to access.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2 — Valuations based on inputs other than quoted prices in active markets, which are either directly or indirectly observable.</w:t>
            </w:r>
          </w:p>
        </w:tc>
      </w:tr>
    </w:tbl>
    <w:p>
      <w:pPr>
        <w:pStyle w:val="TextBody"/>
        <w:spacing w:before="0" w:after="0"/>
        <w:ind w:left="0" w:right="0" w:hanging="0"/>
        <w:rPr>
          <w:caps w:val="false"/>
          <w:smallCaps w:val="false"/>
        </w:rPr>
      </w:pPr>
      <w:r>
        <w:rPr>
          <w:caps w:val="false"/>
          <w:smallCaps w:val="false"/>
        </w:rPr>
        <w:t> </w:t>
      </w:r>
    </w:p>
    <w:tbl>
      <w:tblPr>
        <w:tblW w:w="9520" w:type="dxa"/>
        <w:jc w:val="left"/>
        <w:tblInd w:w="0" w:type="dxa"/>
        <w:tblCellMar>
          <w:top w:w="0" w:type="dxa"/>
          <w:left w:w="0" w:type="dxa"/>
          <w:bottom w:w="0" w:type="dxa"/>
          <w:right w:w="0" w:type="dxa"/>
        </w:tblCellMar>
      </w:tblPr>
      <w:tblGrid>
        <w:gridCol w:w="75"/>
        <w:gridCol w:w="170"/>
        <w:gridCol w:w="92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2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Level 3 — Valuations based on inputs that are unobservable and significant to the overall fair value measurement.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measurements of investments, by major class, as of September 30, 2020, according to the fair value hierarchy (dollars in thousands):</w:t>
      </w:r>
    </w:p>
    <w:p>
      <w:pPr>
        <w:pStyle w:val="TextBody"/>
        <w:spacing w:before="0" w:after="0"/>
        <w:ind w:left="0" w:right="0" w:firstLine="720"/>
        <w:jc w:val="both"/>
        <w:rPr>
          <w:caps w:val="false"/>
          <w:smallCaps w:val="false"/>
        </w:rPr>
      </w:pPr>
      <w:r>
        <w:rPr>
          <w:caps w:val="false"/>
          <w:smallCaps w:val="false"/>
        </w:rPr>
        <w:t> </w:t>
      </w:r>
    </w:p>
    <w:tbl>
      <w:tblPr>
        <w:tblW w:w="5133" w:type="dxa"/>
        <w:jc w:val="left"/>
        <w:tblInd w:w="0" w:type="dxa"/>
        <w:tblCellMar>
          <w:top w:w="0" w:type="dxa"/>
          <w:left w:w="0" w:type="dxa"/>
          <w:bottom w:w="0" w:type="dxa"/>
          <w:right w:w="0" w:type="dxa"/>
        </w:tblCellMar>
      </w:tblPr>
      <w:tblGrid>
        <w:gridCol w:w="1700"/>
        <w:gridCol w:w="60"/>
        <w:gridCol w:w="175"/>
        <w:gridCol w:w="474"/>
        <w:gridCol w:w="60"/>
        <w:gridCol w:w="60"/>
        <w:gridCol w:w="210"/>
        <w:gridCol w:w="439"/>
        <w:gridCol w:w="60"/>
        <w:gridCol w:w="60"/>
        <w:gridCol w:w="125"/>
        <w:gridCol w:w="695"/>
        <w:gridCol w:w="60"/>
        <w:gridCol w:w="60"/>
        <w:gridCol w:w="125"/>
        <w:gridCol w:w="695"/>
        <w:gridCol w:w="75"/>
      </w:tblGrid>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98"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186,981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37,487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37,487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279,924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fair value measurements of investments, by major class, as of December 31, 2019, according to the fair value hierarchy (dollars in thousands):</w:t>
      </w:r>
    </w:p>
    <w:p>
      <w:pPr>
        <w:pStyle w:val="TextBody"/>
        <w:spacing w:before="0" w:after="0"/>
        <w:ind w:left="0" w:right="0" w:firstLine="720"/>
        <w:jc w:val="both"/>
        <w:rPr>
          <w:caps w:val="false"/>
          <w:smallCaps w:val="false"/>
        </w:rPr>
      </w:pPr>
      <w:r>
        <w:rPr>
          <w:caps w:val="false"/>
          <w:smallCaps w:val="false"/>
        </w:rPr>
        <w:t> </w:t>
      </w:r>
    </w:p>
    <w:tbl>
      <w:tblPr>
        <w:tblW w:w="5133" w:type="dxa"/>
        <w:jc w:val="left"/>
        <w:tblInd w:w="0" w:type="dxa"/>
        <w:tblCellMar>
          <w:top w:w="0" w:type="dxa"/>
          <w:left w:w="0" w:type="dxa"/>
          <w:bottom w:w="0" w:type="dxa"/>
          <w:right w:w="0" w:type="dxa"/>
        </w:tblCellMar>
      </w:tblPr>
      <w:tblGrid>
        <w:gridCol w:w="1700"/>
        <w:gridCol w:w="60"/>
        <w:gridCol w:w="133"/>
        <w:gridCol w:w="516"/>
        <w:gridCol w:w="60"/>
        <w:gridCol w:w="60"/>
        <w:gridCol w:w="210"/>
        <w:gridCol w:w="439"/>
        <w:gridCol w:w="60"/>
        <w:gridCol w:w="60"/>
        <w:gridCol w:w="125"/>
        <w:gridCol w:w="695"/>
        <w:gridCol w:w="60"/>
        <w:gridCol w:w="60"/>
        <w:gridCol w:w="125"/>
        <w:gridCol w:w="695"/>
        <w:gridCol w:w="75"/>
      </w:tblGrid>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98"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r>
              <w:rPr>
                <w:rFonts w:ascii="Times New Roman;Times;Serif" w:hAnsi="Times New Roman;Times;Serif"/>
                <w:b/>
                <w:i w:val="false"/>
                <w:caps w:val="false"/>
                <w:smallCaps w:val="false"/>
                <w:position w:val="7"/>
                <w:sz w:val="16"/>
                <w:sz w:val="20"/>
              </w:rPr>
              <w:t>(1)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6"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231,203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61,568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346,628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348,901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260"/>
        <w:gridCol w:w="665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650" w:type="dxa"/>
            <w:tcBorders/>
            <w:shd w:fill="auto" w:val="clear"/>
            <w:vAlign w:val="center"/>
          </w:tcPr>
          <w:p>
            <w:pPr>
              <w:pStyle w:val="TableContents"/>
              <w:spacing w:before="0" w:after="283"/>
              <w:rPr/>
            </w:pPr>
            <w:r>
              <w:rPr/>
              <w:t> </w:t>
            </w:r>
            <w:r>
              <w:rPr>
                <w:rFonts w:ascii="Times New Roman;Times;Serif" w:hAnsi="Times New Roman;Times;Serif"/>
                <w:sz w:val="20"/>
              </w:rPr>
              <w:t>Excludes the Company’s $13.6 million investment in CSLF II, measured at NAV.</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nine months ended September 30, 2020 (dollars in thousands):</w:t>
      </w:r>
    </w:p>
    <w:p>
      <w:pPr>
        <w:pStyle w:val="TextBody"/>
        <w:spacing w:before="0" w:after="0"/>
        <w:ind w:left="0" w:right="0" w:firstLine="720"/>
        <w:rPr>
          <w:caps w:val="false"/>
          <w:smallCaps w:val="false"/>
        </w:rPr>
      </w:pPr>
      <w:r>
        <w:rPr>
          <w:caps w:val="false"/>
          <w:smallCaps w:val="false"/>
        </w:rPr>
        <w:t> </w:t>
      </w:r>
    </w:p>
    <w:tbl>
      <w:tblPr>
        <w:tblW w:w="9302" w:type="dxa"/>
        <w:jc w:val="left"/>
        <w:tblInd w:w="0" w:type="dxa"/>
        <w:tblCellMar>
          <w:top w:w="0" w:type="dxa"/>
          <w:left w:w="0" w:type="dxa"/>
          <w:bottom w:w="0" w:type="dxa"/>
          <w:right w:w="0" w:type="dxa"/>
        </w:tblCellMar>
      </w:tblPr>
      <w:tblGrid>
        <w:gridCol w:w="4745"/>
        <w:gridCol w:w="60"/>
        <w:gridCol w:w="131"/>
        <w:gridCol w:w="728"/>
        <w:gridCol w:w="80"/>
        <w:gridCol w:w="60"/>
        <w:gridCol w:w="170"/>
        <w:gridCol w:w="884"/>
        <w:gridCol w:w="125"/>
        <w:gridCol w:w="60"/>
        <w:gridCol w:w="193"/>
        <w:gridCol w:w="1011"/>
        <w:gridCol w:w="80"/>
        <w:gridCol w:w="60"/>
        <w:gridCol w:w="125"/>
        <w:gridCol w:w="695"/>
        <w:gridCol w:w="95"/>
      </w:tblGrid>
      <w:tr>
        <w:trPr/>
        <w:tc>
          <w:tcPr>
            <w:tcW w:w="4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First Lien</w:t>
              <w:br/>
              <w:t>Debt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Second Lien</w:t>
              <w:br/>
              <w:t>Debt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Equity</w:t>
              <w:br/>
              <w:t>and Warrants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shd w:fill="auto"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Balance as of January 1, 2020</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231,203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53,857</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61,568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346,628</w:t>
            </w:r>
          </w:p>
        </w:tc>
        <w:tc>
          <w:tcPr>
            <w:tcW w:w="95" w:type="dxa"/>
            <w:tcBorders/>
            <w:shd w:fill="CCEEFF" w:val="clear"/>
            <w:vAlign w:val="center"/>
          </w:tcPr>
          <w:p>
            <w:pPr>
              <w:pStyle w:val="TableContents"/>
              <w:spacing w:before="0" w:after="283"/>
              <w:rPr/>
            </w:pPr>
            <w:r>
              <w:rPr/>
              <w:t> </w:t>
            </w:r>
          </w:p>
        </w:tc>
      </w:tr>
      <w:tr>
        <w:trPr/>
        <w:tc>
          <w:tcPr>
            <w:tcW w:w="474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Reclassifications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(7,427</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88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01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Repayments/sales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(41,292</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(12,384</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(56,041</w:t>
            </w:r>
          </w:p>
        </w:tc>
        <w:tc>
          <w:tcPr>
            <w:tcW w:w="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19,480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88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01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21,070</w:t>
            </w:r>
          </w:p>
        </w:tc>
        <w:tc>
          <w:tcPr>
            <w:tcW w:w="95" w:type="dxa"/>
            <w:tcBorders/>
            <w:shd w:fill="FFFFFF"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Payment-in-kind interest and dividends accrued</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1,224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190</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1,544</w:t>
            </w:r>
          </w:p>
        </w:tc>
        <w:tc>
          <w:tcPr>
            <w:tcW w:w="95" w:type="dxa"/>
            <w:tcBorders/>
            <w:shd w:fill="CCEEFF" w:val="clear"/>
            <w:vAlign w:val="center"/>
          </w:tcPr>
          <w:p>
            <w:pPr>
              <w:pStyle w:val="TableContents"/>
              <w:spacing w:before="0" w:after="283"/>
              <w:rPr/>
            </w:pPr>
            <w:r>
              <w:rPr/>
              <w:t> </w:t>
            </w:r>
          </w:p>
        </w:tc>
      </w:tr>
      <w:tr>
        <w:trPr/>
        <w:tc>
          <w:tcPr>
            <w:tcW w:w="474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Accretion of original issue discount</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88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277</w:t>
            </w:r>
          </w:p>
        </w:tc>
        <w:tc>
          <w:tcPr>
            <w:tcW w:w="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01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520</w:t>
            </w:r>
          </w:p>
        </w:tc>
        <w:tc>
          <w:tcPr>
            <w:tcW w:w="95" w:type="dxa"/>
            <w:tcBorders/>
            <w:shd w:fill="FFFFFF"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realized gain (loss) on investments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(15,382</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88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(4,933</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(17,950</w:t>
            </w:r>
          </w:p>
        </w:tc>
        <w:tc>
          <w:tcPr>
            <w:tcW w:w="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unrealized appreciation (depreciation) on investments</w:t>
            </w:r>
          </w:p>
        </w:tc>
        <w:tc>
          <w:tcPr>
            <w:tcW w:w="60" w:type="dxa"/>
            <w:tcBorders/>
            <w:shd w:fill="FFFFFF" w:val="clear"/>
            <w:vAlign w:val="center"/>
          </w:tcPr>
          <w:p>
            <w:pPr>
              <w:pStyle w:val="TableContents"/>
              <w:spacing w:before="0" w:after="283"/>
              <w:rPr/>
            </w:pPr>
            <w:r>
              <w:rPr/>
              <w:t> </w:t>
            </w:r>
          </w:p>
        </w:tc>
        <w:tc>
          <w:tcPr>
            <w:tcW w:w="131" w:type="dxa"/>
            <w:tcBorders>
              <w:bottom w:val="single" w:sz="8" w:space="0" w:color="000000"/>
            </w:tcBorders>
            <w:shd w:fill="FFFFFF" w:val="clear"/>
            <w:tcMar>
              <w:bottom w:w="28" w:type="dxa"/>
            </w:tcMar>
            <w:vAlign w:val="center"/>
          </w:tcPr>
          <w:p>
            <w:pPr>
              <w:pStyle w:val="TableContents"/>
              <w:spacing w:before="0" w:after="283"/>
              <w:rPr/>
            </w:pPr>
            <w:r>
              <w:rPr/>
              <w:t> </w:t>
            </w:r>
          </w:p>
        </w:tc>
        <w:tc>
          <w:tcPr>
            <w:tcW w:w="72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(1,068</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70" w:type="dxa"/>
            <w:tcBorders>
              <w:bottom w:val="single" w:sz="8" w:space="0" w:color="000000"/>
            </w:tcBorders>
            <w:shd w:fill="FFFFFF" w:val="clear"/>
            <w:tcMar>
              <w:bottom w:w="28" w:type="dxa"/>
            </w:tcMar>
            <w:vAlign w:val="center"/>
          </w:tcPr>
          <w:p>
            <w:pPr>
              <w:pStyle w:val="TableContents"/>
              <w:spacing w:before="0" w:after="283"/>
              <w:rPr/>
            </w:pPr>
            <w:r>
              <w:rPr/>
              <w:t> </w:t>
            </w:r>
          </w:p>
        </w:tc>
        <w:tc>
          <w:tcPr>
            <w:tcW w:w="88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480</w:t>
            </w:r>
          </w:p>
        </w:tc>
        <w:tc>
          <w:tcPr>
            <w:tcW w:w="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3" w:type="dxa"/>
            <w:tcBorders>
              <w:bottom w:val="single" w:sz="8" w:space="0" w:color="000000"/>
            </w:tcBorders>
            <w:shd w:fill="FFFFFF" w:val="clear"/>
            <w:tcMar>
              <w:bottom w:w="28" w:type="dxa"/>
            </w:tcMar>
            <w:vAlign w:val="center"/>
          </w:tcPr>
          <w:p>
            <w:pPr>
              <w:pStyle w:val="TableContents"/>
              <w:spacing w:before="0" w:after="283"/>
              <w:rPr/>
            </w:pPr>
            <w:r>
              <w:rPr/>
              <w:t> </w:t>
            </w:r>
          </w:p>
        </w:tc>
        <w:tc>
          <w:tcPr>
            <w:tcW w:w="1011"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(15,259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rPr/>
            </w:pPr>
            <w:r>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(15,847</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Balance as of September 30, 2020</w:t>
            </w:r>
          </w:p>
        </w:tc>
        <w:tc>
          <w:tcPr>
            <w:tcW w:w="60" w:type="dxa"/>
            <w:tcBorders/>
            <w:shd w:fill="CCEEFF" w:val="clear"/>
            <w:vAlign w:val="center"/>
          </w:tcPr>
          <w:p>
            <w:pPr>
              <w:pStyle w:val="TableContents"/>
              <w:spacing w:before="0" w:after="283"/>
              <w:rPr/>
            </w:pPr>
            <w:r>
              <w:rPr/>
              <w:t> </w:t>
            </w:r>
          </w:p>
        </w:tc>
        <w:tc>
          <w:tcPr>
            <w:tcW w:w="131"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186,981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37,487</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3"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55,456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279,924</w:t>
            </w:r>
          </w:p>
        </w:tc>
        <w:tc>
          <w:tcPr>
            <w:tcW w:w="9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nine months ended September 30, 2019 (dollars in thousands):</w:t>
      </w:r>
    </w:p>
    <w:p>
      <w:pPr>
        <w:pStyle w:val="TextBody"/>
        <w:spacing w:before="0" w:after="0"/>
        <w:ind w:left="0" w:right="0" w:firstLine="720"/>
        <w:jc w:val="both"/>
        <w:rPr>
          <w:caps w:val="false"/>
          <w:smallCaps w:val="false"/>
        </w:rPr>
      </w:pPr>
      <w:r>
        <w:rPr>
          <w:caps w:val="false"/>
          <w:smallCaps w:val="false"/>
        </w:rPr>
        <w:t> </w:t>
      </w:r>
    </w:p>
    <w:tbl>
      <w:tblPr>
        <w:tblW w:w="9257" w:type="dxa"/>
        <w:jc w:val="left"/>
        <w:tblInd w:w="0" w:type="dxa"/>
        <w:tblCellMar>
          <w:top w:w="0" w:type="dxa"/>
          <w:left w:w="0" w:type="dxa"/>
          <w:bottom w:w="0" w:type="dxa"/>
          <w:right w:w="0" w:type="dxa"/>
        </w:tblCellMar>
      </w:tblPr>
      <w:tblGrid>
        <w:gridCol w:w="4745"/>
        <w:gridCol w:w="60"/>
        <w:gridCol w:w="131"/>
        <w:gridCol w:w="728"/>
        <w:gridCol w:w="80"/>
        <w:gridCol w:w="60"/>
        <w:gridCol w:w="160"/>
        <w:gridCol w:w="894"/>
        <w:gridCol w:w="80"/>
        <w:gridCol w:w="60"/>
        <w:gridCol w:w="193"/>
        <w:gridCol w:w="1011"/>
        <w:gridCol w:w="80"/>
        <w:gridCol w:w="60"/>
        <w:gridCol w:w="125"/>
        <w:gridCol w:w="695"/>
        <w:gridCol w:w="95"/>
      </w:tblGrid>
      <w:tr>
        <w:trPr/>
        <w:tc>
          <w:tcPr>
            <w:tcW w:w="47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Lien</w:t>
              <w:br/>
              <w:t>Debt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5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Lien</w:t>
              <w:br/>
              <w:t>Debt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br/>
              <w:t>and Warrants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r>
              <w:rPr>
                <w:rFonts w:ascii="Times New Roman;Times;Serif" w:hAnsi="Times New Roman;Times;Serif"/>
                <w:b/>
                <w:i w:val="false"/>
                <w:caps w:val="false"/>
                <w:smallCaps w:val="false"/>
                <w:position w:val="7"/>
                <w:sz w:val="16"/>
                <w:sz w:val="20"/>
              </w:rPr>
              <w:t>(1)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7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January 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237,570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105,608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435,232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Repayments/sales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(52,197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48,785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Payment-in-kind interest and dividends accrued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7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7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appreciation (depreciation)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(9,914</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Transfers out of Level 3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4"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(9,861</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4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September 30, 2019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220,049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59,709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75,302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355,060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720"/>
        <w:jc w:val="both"/>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260"/>
        <w:gridCol w:w="665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650" w:type="dxa"/>
            <w:tcBorders/>
            <w:shd w:fill="auto" w:val="clear"/>
            <w:vAlign w:val="center"/>
          </w:tcPr>
          <w:p>
            <w:pPr>
              <w:pStyle w:val="TableContents"/>
              <w:spacing w:before="0" w:after="283"/>
              <w:jc w:val="both"/>
              <w:rPr/>
            </w:pPr>
            <w:r>
              <w:rPr/>
              <w:t> </w:t>
            </w:r>
            <w:r>
              <w:rPr>
                <w:rFonts w:ascii="Times New Roman;Times;Serif" w:hAnsi="Times New Roman;Times;Serif"/>
                <w:sz w:val="20"/>
              </w:rPr>
              <w:t>Excludes the Company’s $13.7 million investment in CSLF II, measured at NAV.</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94" w:type="dxa"/>
            <w:tcBorders/>
            <w:shd w:fill="auto" w:val="clear"/>
            <w:vAlign w:val="center"/>
          </w:tcPr>
          <w:p>
            <w:pPr>
              <w:pStyle w:val="TableContents"/>
              <w:spacing w:before="0" w:after="283"/>
              <w:jc w:val="both"/>
              <w:rPr/>
            </w:pPr>
            <w:r>
              <w:rPr/>
              <w:t> </w:t>
            </w:r>
            <w:r>
              <w:rPr>
                <w:rFonts w:ascii="Times New Roman;Times;Serif" w:hAnsi="Times New Roman;Times;Serif"/>
                <w:sz w:val="20"/>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nine months ended September 30, 2019 was $(7.2) million.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change in unrealized depreciation on investments held was $(20.1) million and $(19.5) million for the nine months ended September 30, 2020 and 2019, respectively, and is included in net unrealized appreciation (depreciation) on investments in the consolidated statements of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techniques and significant unobservable inputs used in recurring Level 3 fair value measurements of assets as of September 30, 2020 were as follows: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94"/>
        <w:gridCol w:w="60"/>
        <w:gridCol w:w="207"/>
        <w:gridCol w:w="809"/>
        <w:gridCol w:w="60"/>
        <w:gridCol w:w="60"/>
        <w:gridCol w:w="2325"/>
        <w:gridCol w:w="60"/>
        <w:gridCol w:w="1879"/>
        <w:gridCol w:w="60"/>
        <w:gridCol w:w="3391"/>
      </w:tblGrid>
      <w:tr>
        <w:trPr/>
        <w:tc>
          <w:tcPr>
            <w:tcW w:w="129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Fair Value</w:t>
              <w:br/>
              <w:t>(in millions)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325"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Approach </w:t>
            </w:r>
          </w:p>
        </w:tc>
        <w:tc>
          <w:tcPr>
            <w:tcW w:w="60" w:type="dxa"/>
            <w:tcBorders/>
            <w:shd w:fill="auto" w:val="clear"/>
            <w:vAlign w:val="center"/>
          </w:tcPr>
          <w:p>
            <w:pPr>
              <w:pStyle w:val="TableContents"/>
              <w:spacing w:before="0" w:after="283"/>
              <w:jc w:val="center"/>
              <w:rPr/>
            </w:pPr>
            <w:r>
              <w:rPr/>
              <w:t> </w:t>
            </w:r>
          </w:p>
        </w:tc>
        <w:tc>
          <w:tcPr>
            <w:tcW w:w="187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Unobservable Input</w:t>
            </w:r>
          </w:p>
        </w:tc>
        <w:tc>
          <w:tcPr>
            <w:tcW w:w="60" w:type="dxa"/>
            <w:tcBorders/>
            <w:shd w:fill="auto" w:val="clear"/>
            <w:vAlign w:val="center"/>
          </w:tcPr>
          <w:p>
            <w:pPr>
              <w:pStyle w:val="TableContents"/>
              <w:spacing w:before="0" w:after="283"/>
              <w:jc w:val="center"/>
              <w:rPr/>
            </w:pPr>
            <w:r>
              <w:rPr/>
              <w:t> </w:t>
            </w:r>
          </w:p>
        </w:tc>
        <w:tc>
          <w:tcPr>
            <w:tcW w:w="3391"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Range (Weighted Average)</w:t>
            </w:r>
          </w:p>
        </w:tc>
      </w:tr>
      <w:tr>
        <w:trPr/>
        <w:tc>
          <w:tcPr>
            <w:tcW w:w="129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Required Rate of Return</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7.9% – 19.5% (11.9%)</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Leverage Ratio</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1.1x – 5.1x (2.7x)</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($0.9) million – $134.4 million ($11.1 million)</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pPr>
            <w:r>
              <w:rPr/>
              <w:t> </w:t>
            </w:r>
          </w:p>
        </w:tc>
      </w:tr>
      <w:tr>
        <w:trPr/>
        <w:tc>
          <w:tcPr>
            <w:tcW w:w="12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Waterfall and Asset</w:t>
            </w:r>
            <w:r>
              <w:rPr>
                <w:rFonts w:ascii="Times New Roman;Times;Serif" w:hAnsi="Times New Roman;Times;Serif"/>
                <w:position w:val="7"/>
                <w:sz w:val="16"/>
                <w:sz w:val="20"/>
              </w:rPr>
              <w:t>(1)</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EBITDA Multiple</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6.3x – 6.3x (6.3x)</w:t>
            </w:r>
          </w:p>
        </w:tc>
      </w:tr>
      <w:tr>
        <w:trPr/>
        <w:tc>
          <w:tcPr>
            <w:tcW w:w="12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 million – $1.1 million ($1.1 million)</w:t>
            </w:r>
          </w:p>
        </w:tc>
      </w:tr>
      <w:tr>
        <w:trPr/>
        <w:tc>
          <w:tcPr>
            <w:tcW w:w="12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 Multiple</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1.3x – 4.0x (2.3x)</w:t>
            </w:r>
          </w:p>
        </w:tc>
      </w:tr>
      <w:tr>
        <w:trPr/>
        <w:tc>
          <w:tcPr>
            <w:tcW w:w="12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$8.9 million – $16.1 million ($11.7 million)</w:t>
            </w:r>
          </w:p>
        </w:tc>
      </w:tr>
      <w:tr>
        <w:trPr/>
        <w:tc>
          <w:tcPr>
            <w:tcW w:w="12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pPr>
            <w:r>
              <w:rPr/>
              <w:t> </w:t>
            </w:r>
          </w:p>
        </w:tc>
      </w:tr>
      <w:tr>
        <w:trPr/>
        <w:tc>
          <w:tcPr>
            <w:tcW w:w="129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Second lien debt</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Required Rate of Return</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11.8% – 13.5% (12.6%)</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Leverage Ratio</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4.1x – 4.3x (4.2x)</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$13.9 million – $21.2 million ($17.3 million)</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pPr>
            <w:r>
              <w:rPr/>
              <w:t> </w:t>
            </w:r>
          </w:p>
        </w:tc>
      </w:tr>
      <w:tr>
        <w:trPr/>
        <w:tc>
          <w:tcPr>
            <w:tcW w:w="12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Second lien debt</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Waterfall and Asset</w:t>
            </w:r>
            <w:r>
              <w:rPr>
                <w:rFonts w:ascii="Times New Roman;Times;Serif" w:hAnsi="Times New Roman;Times;Serif"/>
                <w:position w:val="7"/>
                <w:sz w:val="16"/>
                <w:sz w:val="20"/>
              </w:rPr>
              <w:t>(1)</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EBITDA Multiple</w:t>
              <w:br/>
              <w:t>Adjusted EBITDA</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6.0x – 6.0x (6.0x)</w:t>
              <w:br/>
              <w:t>$1.8 million – $1.8 million ($1.8 million)</w:t>
            </w:r>
          </w:p>
        </w:tc>
      </w:tr>
      <w:tr>
        <w:trPr/>
        <w:tc>
          <w:tcPr>
            <w:tcW w:w="12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pPr>
            <w:r>
              <w:rPr/>
              <w:t> </w:t>
            </w:r>
          </w:p>
        </w:tc>
      </w:tr>
      <w:tr>
        <w:trPr/>
        <w:tc>
          <w:tcPr>
            <w:tcW w:w="129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Equity and warrants</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Waterfall and Asset</w:t>
            </w:r>
            <w:r>
              <w:rPr>
                <w:rFonts w:ascii="Times New Roman;Times;Serif" w:hAnsi="Times New Roman;Times;Serif"/>
                <w:position w:val="7"/>
                <w:sz w:val="16"/>
                <w:sz w:val="20"/>
              </w:rPr>
              <w:t>(1)</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EBITDA Multiple</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5.0x – 10.0x (6.8x)</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 million – $22.0 million ($9.4 million)</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 Multiple</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0.2x – 3.8x (0.8x)</w:t>
            </w:r>
          </w:p>
        </w:tc>
      </w:tr>
      <w:tr>
        <w:trPr/>
        <w:tc>
          <w:tcPr>
            <w:tcW w:w="12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80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spacing w:before="0" w:after="283"/>
              <w:rPr/>
            </w:pPr>
            <w:r>
              <w:rPr/>
              <w:t> </w:t>
            </w:r>
          </w:p>
        </w:tc>
        <w:tc>
          <w:tcPr>
            <w:tcW w:w="339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$11.6 million – $1,427.3 million ($300.4 million)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55" w:type="dxa"/>
            <w:tcBorders/>
            <w:shd w:fill="auto" w:val="clear"/>
            <w:vAlign w:val="center"/>
          </w:tcPr>
          <w:p>
            <w:pPr>
              <w:pStyle w:val="TableContents"/>
              <w:spacing w:before="0" w:after="283"/>
              <w:jc w:val="both"/>
              <w:rPr/>
            </w:pPr>
            <w:r>
              <w:rPr/>
              <w:t> </w:t>
            </w:r>
            <w:r>
              <w:rPr>
                <w:rFonts w:ascii="Times New Roman;Times;Serif" w:hAnsi="Times New Roman;Times;Serif"/>
                <w:sz w:val="20"/>
              </w:rPr>
              <w:t>$11.9 million in first lien debt, $1.2 million in second lien debt, and $4.4 million in equity and warrants were valued using the asset approach.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techniques and significant unobservable inputs used in recurring Level 3 fair value measurements of assets as of December 31, 2019 were as follows: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01"/>
        <w:gridCol w:w="60"/>
        <w:gridCol w:w="221"/>
        <w:gridCol w:w="866"/>
        <w:gridCol w:w="60"/>
        <w:gridCol w:w="60"/>
        <w:gridCol w:w="2353"/>
        <w:gridCol w:w="60"/>
        <w:gridCol w:w="1882"/>
        <w:gridCol w:w="60"/>
        <w:gridCol w:w="3282"/>
      </w:tblGrid>
      <w:tr>
        <w:trPr/>
        <w:tc>
          <w:tcPr>
            <w:tcW w:w="1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Fair Value</w:t>
            </w:r>
            <w:r>
              <w:rPr>
                <w:rFonts w:ascii="Times New Roman;Times;Serif" w:hAnsi="Times New Roman;Times;Serif"/>
                <w:b/>
                <w:position w:val="7"/>
                <w:sz w:val="16"/>
                <w:sz w:val="20"/>
              </w:rPr>
              <w:t>(2)</w:t>
            </w:r>
            <w:r>
              <w:rPr>
                <w:rFonts w:ascii="Times New Roman;Times;Serif" w:hAnsi="Times New Roman;Times;Serif"/>
                <w:b/>
                <w:sz w:val="20"/>
              </w:rPr>
              <w:br/>
              <w:t>(in millions)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3"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Valuation</w:t>
              <w:br/>
              <w:t>Approach</w:t>
            </w:r>
          </w:p>
        </w:tc>
        <w:tc>
          <w:tcPr>
            <w:tcW w:w="60" w:type="dxa"/>
            <w:tcBorders/>
            <w:shd w:fill="auto" w:val="clear"/>
            <w:vAlign w:val="center"/>
          </w:tcPr>
          <w:p>
            <w:pPr>
              <w:pStyle w:val="TableContents"/>
              <w:spacing w:before="0" w:after="283"/>
              <w:rPr/>
            </w:pPr>
            <w:r>
              <w:rPr/>
              <w:t> </w:t>
            </w:r>
          </w:p>
        </w:tc>
        <w:tc>
          <w:tcPr>
            <w:tcW w:w="1882"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Unobservable Input</w:t>
            </w:r>
          </w:p>
        </w:tc>
        <w:tc>
          <w:tcPr>
            <w:tcW w:w="60" w:type="dxa"/>
            <w:tcBorders/>
            <w:shd w:fill="auto" w:val="clear"/>
            <w:vAlign w:val="center"/>
          </w:tcPr>
          <w:p>
            <w:pPr>
              <w:pStyle w:val="TableContents"/>
              <w:spacing w:before="0" w:after="283"/>
              <w:rPr/>
            </w:pPr>
            <w:r>
              <w:rPr/>
              <w:t> </w:t>
            </w:r>
          </w:p>
        </w:tc>
        <w:tc>
          <w:tcPr>
            <w:tcW w:w="3282"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Range (Weighted Average)</w:t>
            </w:r>
          </w:p>
        </w:tc>
      </w:tr>
      <w:tr>
        <w:trPr/>
        <w:tc>
          <w:tcPr>
            <w:tcW w:w="130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Required Rate of Return</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7.0% – 20.0% (12.0%)</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Leverage Ratio</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1.5x – 7.9x (3.8x)</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$0.8 million – $114.0 million ($13.6 million)</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pPr>
            <w:r>
              <w:rPr/>
              <w:t> </w:t>
            </w:r>
          </w:p>
        </w:tc>
      </w:tr>
      <w:tr>
        <w:trPr/>
        <w:tc>
          <w:tcPr>
            <w:tcW w:w="130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Enterprise Value Waterfall and Asset </w:t>
            </w:r>
            <w:r>
              <w:rPr>
                <w:rFonts w:ascii="Times New Roman;Times;Serif" w:hAnsi="Times New Roman;Times;Serif"/>
                <w:position w:val="7"/>
                <w:sz w:val="16"/>
                <w:sz w:val="20"/>
              </w:rPr>
              <w:t>(1)</w:t>
            </w:r>
          </w:p>
        </w:tc>
        <w:tc>
          <w:tcPr>
            <w:tcW w:w="60" w:type="dxa"/>
            <w:tcBorders/>
            <w:shd w:fill="FFFFFF" w:val="clear"/>
            <w:vAlign w:val="center"/>
          </w:tcPr>
          <w:p>
            <w:pPr>
              <w:pStyle w:val="TableContents"/>
              <w:spacing w:before="0" w:after="283"/>
              <w:rPr/>
            </w:pPr>
            <w:r>
              <w:rPr/>
              <w:t> </w:t>
            </w:r>
          </w:p>
        </w:tc>
        <w:tc>
          <w:tcPr>
            <w:tcW w:w="18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EBITDA Multiple</w:t>
            </w:r>
          </w:p>
        </w:tc>
        <w:tc>
          <w:tcPr>
            <w:tcW w:w="60" w:type="dxa"/>
            <w:tcBorders/>
            <w:shd w:fill="FFFFFF" w:val="clear"/>
            <w:vAlign w:val="center"/>
          </w:tcPr>
          <w:p>
            <w:pPr>
              <w:pStyle w:val="TableContents"/>
              <w:spacing w:before="0" w:after="283"/>
              <w:rPr/>
            </w:pPr>
            <w:r>
              <w:rPr/>
              <w:t> </w:t>
            </w:r>
          </w:p>
        </w:tc>
        <w:tc>
          <w:tcPr>
            <w:tcW w:w="32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6.0x – 6.0x (6.0x)</w:t>
            </w:r>
          </w:p>
        </w:tc>
      </w:tr>
      <w:tr>
        <w:trPr/>
        <w:tc>
          <w:tcPr>
            <w:tcW w:w="130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FFFFFF" w:val="clear"/>
            <w:vAlign w:val="center"/>
          </w:tcPr>
          <w:p>
            <w:pPr>
              <w:pStyle w:val="TableContents"/>
              <w:spacing w:before="0" w:after="283"/>
              <w:rPr/>
            </w:pPr>
            <w:r>
              <w:rPr/>
              <w:t> </w:t>
            </w:r>
          </w:p>
        </w:tc>
        <w:tc>
          <w:tcPr>
            <w:tcW w:w="32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$2.9 million – $2.9 million ($2.9 million)</w:t>
            </w:r>
          </w:p>
        </w:tc>
      </w:tr>
      <w:tr>
        <w:trPr/>
        <w:tc>
          <w:tcPr>
            <w:tcW w:w="130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 Multiple</w:t>
            </w:r>
          </w:p>
        </w:tc>
        <w:tc>
          <w:tcPr>
            <w:tcW w:w="60" w:type="dxa"/>
            <w:tcBorders/>
            <w:shd w:fill="FFFFFF" w:val="clear"/>
            <w:vAlign w:val="center"/>
          </w:tcPr>
          <w:p>
            <w:pPr>
              <w:pStyle w:val="TableContents"/>
              <w:spacing w:before="0" w:after="283"/>
              <w:rPr/>
            </w:pPr>
            <w:r>
              <w:rPr/>
              <w:t> </w:t>
            </w:r>
          </w:p>
        </w:tc>
        <w:tc>
          <w:tcPr>
            <w:tcW w:w="32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1.0x – 1.1x (1.1x)</w:t>
            </w:r>
          </w:p>
        </w:tc>
      </w:tr>
      <w:tr>
        <w:trPr/>
        <w:tc>
          <w:tcPr>
            <w:tcW w:w="130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w:t>
            </w:r>
          </w:p>
        </w:tc>
        <w:tc>
          <w:tcPr>
            <w:tcW w:w="60" w:type="dxa"/>
            <w:tcBorders/>
            <w:shd w:fill="FFFFFF" w:val="clear"/>
            <w:vAlign w:val="center"/>
          </w:tcPr>
          <w:p>
            <w:pPr>
              <w:pStyle w:val="TableContents"/>
              <w:spacing w:before="0" w:after="283"/>
              <w:rPr/>
            </w:pPr>
            <w:r>
              <w:rPr/>
              <w:t> </w:t>
            </w:r>
          </w:p>
        </w:tc>
        <w:tc>
          <w:tcPr>
            <w:tcW w:w="328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$13.3 million – $21.6 million ($19.5 million)</w:t>
            </w:r>
          </w:p>
        </w:tc>
      </w:tr>
      <w:tr>
        <w:trPr/>
        <w:tc>
          <w:tcPr>
            <w:tcW w:w="130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8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282" w:type="dxa"/>
            <w:tcBorders/>
            <w:shd w:fill="FFFFFF" w:val="clear"/>
            <w:vAlign w:val="center"/>
          </w:tcPr>
          <w:p>
            <w:pPr>
              <w:pStyle w:val="TableContents"/>
              <w:spacing w:before="0" w:after="283"/>
              <w:rPr/>
            </w:pPr>
            <w:r>
              <w:rPr/>
              <w:t> </w:t>
            </w:r>
          </w:p>
        </w:tc>
      </w:tr>
      <w:tr>
        <w:trPr/>
        <w:tc>
          <w:tcPr>
            <w:tcW w:w="130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Second lien debt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 and Asset</w:t>
            </w:r>
            <w:r>
              <w:rPr>
                <w:rFonts w:ascii="Times New Roman;Times;Serif" w:hAnsi="Times New Roman;Times;Serif"/>
                <w:position w:val="7"/>
                <w:sz w:val="16"/>
                <w:sz w:val="20"/>
              </w:rPr>
              <w:t>(1)</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Required Rate of Return</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6.0% – 15.0% (13.5%)</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Leverage Ratio</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3.0x – 7.0x (5.3x)</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$1.8 million – $74.5 million ($32.7 million)</w:t>
            </w:r>
          </w:p>
        </w:tc>
      </w:tr>
      <w:tr>
        <w:trPr/>
        <w:tc>
          <w:tcPr>
            <w:tcW w:w="1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82" w:type="dxa"/>
            <w:tcBorders/>
            <w:shd w:fill="CCEEFF" w:val="clear"/>
            <w:vAlign w:val="center"/>
          </w:tcPr>
          <w:p>
            <w:pPr>
              <w:pStyle w:val="TableContents"/>
              <w:spacing w:before="0" w:after="283"/>
              <w:rPr/>
            </w:pPr>
            <w:r>
              <w:rPr/>
              <w:t> </w:t>
            </w:r>
          </w:p>
        </w:tc>
      </w:tr>
      <w:tr>
        <w:trPr/>
        <w:tc>
          <w:tcPr>
            <w:tcW w:w="1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Equity and warrants</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66"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Enterprise Value Waterfall and Asset</w:t>
            </w:r>
            <w:r>
              <w:rPr>
                <w:rFonts w:ascii="Times New Roman;Times;Serif" w:hAnsi="Times New Roman;Times;Serif"/>
                <w:position w:val="7"/>
                <w:sz w:val="16"/>
                <w:sz w:val="20"/>
              </w:rPr>
              <w:t>(1)</w:t>
            </w:r>
          </w:p>
        </w:tc>
        <w:tc>
          <w:tcPr>
            <w:tcW w:w="60" w:type="dxa"/>
            <w:tcBorders/>
            <w:shd w:fill="auto" w:val="clear"/>
            <w:vAlign w:val="center"/>
          </w:tcPr>
          <w:p>
            <w:pPr>
              <w:pStyle w:val="TableContents"/>
              <w:spacing w:before="0" w:after="283"/>
              <w:rPr/>
            </w:pPr>
            <w:r>
              <w:rPr/>
              <w:t> </w:t>
            </w:r>
          </w:p>
        </w:tc>
        <w:tc>
          <w:tcPr>
            <w:tcW w:w="18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EBITDA Multiple</w:t>
            </w:r>
          </w:p>
        </w:tc>
        <w:tc>
          <w:tcPr>
            <w:tcW w:w="60" w:type="dxa"/>
            <w:tcBorders/>
            <w:shd w:fill="auto" w:val="clear"/>
            <w:vAlign w:val="center"/>
          </w:tcPr>
          <w:p>
            <w:pPr>
              <w:pStyle w:val="TableContents"/>
              <w:spacing w:before="0" w:after="283"/>
              <w:rPr/>
            </w:pPr>
            <w:r>
              <w:rPr/>
              <w:t> </w:t>
            </w:r>
          </w:p>
        </w:tc>
        <w:tc>
          <w:tcPr>
            <w:tcW w:w="32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3.9x – 10.0x (7.3x)</w:t>
            </w:r>
          </w:p>
        </w:tc>
      </w:tr>
      <w:tr>
        <w:trPr/>
        <w:tc>
          <w:tcPr>
            <w:tcW w:w="1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86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Adjusted EBITDA</w:t>
            </w:r>
          </w:p>
        </w:tc>
        <w:tc>
          <w:tcPr>
            <w:tcW w:w="60" w:type="dxa"/>
            <w:tcBorders/>
            <w:shd w:fill="auto" w:val="clear"/>
            <w:vAlign w:val="center"/>
          </w:tcPr>
          <w:p>
            <w:pPr>
              <w:pStyle w:val="TableContents"/>
              <w:spacing w:before="0" w:after="283"/>
              <w:rPr/>
            </w:pPr>
            <w:r>
              <w:rPr/>
              <w:t> </w:t>
            </w:r>
          </w:p>
        </w:tc>
        <w:tc>
          <w:tcPr>
            <w:tcW w:w="32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$1.8 million - $25.1 million ($11.7 million)</w:t>
            </w:r>
          </w:p>
        </w:tc>
      </w:tr>
      <w:tr>
        <w:trPr/>
        <w:tc>
          <w:tcPr>
            <w:tcW w:w="1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86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 Multiple</w:t>
            </w:r>
          </w:p>
        </w:tc>
        <w:tc>
          <w:tcPr>
            <w:tcW w:w="60" w:type="dxa"/>
            <w:tcBorders/>
            <w:shd w:fill="auto" w:val="clear"/>
            <w:vAlign w:val="center"/>
          </w:tcPr>
          <w:p>
            <w:pPr>
              <w:pStyle w:val="TableContents"/>
              <w:spacing w:before="0" w:after="283"/>
              <w:rPr/>
            </w:pPr>
            <w:r>
              <w:rPr/>
              <w:t> </w:t>
            </w:r>
          </w:p>
        </w:tc>
        <w:tc>
          <w:tcPr>
            <w:tcW w:w="32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0.4x – 4.7x (0.8x)</w:t>
            </w:r>
          </w:p>
        </w:tc>
      </w:tr>
      <w:tr>
        <w:trPr/>
        <w:tc>
          <w:tcPr>
            <w:tcW w:w="1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86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w:t>
            </w:r>
          </w:p>
        </w:tc>
        <w:tc>
          <w:tcPr>
            <w:tcW w:w="60" w:type="dxa"/>
            <w:tcBorders/>
            <w:shd w:fill="auto" w:val="clear"/>
            <w:vAlign w:val="center"/>
          </w:tcPr>
          <w:p>
            <w:pPr>
              <w:pStyle w:val="TableContents"/>
              <w:spacing w:before="0" w:after="283"/>
              <w:rPr/>
            </w:pPr>
            <w:r>
              <w:rPr/>
              <w:t> </w:t>
            </w:r>
          </w:p>
        </w:tc>
        <w:tc>
          <w:tcPr>
            <w:tcW w:w="328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$17.1 million - $566.2 million ($406.6 million)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6"/>
        <w:gridCol w:w="9894"/>
      </w:tblGrid>
      <w:tr>
        <w:trPr/>
        <w:tc>
          <w:tcPr>
            <w:tcW w:w="75"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$2.0 million in first lien debt, $0.7 million in second lien debt, and $4.9 million in equity and warrants were valued using the asset approach.</w:t>
            </w:r>
          </w:p>
        </w:tc>
      </w:tr>
    </w:tbl>
    <w:p>
      <w:pPr>
        <w:pStyle w:val="TextBody"/>
        <w:spacing w:before="0" w:after="0"/>
        <w:ind w:left="0" w:right="0" w:hanging="0"/>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75"/>
        <w:gridCol w:w="245"/>
        <w:gridCol w:w="659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59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Excludes the Company’s $13.6 million investment in CSLF II, measured at NAV.</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Capitala Senior Loan Fund II,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1-month LIBOR + 2.25%. During the nine months ended September 30, 2020,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$12.7 million was outstanding under the CSLF II Credit Facility. For the three and nine months ended September 30, 2020, CSLF II incurred interest and financing expenses of $0.0 and $1.1 million, respectively. For the three and nine months ended September 30, 2019, CSLF II incurred interest and financing expenses of $9.0 thousand.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$0.0 was outstanding on the Subordinated Notes. As of December 31, 2019, the Company and Trinity had $5.0 million and $20.0 million of unfunded commitments related to the Subordinated Notes, respectively. For the three and nine months ended September 30, 2020 and 2019, CSLF II did not incur any interest and financing expenses related to the Subordinated Notes.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CSLF II’s portfolio as of December 31, 2019 (dollars in thousands):</w:t>
      </w:r>
    </w:p>
    <w:p>
      <w:pPr>
        <w:pStyle w:val="TextBody"/>
        <w:spacing w:before="0" w:after="0"/>
        <w:ind w:left="0" w:right="0" w:firstLine="720"/>
        <w:jc w:val="both"/>
        <w:rPr>
          <w:caps w:val="false"/>
          <w:smallCaps w:val="false"/>
        </w:rPr>
      </w:pPr>
      <w:r>
        <w:rPr>
          <w:caps w:val="false"/>
          <w:smallCaps w:val="false"/>
        </w:rPr>
        <w:t> </w:t>
      </w:r>
    </w:p>
    <w:tbl>
      <w:tblPr>
        <w:tblW w:w="6464" w:type="dxa"/>
        <w:jc w:val="left"/>
        <w:tblInd w:w="0" w:type="dxa"/>
        <w:tblCellMar>
          <w:top w:w="0" w:type="dxa"/>
          <w:left w:w="0" w:type="dxa"/>
          <w:bottom w:w="0" w:type="dxa"/>
          <w:right w:w="0" w:type="dxa"/>
        </w:tblCellMar>
      </w:tblPr>
      <w:tblGrid>
        <w:gridCol w:w="4565"/>
        <w:gridCol w:w="60"/>
        <w:gridCol w:w="284"/>
        <w:gridCol w:w="1355"/>
        <w:gridCol w:w="200"/>
      </w:tblGrid>
      <w:tr>
        <w:trPr/>
        <w:tc>
          <w:tcPr>
            <w:tcW w:w="45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lien loans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current interest rate on first lien loans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portfolio companies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Largest portfolio company investment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of five largest portfolio company investments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660" w:type="dxa"/>
        <w:jc w:val="left"/>
        <w:tblInd w:w="0" w:type="dxa"/>
        <w:tblCellMar>
          <w:top w:w="0" w:type="dxa"/>
          <w:left w:w="0" w:type="dxa"/>
          <w:bottom w:w="0" w:type="dxa"/>
          <w:right w:w="0" w:type="dxa"/>
        </w:tblCellMar>
      </w:tblPr>
      <w:tblGrid>
        <w:gridCol w:w="260"/>
        <w:gridCol w:w="440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4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principal amount outstanding at period end.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CSLF II’s schedule of investments as of December 31, 2019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96"/>
        <w:gridCol w:w="60"/>
        <w:gridCol w:w="1621"/>
        <w:gridCol w:w="60"/>
        <w:gridCol w:w="3738"/>
        <w:gridCol w:w="60"/>
        <w:gridCol w:w="142"/>
        <w:gridCol w:w="673"/>
        <w:gridCol w:w="60"/>
        <w:gridCol w:w="60"/>
        <w:gridCol w:w="125"/>
        <w:gridCol w:w="590"/>
        <w:gridCol w:w="60"/>
        <w:gridCol w:w="60"/>
        <w:gridCol w:w="143"/>
        <w:gridCol w:w="679"/>
        <w:gridCol w:w="78"/>
      </w:tblGrid>
      <w:tr>
        <w:trPr/>
        <w:tc>
          <w:tcPr>
            <w:tcW w:w="199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Company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2"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8"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99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at Fair Value</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2" w:type="dxa"/>
            <w:tcBorders/>
            <w:shd w:fill="CCEEFF" w:val="clear"/>
            <w:tcMar>
              <w:bottom w:w="0" w:type="dxa"/>
            </w:tcMar>
            <w:vAlign w:val="center"/>
          </w:tcPr>
          <w:p>
            <w:pPr>
              <w:pStyle w:val="TableContents"/>
              <w:spacing w:before="0" w:after="283"/>
              <w:jc w:val="left"/>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jc w:val="left"/>
              <w:rPr/>
            </w:pPr>
            <w:r>
              <w:rPr/>
              <w:t> </w:t>
            </w:r>
          </w:p>
        </w:tc>
        <w:tc>
          <w:tcPr>
            <w:tcW w:w="59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3" w:type="dxa"/>
            <w:tcBorders/>
            <w:shd w:fill="CCEEFF" w:val="clear"/>
            <w:tcMar>
              <w:bottom w:w="0" w:type="dxa"/>
            </w:tcMar>
            <w:vAlign w:val="center"/>
          </w:tcPr>
          <w:p>
            <w:pPr>
              <w:pStyle w:val="TableContents"/>
              <w:spacing w:before="0" w:after="283"/>
              <w:jc w:val="left"/>
              <w:rPr/>
            </w:pPr>
            <w:r>
              <w:rPr/>
              <w:t> </w:t>
            </w:r>
          </w:p>
        </w:tc>
        <w:tc>
          <w:tcPr>
            <w:tcW w:w="679" w:type="dxa"/>
            <w:tcBorders/>
            <w:shd w:fill="CCEEFF" w:val="clear"/>
            <w:tcMar>
              <w:bottom w:w="0" w:type="dxa"/>
            </w:tcMar>
            <w:vAlign w:val="center"/>
          </w:tcPr>
          <w:p>
            <w:pPr>
              <w:pStyle w:val="TableContents"/>
              <w:spacing w:before="0" w:after="283"/>
              <w:jc w:val="right"/>
              <w:rPr/>
            </w:pPr>
            <w:r>
              <w:rPr/>
              <w:t> </w:t>
            </w:r>
          </w:p>
        </w:tc>
        <w:tc>
          <w:tcPr>
            <w:tcW w:w="78" w:type="dxa"/>
            <w:tcBorders/>
            <w:shd w:fill="CCEEFF" w:val="clear"/>
            <w:tcMar>
              <w:bottom w:w="0" w:type="dxa"/>
            </w:tcMar>
            <w:vAlign w:val="center"/>
          </w:tcPr>
          <w:p>
            <w:pPr>
              <w:pStyle w:val="TableContents"/>
              <w:spacing w:before="0" w:after="283"/>
              <w:jc w:val="left"/>
              <w:rPr/>
            </w:pPr>
            <w:r>
              <w:rPr/>
              <w:t> </w:t>
            </w:r>
          </w:p>
        </w:tc>
      </w:tr>
      <w:tr>
        <w:trPr/>
        <w:tc>
          <w:tcPr>
            <w:tcW w:w="199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Freedom Electronics,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Machine Repair</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 (7.0% Cash (1 month LIBOR + 5.0%, 2.0% Floor), Due 12/20/23)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5,445</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9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Logistics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 (5.8% Cash (1 month LIBOR + 4.0%, 1.8% Floor), Due 6/20/23)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7,443</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9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 Payment,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 (6.7% Cash (1 month LIBOR + 5.0%, 1.5% Floor), Due 1/4/24)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6,653</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9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Fire Protection, Inc.</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System Services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 (5.5% Cash (1 month LIBOR + 3.8%, 1.8% Floor), Due 11/22/24)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9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BioTek Laboratories,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Laboratories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73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 (7.0% Cash (3 month LIBOR + 5.0%, 2.0% Floor), Due 12/14/23)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7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9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INVESTMENTS</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245"/>
        <w:gridCol w:w="476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7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investment had a $3.0 million unfunded commitment.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statements of assets and liabilities for CSLF II (dollars in thousands):</w:t>
      </w:r>
    </w:p>
    <w:p>
      <w:pPr>
        <w:pStyle w:val="TextBody"/>
        <w:spacing w:before="0" w:after="0"/>
        <w:ind w:left="0" w:right="0" w:firstLine="720"/>
        <w:jc w:val="both"/>
        <w:rPr>
          <w:caps w:val="false"/>
          <w:smallCaps w:val="false"/>
        </w:rPr>
      </w:pPr>
      <w:r>
        <w:rPr>
          <w:caps w:val="false"/>
          <w:smallCaps w:val="false"/>
        </w:rPr>
        <w:t> </w:t>
      </w:r>
    </w:p>
    <w:tbl>
      <w:tblPr>
        <w:tblW w:w="9718" w:type="dxa"/>
        <w:jc w:val="left"/>
        <w:tblInd w:w="0" w:type="dxa"/>
        <w:tblCellMar>
          <w:top w:w="0" w:type="dxa"/>
          <w:left w:w="0" w:type="dxa"/>
          <w:bottom w:w="0" w:type="dxa"/>
          <w:right w:w="0" w:type="dxa"/>
        </w:tblCellMar>
      </w:tblPr>
      <w:tblGrid>
        <w:gridCol w:w="6140"/>
        <w:gridCol w:w="60"/>
        <w:gridCol w:w="260"/>
        <w:gridCol w:w="1424"/>
        <w:gridCol w:w="60"/>
        <w:gridCol w:w="60"/>
        <w:gridCol w:w="284"/>
        <w:gridCol w:w="1355"/>
        <w:gridCol w:w="75"/>
      </w:tblGrid>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43"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6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14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35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at fair value (amortized cost of $0 and $28,396,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24"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24"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4"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14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35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facility (net of deferred financing costs of $0 and $621,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fees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2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4"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w:t>
            </w:r>
          </w:p>
        </w:tc>
        <w:tc>
          <w:tcPr>
            <w:tcW w:w="6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jc w:val="left"/>
              <w:rPr/>
            </w:pPr>
            <w:r>
              <w:rPr/>
              <w:t> </w:t>
            </w:r>
          </w:p>
        </w:tc>
        <w:tc>
          <w:tcPr>
            <w:tcW w:w="14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jc w:val="left"/>
              <w:rPr/>
            </w:pPr>
            <w:r>
              <w:rPr/>
              <w:t> </w:t>
            </w:r>
          </w:p>
        </w:tc>
        <w:tc>
          <w:tcPr>
            <w:tcW w:w="135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capital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unaudited statements of operations for CSLF II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005"/>
        <w:gridCol w:w="60"/>
        <w:gridCol w:w="242"/>
        <w:gridCol w:w="947"/>
        <w:gridCol w:w="97"/>
        <w:gridCol w:w="97"/>
        <w:gridCol w:w="303"/>
        <w:gridCol w:w="814"/>
        <w:gridCol w:w="60"/>
        <w:gridCol w:w="60"/>
        <w:gridCol w:w="237"/>
        <w:gridCol w:w="880"/>
        <w:gridCol w:w="117"/>
        <w:gridCol w:w="87"/>
        <w:gridCol w:w="237"/>
        <w:gridCol w:w="880"/>
        <w:gridCol w:w="82"/>
      </w:tblGrid>
      <w:tr>
        <w:trPr/>
        <w:tc>
          <w:tcPr>
            <w:tcW w:w="50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50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3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82"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2020</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c>
          <w:tcPr>
            <w:tcW w:w="111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2020</w:t>
            </w:r>
          </w:p>
        </w:tc>
        <w:tc>
          <w:tcPr>
            <w:tcW w:w="117" w:type="dxa"/>
            <w:tcBorders/>
            <w:shd w:fill="auto" w:val="clear"/>
            <w:vAlign w:val="center"/>
          </w:tcPr>
          <w:p>
            <w:pPr>
              <w:pStyle w:val="TableContents"/>
              <w:spacing w:before="0" w:after="283"/>
              <w:rPr>
                <w:caps w:val="false"/>
                <w:smallCaps w:val="false"/>
              </w:rPr>
            </w:pPr>
            <w:r>
              <w:rPr>
                <w:caps w:val="false"/>
                <w:smallCaps w:val="false"/>
              </w:rPr>
              <w:t> </w:t>
            </w:r>
          </w:p>
        </w:tc>
        <w:tc>
          <w:tcPr>
            <w:tcW w:w="87" w:type="dxa"/>
            <w:tcBorders/>
            <w:shd w:fill="auto" w:val="clear"/>
            <w:vAlign w:val="center"/>
          </w:tcPr>
          <w:p>
            <w:pPr>
              <w:pStyle w:val="TableContents"/>
              <w:spacing w:before="0" w:after="283"/>
              <w:rPr>
                <w:caps w:val="false"/>
                <w:smallCaps w:val="false"/>
              </w:rPr>
            </w:pPr>
            <w:r>
              <w:rPr>
                <w:caps w:val="false"/>
                <w:smallCaps w:val="false"/>
              </w:rPr>
              <w:t> </w:t>
            </w:r>
          </w:p>
        </w:tc>
        <w:tc>
          <w:tcPr>
            <w:tcW w:w="111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2019</w:t>
            </w:r>
          </w:p>
        </w:tc>
        <w:tc>
          <w:tcPr>
            <w:tcW w:w="82"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0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947"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jc w:val="left"/>
              <w:rPr/>
            </w:pPr>
            <w:r>
              <w:rPr/>
              <w:t> </w:t>
            </w:r>
          </w:p>
        </w:tc>
        <w:tc>
          <w:tcPr>
            <w:tcW w:w="8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 </w:t>
            </w:r>
          </w:p>
        </w:tc>
        <w:tc>
          <w:tcPr>
            <w:tcW w:w="117" w:type="dxa"/>
            <w:tcBorders/>
            <w:shd w:fill="CCEEFF" w:val="clear"/>
            <w:vAlign w:val="center"/>
          </w:tcPr>
          <w:p>
            <w:pPr>
              <w:pStyle w:val="TableContents"/>
              <w:spacing w:before="0" w:after="283"/>
              <w:jc w:val="left"/>
              <w:rPr/>
            </w:pPr>
            <w:r>
              <w:rPr/>
              <w:t> </w:t>
            </w:r>
          </w:p>
        </w:tc>
        <w:tc>
          <w:tcPr>
            <w:tcW w:w="87"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jc w:val="left"/>
              <w:rPr/>
            </w:pPr>
            <w:r>
              <w:rPr/>
              <w:t> </w:t>
            </w:r>
          </w:p>
        </w:tc>
      </w:tr>
      <w:tr>
        <w:trPr/>
        <w:tc>
          <w:tcPr>
            <w:tcW w:w="5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spacing w:before="0" w:after="283"/>
              <w:rPr>
                <w:caps w:val="false"/>
                <w:smallCaps w:val="false"/>
              </w:rPr>
            </w:pPr>
            <w:r>
              <w:rPr>
                <w:caps w:val="false"/>
                <w:smallCaps w:val="false"/>
              </w:rPr>
              <w:t> </w:t>
            </w:r>
          </w:p>
        </w:tc>
        <w:tc>
          <w:tcPr>
            <w:tcW w:w="30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1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82"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spacing w:before="0" w:after="283"/>
              <w:rPr>
                <w:caps w:val="false"/>
                <w:smallCaps w:val="false"/>
              </w:rPr>
            </w:pPr>
            <w:r>
              <w:rPr>
                <w:caps w:val="false"/>
                <w:smallCaps w:val="false"/>
              </w:rPr>
              <w:t> </w:t>
            </w:r>
          </w:p>
        </w:tc>
        <w:tc>
          <w:tcPr>
            <w:tcW w:w="30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2"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spacing w:before="0" w:after="283"/>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82"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6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947"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jc w:val="left"/>
              <w:rPr/>
            </w:pPr>
            <w:r>
              <w:rPr/>
              <w:t> </w:t>
            </w:r>
          </w:p>
        </w:tc>
        <w:tc>
          <w:tcPr>
            <w:tcW w:w="8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 </w:t>
            </w:r>
          </w:p>
        </w:tc>
        <w:tc>
          <w:tcPr>
            <w:tcW w:w="117" w:type="dxa"/>
            <w:tcBorders/>
            <w:shd w:fill="CCEEFF" w:val="clear"/>
            <w:vAlign w:val="center"/>
          </w:tcPr>
          <w:p>
            <w:pPr>
              <w:pStyle w:val="TableContents"/>
              <w:spacing w:before="0" w:after="283"/>
              <w:jc w:val="left"/>
              <w:rPr/>
            </w:pPr>
            <w:r>
              <w:rPr/>
              <w:t> </w:t>
            </w:r>
          </w:p>
        </w:tc>
        <w:tc>
          <w:tcPr>
            <w:tcW w:w="87"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jc w:val="left"/>
              <w:rPr/>
            </w:pPr>
            <w:r>
              <w:rPr/>
              <w:t> </w:t>
            </w:r>
          </w:p>
        </w:tc>
        <w:tc>
          <w:tcPr>
            <w:tcW w:w="880"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jc w:val="left"/>
              <w:rPr/>
            </w:pPr>
            <w:r>
              <w:rPr/>
              <w:t> </w:t>
            </w:r>
          </w:p>
        </w:tc>
      </w:tr>
      <w:tr>
        <w:trPr/>
        <w:tc>
          <w:tcPr>
            <w:tcW w:w="5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spacing w:before="0" w:after="283"/>
              <w:rPr>
                <w:caps w:val="false"/>
                <w:smallCaps w:val="false"/>
              </w:rPr>
            </w:pPr>
            <w:r>
              <w:rPr>
                <w:caps w:val="false"/>
                <w:smallCaps w:val="false"/>
              </w:rPr>
              <w:t> </w:t>
            </w:r>
          </w:p>
        </w:tc>
        <w:tc>
          <w:tcPr>
            <w:tcW w:w="30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1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2"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spacing w:before="0" w:after="283"/>
              <w:rPr>
                <w:caps w:val="false"/>
                <w:smallCaps w:val="false"/>
              </w:rPr>
            </w:pPr>
            <w:r>
              <w:rPr>
                <w:caps w:val="false"/>
                <w:smallCaps w:val="false"/>
              </w:rPr>
              <w:t> </w:t>
            </w:r>
          </w:p>
        </w:tc>
        <w:tc>
          <w:tcPr>
            <w:tcW w:w="30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1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1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2"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spacing w:before="0" w:after="283"/>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w:t>
            </w:r>
          </w:p>
        </w:tc>
        <w:tc>
          <w:tcPr>
            <w:tcW w:w="1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2"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spacing w:before="0" w:after="283"/>
              <w:rPr>
                <w:caps w:val="false"/>
                <w:smallCaps w:val="false"/>
              </w:rPr>
            </w:pPr>
            <w:r>
              <w:rPr>
                <w:caps w:val="false"/>
                <w:smallCaps w:val="false"/>
              </w:rPr>
              <w:t> </w:t>
            </w:r>
          </w:p>
        </w:tc>
        <w:tc>
          <w:tcPr>
            <w:tcW w:w="303"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11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2"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spacing w:before="0" w:after="283"/>
              <w:rPr>
                <w:caps w:val="false"/>
                <w:smallCaps w:val="false"/>
              </w:rPr>
            </w:pPr>
            <w:r>
              <w:rPr>
                <w:caps w:val="false"/>
                <w:smallCaps w:val="false"/>
              </w:rPr>
              <w:t> </w:t>
            </w:r>
          </w:p>
        </w:tc>
        <w:tc>
          <w:tcPr>
            <w:tcW w:w="30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11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3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2"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Transactions With Affiliated Companies</w:t>
      </w:r>
    </w:p>
    <w:p>
      <w:pPr>
        <w:pStyle w:val="TextBody"/>
        <w:spacing w:before="0" w:after="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2020, the Company had investments in portfolio companies designated as affiliates under the 1940 Act. Transactions with affiliates were as follows (dollars in thousands):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71"/>
        <w:gridCol w:w="60"/>
        <w:gridCol w:w="2195"/>
        <w:gridCol w:w="60"/>
        <w:gridCol w:w="105"/>
        <w:gridCol w:w="470"/>
        <w:gridCol w:w="60"/>
        <w:gridCol w:w="60"/>
        <w:gridCol w:w="145"/>
        <w:gridCol w:w="537"/>
        <w:gridCol w:w="60"/>
        <w:gridCol w:w="60"/>
        <w:gridCol w:w="120"/>
        <w:gridCol w:w="543"/>
        <w:gridCol w:w="60"/>
        <w:gridCol w:w="60"/>
        <w:gridCol w:w="139"/>
        <w:gridCol w:w="517"/>
        <w:gridCol w:w="60"/>
        <w:gridCol w:w="60"/>
        <w:gridCol w:w="126"/>
        <w:gridCol w:w="625"/>
        <w:gridCol w:w="65"/>
        <w:gridCol w:w="60"/>
        <w:gridCol w:w="128"/>
        <w:gridCol w:w="475"/>
        <w:gridCol w:w="65"/>
        <w:gridCol w:w="60"/>
        <w:gridCol w:w="141"/>
        <w:gridCol w:w="704"/>
        <w:gridCol w:w="65"/>
        <w:gridCol w:w="60"/>
        <w:gridCol w:w="129"/>
        <w:gridCol w:w="579"/>
        <w:gridCol w:w="81"/>
      </w:tblGrid>
      <w:tr>
        <w:trPr/>
        <w:tc>
          <w:tcPr>
            <w:tcW w:w="147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Company </w:t>
            </w:r>
            <w:r>
              <w:rPr>
                <w:rFonts w:ascii="Times New Roman;Times;Serif" w:hAnsi="Times New Roman;Times;Serif"/>
                <w:b/>
                <w:i w:val="false"/>
                <w:caps w:val="false"/>
                <w:smallCaps w:val="false"/>
                <w:position w:val="5"/>
                <w:sz w:val="11"/>
                <w:sz w:val="14"/>
              </w:rPr>
              <w:t>(4)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7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82"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 of</w:t>
              <w:br/>
              <w:t>Interest, Fees</w:t>
              <w:br/>
              <w:t>or Dividends</w:t>
              <w:br/>
              <w:t>Credited to</w:t>
              <w:br/>
              <w:t xml:space="preserve">Income </w:t>
            </w:r>
            <w:r>
              <w:rPr>
                <w:rFonts w:ascii="Times New Roman;Times;Serif" w:hAnsi="Times New Roman;Times;Serif"/>
                <w:b/>
                <w:i w:val="false"/>
                <w:caps w:val="false"/>
                <w:smallCaps w:val="false"/>
                <w:position w:val="5"/>
                <w:sz w:val="11"/>
                <w:sz w:val="14"/>
              </w:rPr>
              <w:t>(1)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63"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December 31,</w:t>
              <w:br/>
              <w:t>2019</w:t>
              <w:br/>
              <w:t>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56"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Gross</w:t>
              <w:br/>
              <w:t xml:space="preserve">Additions </w:t>
            </w:r>
            <w:r>
              <w:rPr>
                <w:rFonts w:ascii="Times New Roman;Times;Serif" w:hAnsi="Times New Roman;Times;Serif"/>
                <w:b/>
                <w:i w:val="false"/>
                <w:caps w:val="false"/>
                <w:smallCaps w:val="false"/>
                <w:position w:val="5"/>
                <w:sz w:val="11"/>
                <w:sz w:val="14"/>
              </w:rPr>
              <w:t>(2)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1"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Gross</w:t>
              <w:br/>
              <w:t>Reductions </w:t>
            </w:r>
            <w:r>
              <w:rPr>
                <w:rFonts w:ascii="Times New Roman;Times;Serif" w:hAnsi="Times New Roman;Times;Serif"/>
                <w:b/>
                <w:i w:val="false"/>
                <w:caps w:val="false"/>
                <w:smallCaps w:val="false"/>
                <w:position w:val="5"/>
                <w:sz w:val="11"/>
                <w:sz w:val="14"/>
              </w:rPr>
              <w:t>(3)</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3"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Realized</w:t>
              <w:br/>
              <w:t>Gain/(Loss)</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4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Unrealized</w:t>
              <w:br/>
              <w:t>Appreciation</w:t>
              <w:br/>
              <w:t>(Depreciation)</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0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September 30,</w:t>
              <w:br/>
              <w:t>2020</w:t>
              <w:br/>
              <w:t>Fair Value</w:t>
            </w:r>
          </w:p>
        </w:tc>
        <w:tc>
          <w:tcPr>
            <w:tcW w:w="81"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Affiliate investments</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537"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0" w:type="dxa"/>
            <w:tcBorders/>
            <w:shd w:fill="CCEEFF" w:val="clear"/>
            <w:tcMar>
              <w:bottom w:w="0" w:type="dxa"/>
            </w:tcMar>
            <w:vAlign w:val="center"/>
          </w:tcPr>
          <w:p>
            <w:pPr>
              <w:pStyle w:val="TableContents"/>
              <w:spacing w:before="0" w:after="283"/>
              <w:jc w:val="left"/>
              <w:rPr/>
            </w:pPr>
            <w:r>
              <w:rPr/>
              <w:t> </w:t>
            </w:r>
          </w:p>
        </w:tc>
        <w:tc>
          <w:tcPr>
            <w:tcW w:w="543"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jc w:val="left"/>
              <w:rPr/>
            </w:pPr>
            <w:r>
              <w:rPr/>
              <w:t> </w:t>
            </w:r>
          </w:p>
        </w:tc>
        <w:tc>
          <w:tcPr>
            <w:tcW w:w="517"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25"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475"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704"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9" w:type="dxa"/>
            <w:tcBorders/>
            <w:shd w:fill="CCEEFF" w:val="clear"/>
            <w:tcMar>
              <w:bottom w:w="0" w:type="dxa"/>
            </w:tcMar>
            <w:vAlign w:val="center"/>
          </w:tcPr>
          <w:p>
            <w:pPr>
              <w:pStyle w:val="TableContents"/>
              <w:spacing w:before="0" w:after="283"/>
              <w:jc w:val="left"/>
              <w:rPr/>
            </w:pPr>
            <w:r>
              <w:rPr/>
              <w:t> </w:t>
            </w:r>
          </w:p>
        </w:tc>
        <w:tc>
          <w:tcPr>
            <w:tcW w:w="579"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(12.0% Cash, 3.0% PIK, Due 3/23/21)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14,421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13,992</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Class B (1,085,073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(635</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Class A (1,253,198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15,056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(635</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13,992</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City Gear,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 Warrants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3,326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(1,341</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1,341</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(1,315</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2,011</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3,326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(1,341</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1,341</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(1,315</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2,011</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Eastport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(13.5% Cash (3 month LIBOR + 13.0%, 0.5% Floor), Due 12/29/21)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Eastport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(22.9% ownership)</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17,822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(3,819</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14,003</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34,322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(3,949</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30,503</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 Communications,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A-1 Preferred Stock (1,998 shares)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224</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3,985</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 Communications,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B-1 Common Stock (200,000 shares)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4,262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3,992</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LJS Partners,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(182,288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212</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729</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LJS Partners,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Membership Units (2,593,234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1,389</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2,898</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1,601</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3,627</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(12.0% Cash, Due 1/31/21)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(6.0% Cash, Due 1/31/21)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MMI Holdings, LLC </w:t>
            </w:r>
            <w:r>
              <w:rPr>
                <w:rFonts w:ascii="Times New Roman;Times;Serif" w:hAnsi="Times New Roman;Times;Serif"/>
                <w:b w:val="false"/>
                <w:i w:val="false"/>
                <w:caps w:val="false"/>
                <w:smallCaps w:val="false"/>
                <w:position w:val="5"/>
                <w:sz w:val="11"/>
                <w:sz w:val="14"/>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(1,000 units, 6.0% PIK Dividend)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1,788</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Membership Units (45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205</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4,904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4,993</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(9.0% Cash, 2.0% PIK, Due 6/30/23)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11,738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1,816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(179</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(446</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11,291</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 A Preferred Stock (1,000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962</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(60,000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11,564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1,816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(179</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12,253</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Nth Degree Investment Group,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(6,088,000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RAM Payment,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(6.5% Cash (1 month LIBOR + 5.0%, 1.5% Floor), Due 1/4/24)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3,070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(332</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2,738</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RAM Payment,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(9.8% Cash, Due 1/4/24)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7,423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(1,596</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7,423</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RAM Payment, LLC </w:t>
            </w:r>
            <w:r>
              <w:rPr>
                <w:rFonts w:ascii="Times New Roman;Times;Serif" w:hAnsi="Times New Roman;Times;Serif"/>
                <w:b w:val="false"/>
                <w:i w:val="false"/>
                <w:caps w:val="false"/>
                <w:smallCaps w:val="false"/>
                <w:position w:val="5"/>
                <w:sz w:val="11"/>
                <w:sz w:val="14"/>
              </w:rPr>
              <w:t>(5)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(86,000 units, 8.0% PIK Dividend)</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1,725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879</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2,656</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10,744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(1,928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879</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12,817</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(15.0% PIK, Due 9/12/23)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477</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Sierra Hamilton Holdings Corporation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(15,068,000 shares)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(4,172</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988</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(4,173</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1,465</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V12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Total Affiliate investments</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5,057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3"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98,763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5,726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2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(4,582</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1,341</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4"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(14,887</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86,361</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Control investments</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537"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0" w:type="dxa"/>
            <w:tcBorders/>
            <w:shd w:fill="CCEEFF" w:val="clear"/>
            <w:tcMar>
              <w:bottom w:w="0" w:type="dxa"/>
            </w:tcMar>
            <w:vAlign w:val="center"/>
          </w:tcPr>
          <w:p>
            <w:pPr>
              <w:pStyle w:val="TableContents"/>
              <w:spacing w:before="0" w:after="283"/>
              <w:jc w:val="left"/>
              <w:rPr/>
            </w:pPr>
            <w:r>
              <w:rPr/>
              <w:t> </w:t>
            </w:r>
          </w:p>
        </w:tc>
        <w:tc>
          <w:tcPr>
            <w:tcW w:w="543"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jc w:val="left"/>
              <w:rPr/>
            </w:pPr>
            <w:r>
              <w:rPr/>
              <w:t> </w:t>
            </w:r>
          </w:p>
        </w:tc>
        <w:tc>
          <w:tcPr>
            <w:tcW w:w="517"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center"/>
          </w:tcPr>
          <w:p>
            <w:pPr>
              <w:pStyle w:val="TableContents"/>
              <w:spacing w:before="0" w:after="283"/>
              <w:jc w:val="left"/>
              <w:rPr/>
            </w:pPr>
            <w:r>
              <w:rPr/>
              <w:t> </w:t>
            </w:r>
          </w:p>
        </w:tc>
        <w:tc>
          <w:tcPr>
            <w:tcW w:w="625"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475"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704"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9" w:type="dxa"/>
            <w:tcBorders/>
            <w:shd w:fill="CCEEFF" w:val="clear"/>
            <w:tcMar>
              <w:bottom w:w="0" w:type="dxa"/>
            </w:tcMar>
            <w:vAlign w:val="center"/>
          </w:tcPr>
          <w:p>
            <w:pPr>
              <w:pStyle w:val="TableContents"/>
              <w:spacing w:before="0" w:after="283"/>
              <w:jc w:val="left"/>
              <w:rPr/>
            </w:pPr>
            <w:r>
              <w:rPr/>
              <w:t> </w:t>
            </w:r>
          </w:p>
        </w:tc>
        <w:tc>
          <w:tcPr>
            <w:tcW w:w="579"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Capitala Senior Loan Fund II,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(7.0% Cash (1 month LIBOR + 6.0%), Due 9/3/24)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Capitala Senior Loan Fund II,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(80.0% ownership)</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13,631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(13,116</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13,631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(13,116</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(10.5% Cash (1 month LIBOR + 8.5%, 2.0% Floor), Due 12/31/21)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3,877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(97</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3,780</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 A Preferred Units (9,041,810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(367</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4,848</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(5,363,982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4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(97</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47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(367</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8,628</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9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4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2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0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7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71" w:type="dxa"/>
            <w:tcBorders/>
            <w:shd w:fill="FFFF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Total Control investments</w:t>
            </w:r>
          </w:p>
        </w:tc>
        <w:tc>
          <w:tcPr>
            <w:tcW w:w="60" w:type="dxa"/>
            <w:tcBorders/>
            <w:shd w:fill="FFFFFF" w:val="clear"/>
            <w:tcMar>
              <w:bottom w:w="0" w:type="dxa"/>
            </w:tcMar>
            <w:vAlign w:val="center"/>
          </w:tcPr>
          <w:p>
            <w:pPr>
              <w:pStyle w:val="TableContents"/>
              <w:spacing w:before="0" w:after="283"/>
              <w:rPr/>
            </w:pPr>
            <w:r>
              <w:rPr/>
              <w:t> </w:t>
            </w:r>
          </w:p>
        </w:tc>
        <w:tc>
          <w:tcPr>
            <w:tcW w:w="21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5"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7"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3"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22,723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9"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7"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6"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2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(13,213</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1"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4"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9"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8,628</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8"/>
        <w:gridCol w:w="9999"/>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(1)</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Represents the total amount of interest, original issue discount, fees and dividends credited to income for the portion of the year an investment was included in Affiliate or Control categories, respectively.</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(2)</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(3)</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Gross reductions include decreases in the cost basis of investments resulting from principal repayments and sales. Gross reductions also include transfers out of Affiliate or Control classification.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(4)</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All debt investments are income producing. Equity and warrant investments are non-income producing, unless otherwise noted.</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(5)</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The equity investment is income producing, based on rate disclosed.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2019, the Company had investments in portfolio companies designated as affiliates under the 1940 Act. Transactions with affiliates were as follows (dollars in thousands):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48"/>
        <w:gridCol w:w="60"/>
        <w:gridCol w:w="2282"/>
        <w:gridCol w:w="60"/>
        <w:gridCol w:w="105"/>
        <w:gridCol w:w="470"/>
        <w:gridCol w:w="60"/>
        <w:gridCol w:w="60"/>
        <w:gridCol w:w="144"/>
        <w:gridCol w:w="534"/>
        <w:gridCol w:w="60"/>
        <w:gridCol w:w="60"/>
        <w:gridCol w:w="119"/>
        <w:gridCol w:w="539"/>
        <w:gridCol w:w="60"/>
        <w:gridCol w:w="60"/>
        <w:gridCol w:w="118"/>
        <w:gridCol w:w="535"/>
        <w:gridCol w:w="60"/>
        <w:gridCol w:w="60"/>
        <w:gridCol w:w="122"/>
        <w:gridCol w:w="607"/>
        <w:gridCol w:w="65"/>
        <w:gridCol w:w="60"/>
        <w:gridCol w:w="104"/>
        <w:gridCol w:w="518"/>
        <w:gridCol w:w="65"/>
        <w:gridCol w:w="60"/>
        <w:gridCol w:w="162"/>
        <w:gridCol w:w="681"/>
        <w:gridCol w:w="65"/>
        <w:gridCol w:w="60"/>
        <w:gridCol w:w="119"/>
        <w:gridCol w:w="539"/>
        <w:gridCol w:w="84"/>
      </w:tblGrid>
      <w:tr>
        <w:trPr/>
        <w:tc>
          <w:tcPr>
            <w:tcW w:w="14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Company </w:t>
            </w:r>
            <w:r>
              <w:rPr>
                <w:rFonts w:ascii="Times New Roman;Times;Serif" w:hAnsi="Times New Roman;Times;Serif"/>
                <w:b/>
                <w:i w:val="false"/>
                <w:caps w:val="false"/>
                <w:smallCaps w:val="false"/>
                <w:position w:val="5"/>
                <w:sz w:val="11"/>
                <w:sz w:val="14"/>
              </w:rPr>
              <w:t>(4)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Type of Investment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57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 of</w:t>
              <w:br/>
              <w:t>Interest, Fees</w:t>
              <w:br/>
              <w:t>or Dividends</w:t>
              <w:br/>
              <w:t>Credited to</w:t>
              <w:br/>
              <w:t xml:space="preserve">Income </w:t>
            </w:r>
            <w:r>
              <w:rPr>
                <w:rFonts w:ascii="Times New Roman;Times;Serif" w:hAnsi="Times New Roman;Times;Serif"/>
                <w:b/>
                <w:i w:val="false"/>
                <w:caps w:val="false"/>
                <w:smallCaps w:val="false"/>
                <w:position w:val="5"/>
                <w:sz w:val="11"/>
                <w:sz w:val="14"/>
              </w:rPr>
              <w:t>(1)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5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December 31,</w:t>
              <w:br/>
              <w:t>2018</w:t>
              <w:br/>
              <w:t> Fair 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53"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Gross</w:t>
              <w:br/>
              <w:t xml:space="preserve">Additions </w:t>
            </w:r>
            <w:r>
              <w:rPr>
                <w:rFonts w:ascii="Times New Roman;Times;Serif" w:hAnsi="Times New Roman;Times;Serif"/>
                <w:b/>
                <w:i w:val="false"/>
                <w:caps w:val="false"/>
                <w:smallCaps w:val="false"/>
                <w:position w:val="5"/>
                <w:sz w:val="11"/>
                <w:sz w:val="14"/>
              </w:rPr>
              <w:t>(2)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2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Gross</w:t>
              <w:br/>
              <w:t xml:space="preserve">Reductions </w:t>
            </w:r>
            <w:r>
              <w:rPr>
                <w:rFonts w:ascii="Times New Roman;Times;Serif" w:hAnsi="Times New Roman;Times;Serif"/>
                <w:b/>
                <w:i w:val="false"/>
                <w:caps w:val="false"/>
                <w:smallCaps w:val="false"/>
                <w:position w:val="5"/>
                <w:sz w:val="11"/>
                <w:sz w:val="14"/>
              </w:rPr>
              <w:t>(3)</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2"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Realized</w:t>
              <w:br/>
              <w:t>Gain/(Loss)</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43"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Unrealized</w:t>
              <w:br/>
              <w:t>Appreciation</w:t>
              <w:br/>
              <w:t>(Depreciation)</w:t>
            </w:r>
          </w:p>
        </w:tc>
        <w:tc>
          <w:tcPr>
            <w:tcW w:w="6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58"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December 31,</w:t>
              <w:br/>
              <w:t xml:space="preserve">2019 </w:t>
              <w:br/>
              <w:t>Fair Value</w:t>
            </w:r>
          </w:p>
        </w:tc>
        <w:tc>
          <w:tcPr>
            <w:tcW w:w="84"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Affiliate investments</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4" w:type="dxa"/>
            <w:tcBorders/>
            <w:shd w:fill="CCEEFF" w:val="clear"/>
            <w:tcMar>
              <w:bottom w:w="0" w:type="dxa"/>
            </w:tcMar>
            <w:vAlign w:val="center"/>
          </w:tcPr>
          <w:p>
            <w:pPr>
              <w:pStyle w:val="TableContents"/>
              <w:spacing w:before="0" w:after="283"/>
              <w:jc w:val="left"/>
              <w:rPr/>
            </w:pPr>
            <w:r>
              <w:rPr/>
              <w:t> </w:t>
            </w:r>
          </w:p>
        </w:tc>
        <w:tc>
          <w:tcPr>
            <w:tcW w:w="534"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39"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8" w:type="dxa"/>
            <w:tcBorders/>
            <w:shd w:fill="CCEEFF" w:val="clear"/>
            <w:tcMar>
              <w:bottom w:w="0" w:type="dxa"/>
            </w:tcMar>
            <w:vAlign w:val="center"/>
          </w:tcPr>
          <w:p>
            <w:pPr>
              <w:pStyle w:val="TableContents"/>
              <w:spacing w:before="0" w:after="283"/>
              <w:jc w:val="left"/>
              <w:rPr/>
            </w:pPr>
            <w:r>
              <w:rPr/>
              <w:t> </w:t>
            </w:r>
          </w:p>
        </w:tc>
        <w:tc>
          <w:tcPr>
            <w:tcW w:w="53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2" w:type="dxa"/>
            <w:tcBorders/>
            <w:shd w:fill="CCEEFF" w:val="clear"/>
            <w:tcMar>
              <w:bottom w:w="0" w:type="dxa"/>
            </w:tcMar>
            <w:vAlign w:val="center"/>
          </w:tcPr>
          <w:p>
            <w:pPr>
              <w:pStyle w:val="TableContents"/>
              <w:spacing w:before="0" w:after="283"/>
              <w:jc w:val="left"/>
              <w:rPr/>
            </w:pPr>
            <w:r>
              <w:rPr/>
              <w:t> </w:t>
            </w:r>
          </w:p>
        </w:tc>
        <w:tc>
          <w:tcPr>
            <w:tcW w:w="607"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518"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2" w:type="dxa"/>
            <w:tcBorders/>
            <w:shd w:fill="CCEEFF" w:val="clear"/>
            <w:tcMar>
              <w:bottom w:w="0" w:type="dxa"/>
            </w:tcMar>
            <w:vAlign w:val="center"/>
          </w:tcPr>
          <w:p>
            <w:pPr>
              <w:pStyle w:val="TableContents"/>
              <w:spacing w:before="0" w:after="283"/>
              <w:jc w:val="left"/>
              <w:rPr/>
            </w:pPr>
            <w:r>
              <w:rPr/>
              <w:t> </w:t>
            </w:r>
          </w:p>
        </w:tc>
        <w:tc>
          <w:tcPr>
            <w:tcW w:w="681"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39" w:type="dxa"/>
            <w:tcBorders/>
            <w:shd w:fill="CCEEFF" w:val="clear"/>
            <w:tcMar>
              <w:bottom w:w="0" w:type="dxa"/>
            </w:tcMar>
            <w:vAlign w:val="center"/>
          </w:tcPr>
          <w:p>
            <w:pPr>
              <w:pStyle w:val="TableContents"/>
              <w:spacing w:before="0" w:after="283"/>
              <w:jc w:val="right"/>
              <w:rPr/>
            </w:pPr>
            <w:r>
              <w:rPr/>
              <w:t> </w:t>
            </w:r>
          </w:p>
        </w:tc>
        <w:tc>
          <w:tcPr>
            <w:tcW w:w="84" w:type="dxa"/>
            <w:tcBorders/>
            <w:shd w:fill="CCEEFF" w:val="clear"/>
            <w:tcMar>
              <w:bottom w:w="0" w:type="dxa"/>
            </w:tcMar>
            <w:vAlign w:val="center"/>
          </w:tcPr>
          <w:p>
            <w:pPr>
              <w:pStyle w:val="TableContents"/>
              <w:spacing w:before="0" w:after="283"/>
              <w:jc w:val="left"/>
              <w:rPr/>
            </w:pPr>
            <w:r>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(12.0% Cash, 3.0% PIK, Due 3/23/21)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14,421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14,384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417</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14,421</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Class B (1,085,073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573</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635</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Burgaflex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Class A (1,253,198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990</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15,056</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City Gear,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 Warrants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142</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3,326</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3,184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142</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3,326</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Eastport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(14.9% Cash (3 month LIBOR + 13.0%, 0.5% Floor), Due 12/29/21)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3,230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(659</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16,500</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Eastport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(22.9% ownership)</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17,610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212</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17,822</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(447</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34,322</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GA Communications, Inc. </w:t>
            </w:r>
            <w:r>
              <w:rPr>
                <w:rFonts w:ascii="Times New Roman;Times;Serif" w:hAnsi="Times New Roman;Times;Serif"/>
                <w:b w:val="false"/>
                <w:i w:val="false"/>
                <w:caps w:val="false"/>
                <w:smallCaps w:val="false"/>
                <w:position w:val="5"/>
                <w:sz w:val="11"/>
                <w:sz w:val="14"/>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A-1 Preferred Stock (1,998 shares, 8.0% PIK Dividend)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3,482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3,761</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 Communications,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B-1 Common Stock (200,000 shares)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501</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4,807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4,262</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J&amp;J Produce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(13.0% Cash, Due 6/16/19)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6,210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(5,788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J&amp;J Produce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(8,182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818</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J&amp;J Produce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Warrants (6,369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6,210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(5,788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(1,436</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1,014</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LJS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(92,924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372</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LJS Partners,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Membership Units (2,593,234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3,018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(1,543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1,509</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3,018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(1,464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1,881</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(12.0% Cash, Due 1/31/21)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(6.0% Cash, Due 1/31/21)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400</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MMI Holdings, LLC </w:t>
            </w:r>
            <w:r>
              <w:rPr>
                <w:rFonts w:ascii="Times New Roman;Times;Serif" w:hAnsi="Times New Roman;Times;Serif"/>
                <w:b w:val="false"/>
                <w:i w:val="false"/>
                <w:caps w:val="false"/>
                <w:smallCaps w:val="false"/>
                <w:position w:val="5"/>
                <w:sz w:val="11"/>
                <w:sz w:val="14"/>
              </w:rPr>
              <w:t>(5)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(1,000 units, 6.0% PIK Dividend)</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1,710</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MMI Holdings,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Membership Units (45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194</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4,797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4,904</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(11.0% Cash, Due 6/30/23)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10,100</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Navis Holdings, Inc. </w:t>
            </w:r>
            <w:r>
              <w:rPr>
                <w:rFonts w:ascii="Times New Roman;Times;Serif" w:hAnsi="Times New Roman;Times;Serif"/>
                <w:b w:val="false"/>
                <w:i w:val="false"/>
                <w:caps w:val="false"/>
                <w:smallCaps w:val="false"/>
                <w:position w:val="5"/>
                <w:sz w:val="11"/>
                <w:sz w:val="14"/>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 A Preferred Stock (1,000 shares, 10.0% Cash Dividend)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(60,000 shares)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464</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464</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464</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11,564</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Nth Degree Investment Group,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(6,088,000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6,088</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RAM Payment,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(10.0% Cash, Due 1/4/24)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9,019</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RAM Payment, LLC </w:t>
            </w:r>
            <w:r>
              <w:rPr>
                <w:rFonts w:ascii="Times New Roman;Times;Serif" w:hAnsi="Times New Roman;Times;Serif"/>
                <w:b w:val="false"/>
                <w:i w:val="false"/>
                <w:caps w:val="false"/>
                <w:smallCaps w:val="false"/>
                <w:position w:val="5"/>
                <w:sz w:val="11"/>
                <w:sz w:val="14"/>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(86,000 Units, 8.0% PIK Dividend)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797</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1,725</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10,417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797</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10,744</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Sierra Hamilton Holdings Corporation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(15.0% PIK, Due 9/12/23)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Sierra Hamilton Holdings Corporation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(15,068,000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6,854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5,160</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6,854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5,908</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 Bath Group,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(11.5% Cash (1 month LIBOR + 9.0%, 1.0% Floor), Due 1/2/23)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(12,750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 Bath Group,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(500,000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(4,323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3,823</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(1,583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14,833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(17,073</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3,823</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(1,583</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V12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708</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Total Affiliate investments</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4"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8,401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92,939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30,572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(24,404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8"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2,288</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1"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(2,632</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98,763</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Control investments</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4" w:type="dxa"/>
            <w:tcBorders/>
            <w:shd w:fill="CCEEFF" w:val="clear"/>
            <w:tcMar>
              <w:bottom w:w="0" w:type="dxa"/>
            </w:tcMar>
            <w:vAlign w:val="center"/>
          </w:tcPr>
          <w:p>
            <w:pPr>
              <w:pStyle w:val="TableContents"/>
              <w:spacing w:before="0" w:after="283"/>
              <w:jc w:val="left"/>
              <w:rPr/>
            </w:pPr>
            <w:r>
              <w:rPr/>
              <w:t> </w:t>
            </w:r>
          </w:p>
        </w:tc>
        <w:tc>
          <w:tcPr>
            <w:tcW w:w="534"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39"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8" w:type="dxa"/>
            <w:tcBorders/>
            <w:shd w:fill="CCEEFF" w:val="clear"/>
            <w:tcMar>
              <w:bottom w:w="0" w:type="dxa"/>
            </w:tcMar>
            <w:vAlign w:val="center"/>
          </w:tcPr>
          <w:p>
            <w:pPr>
              <w:pStyle w:val="TableContents"/>
              <w:spacing w:before="0" w:after="283"/>
              <w:jc w:val="left"/>
              <w:rPr/>
            </w:pPr>
            <w:r>
              <w:rPr/>
              <w:t> </w:t>
            </w:r>
          </w:p>
        </w:tc>
        <w:tc>
          <w:tcPr>
            <w:tcW w:w="535"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2" w:type="dxa"/>
            <w:tcBorders/>
            <w:shd w:fill="CCEEFF" w:val="clear"/>
            <w:tcMar>
              <w:bottom w:w="0" w:type="dxa"/>
            </w:tcMar>
            <w:vAlign w:val="center"/>
          </w:tcPr>
          <w:p>
            <w:pPr>
              <w:pStyle w:val="TableContents"/>
              <w:spacing w:before="0" w:after="283"/>
              <w:jc w:val="left"/>
              <w:rPr/>
            </w:pPr>
            <w:r>
              <w:rPr/>
              <w:t> </w:t>
            </w:r>
          </w:p>
        </w:tc>
        <w:tc>
          <w:tcPr>
            <w:tcW w:w="607"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518"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2" w:type="dxa"/>
            <w:tcBorders/>
            <w:shd w:fill="CCEEFF" w:val="clear"/>
            <w:tcMar>
              <w:bottom w:w="0" w:type="dxa"/>
            </w:tcMar>
            <w:vAlign w:val="center"/>
          </w:tcPr>
          <w:p>
            <w:pPr>
              <w:pStyle w:val="TableContents"/>
              <w:spacing w:before="0" w:after="283"/>
              <w:jc w:val="left"/>
              <w:rPr/>
            </w:pPr>
            <w:r>
              <w:rPr/>
              <w:t> </w:t>
            </w:r>
          </w:p>
        </w:tc>
        <w:tc>
          <w:tcPr>
            <w:tcW w:w="681" w:type="dxa"/>
            <w:tcBorders/>
            <w:shd w:fill="CCEEFF" w:val="clear"/>
            <w:tcMar>
              <w:bottom w:w="0" w:type="dxa"/>
            </w:tcMar>
            <w:vAlign w:val="center"/>
          </w:tcPr>
          <w:p>
            <w:pPr>
              <w:pStyle w:val="TableContents"/>
              <w:spacing w:before="0" w:after="283"/>
              <w:jc w:val="right"/>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539" w:type="dxa"/>
            <w:tcBorders/>
            <w:shd w:fill="CCEEFF" w:val="clear"/>
            <w:tcMar>
              <w:bottom w:w="0" w:type="dxa"/>
            </w:tcMar>
            <w:vAlign w:val="center"/>
          </w:tcPr>
          <w:p>
            <w:pPr>
              <w:pStyle w:val="TableContents"/>
              <w:spacing w:before="0" w:after="283"/>
              <w:jc w:val="right"/>
              <w:rPr/>
            </w:pPr>
            <w:r>
              <w:rPr/>
              <w:t> </w:t>
            </w:r>
          </w:p>
        </w:tc>
        <w:tc>
          <w:tcPr>
            <w:tcW w:w="84" w:type="dxa"/>
            <w:tcBorders/>
            <w:shd w:fill="CCEEFF" w:val="clear"/>
            <w:tcMar>
              <w:bottom w:w="0" w:type="dxa"/>
            </w:tcMar>
            <w:vAlign w:val="center"/>
          </w:tcPr>
          <w:p>
            <w:pPr>
              <w:pStyle w:val="TableContents"/>
              <w:spacing w:before="0" w:after="283"/>
              <w:jc w:val="left"/>
              <w:rPr/>
            </w:pPr>
            <w:r>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AAE Acquisition,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(6.0% PIK, Due 8/24/19)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16,327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4,084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(20,411</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AAE Acquisition,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(2.2% fully diluted)</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AAE Acquisition,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Warrants (58.9% fully diluted)</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16,327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(20,428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(8.0% Cash, Due 6/30/21)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1,842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(3,550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(8.0% Cash, Due 6/30/21)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(3,424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(5,465</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 Series A1 (7,200,000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(5,373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 Series A (4,000,000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(2,354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2,354</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(14.9% fully diluted)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1,394</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CableOrganizer Acquisition,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Warrants (40.0% fully diluted)</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10,597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7,215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(6,974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(14,586</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3,748</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Capitala Senior Loan Fund II,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(6.7% Cash (1 month LIBOR + 5.0%), Due 9/3/24)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Capitala Senior Loan Fund II,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(80.0% ownership)</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13,631</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13,631</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Micro Precision,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(10.0% Cash, Due 3/31/20)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(1,862</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Micro Precision,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Second Lien Debt (14.0% Cash, 4.0% PIK, Due 3/31/20)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(4,413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Micro Precision,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A Preferred Units (47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2,817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(1,629</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(7,904</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(11.0% Cash, Due 6/30/23)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Navis Holdings, Inc. </w:t>
            </w:r>
            <w:r>
              <w:rPr>
                <w:rFonts w:ascii="Times New Roman;Times;Serif" w:hAnsi="Times New Roman;Times;Serif"/>
                <w:b w:val="false"/>
                <w:i w:val="false"/>
                <w:caps w:val="false"/>
                <w:smallCaps w:val="false"/>
                <w:position w:val="5"/>
                <w:sz w:val="11"/>
                <w:sz w:val="14"/>
              </w:rPr>
              <w:t>(5)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 A Preferred Stock (1,000 shares, 10.0% Cash Dividend)</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Navis Holdings,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Common Stock (60,000 shares)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4,348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(2,600</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2,599</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(4,347</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12,848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(11,100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2,599</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(4,347</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Portrait Studio,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(9.0% Cash (1 month LIBOR + 7.0%, 1.0% Floor, 2.0% Ceiling), Due 12/31/22)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(3,540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Portrait Studio,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(9.1% Cash (1 month LIBOR + 7.0%, 1.0% Floor, 5.0% Ceiling), Due 12/31/22)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(792</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(3,708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Portrait Studio,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Preferred Units (4,350,000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276</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Portrait Studio,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(150,000 Units)</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6,674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3,540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(4,332</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(6,158</w:t>
            </w:r>
          </w:p>
        </w:tc>
        <w:tc>
          <w:tcPr>
            <w:tcW w:w="6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276</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First Lien Debt (10.5% Cash (1 month LIBOR + 8.5%, 2.0% Floor), Due 12/31/21)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3,877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3,877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3,877</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 A Preferred Units (9,041,810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5,215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5,215</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Vology,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Membership Units (5,363,982 Units)</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4"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9,092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18"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9,092</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2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47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4"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81"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3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448" w:type="dxa"/>
            <w:tcBorders/>
            <w:shd w:fill="CCEEFF" w:val="clear"/>
            <w:tcMar>
              <w:bottom w:w="0" w:type="dxa"/>
            </w:tcMar>
            <w:vAlign w:val="center"/>
          </w:tcPr>
          <w:p>
            <w:pPr>
              <w:pStyle w:val="TableContents"/>
              <w:spacing w:before="0" w:after="283"/>
              <w:jc w:val="left"/>
              <w:rPr>
                <w:rFonts w:ascii="Times New Roman;Times;Serif" w:hAnsi="Times New Roman;Times;Serif"/>
                <w:b/>
                <w:i/>
                <w:caps w:val="false"/>
                <w:smallCaps w:val="false"/>
                <w:sz w:val="14"/>
                <w:u w:val="single"/>
              </w:rPr>
            </w:pPr>
            <w:r>
              <w:rPr>
                <w:rFonts w:ascii="Times New Roman;Times;Serif" w:hAnsi="Times New Roman;Times;Serif"/>
                <w:b/>
                <w:i/>
                <w:caps w:val="false"/>
                <w:smallCaps w:val="false"/>
                <w:sz w:val="14"/>
                <w:u w:val="single"/>
              </w:rPr>
              <w:t>Total Control investments</w:t>
            </w:r>
          </w:p>
        </w:tc>
        <w:tc>
          <w:tcPr>
            <w:tcW w:w="60" w:type="dxa"/>
            <w:tcBorders/>
            <w:shd w:fill="CCEEFF" w:val="clear"/>
            <w:tcMar>
              <w:bottom w:w="0" w:type="dxa"/>
            </w:tcMar>
            <w:vAlign w:val="center"/>
          </w:tcPr>
          <w:p>
            <w:pPr>
              <w:pStyle w:val="TableContents"/>
              <w:spacing w:before="0" w:after="283"/>
              <w:rPr/>
            </w:pPr>
            <w:r>
              <w:rPr/>
              <w:t> </w:t>
            </w:r>
          </w:p>
        </w:tc>
        <w:tc>
          <w:tcPr>
            <w:tcW w:w="2282"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47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4"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69,145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8"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(30,310</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18"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(38,573</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1"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(1,558</w:t>
            </w:r>
          </w:p>
        </w:tc>
        <w:tc>
          <w:tcPr>
            <w:tcW w:w="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3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22,723</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8"/>
        <w:gridCol w:w="9999"/>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(1)</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Represents the total amount of interest, original issue discount, fees and dividends credited to income for the portion of the year an investment was included in Affiliate or Control categories, respectively.</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(2)</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(3)</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Gross reductions include decreases in the cost basis of investments resulting from principal repayments and sales. Gross reductions also include transfers out of Affiliate or Control classification.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(4)</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All debt investments are income producing. Equity and warrant investments are non-income producing, unless otherwise noted.</w:t>
            </w:r>
          </w:p>
        </w:tc>
      </w:tr>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rFonts w:ascii="Times New Roman;Times;Serif" w:hAnsi="Times New Roman;Times;Serif"/>
                <w:sz w:val="14"/>
              </w:rPr>
            </w:pPr>
            <w:r>
              <w:rPr>
                <w:rFonts w:ascii="Times New Roman;Times;Serif" w:hAnsi="Times New Roman;Times;Serif"/>
                <w:sz w:val="14"/>
              </w:rPr>
              <w:t>(5)</w:t>
            </w:r>
          </w:p>
        </w:tc>
        <w:tc>
          <w:tcPr>
            <w:tcW w:w="9999" w:type="dxa"/>
            <w:tcBorders/>
            <w:shd w:fill="auto" w:val="clear"/>
            <w:vAlign w:val="center"/>
          </w:tcPr>
          <w:p>
            <w:pPr>
              <w:pStyle w:val="TableContents"/>
              <w:spacing w:before="0" w:after="283"/>
              <w:jc w:val="both"/>
              <w:rPr>
                <w:rFonts w:ascii="Times New Roman;Times;Serif" w:hAnsi="Times New Roman;Times;Serif"/>
                <w:sz w:val="14"/>
              </w:rPr>
            </w:pPr>
            <w:r>
              <w:rPr>
                <w:rFonts w:ascii="Times New Roman;Times;Serif" w:hAnsi="Times New Roman;Times;Serif"/>
                <w:sz w:val="14"/>
              </w:rPr>
              <w:t>The equity investment is income producing, based on rate disclosed.</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directors who are not "interested persons" as such term is defined in Section 2(a)(19) of the 1940 Act ("Independent Directors"). The Investment Advisory Agreement was most recently re-approved by the Board, including a majority of our Independent Directors, at a meeting on July 30, 2020. Subject to the overall supervision of the Board, the Investment Advisor manages our day-to-day operations and provides investment advisory and management services to us. Under the terms of the Investment Advisory Agreement, the Investment Advisor: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determines the composition of our portfolio, the nature and timing of the changes to our portfolio, and the manner of implementing such changes;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identifies, evaluates, and negotiates the structure of the investments we make (including performing due diligence on our prospective portfolio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closes and monitors the investments we make;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provides us with other investment advisory, research, and related services as we may from time to time require.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Advisor’s services under the Investment Advisory Agreement are not exclusive, and it is free to furnish similar services to other entities so long as its services to us are not impaired.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pStyle w:val="TextBody"/>
        <w:spacing w:before="0" w:after="0"/>
        <w:ind w:left="0" w:right="0" w:firstLine="10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the Company has agreed to pay the Investment Advisor a fee for investment advisory and management services consisting of two components — a base management fee and an incentive fee.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consists of the following two parts: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incentive fee in any calendar quarter in which the pre-incentive fee net investment income does not exceed the hurdle of 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September 30, 2020 and December 31, 2019, the Company had incentive fees payable to the Investment Advisor of $3.7 million related to fees earned in prior years but deferred under the incentive fee deferral mechanism.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2020 and 2019, the Company incurred $1.6 million and $1.9 million in base management fees, respectively. The Company incurred $0.0 in incentive fees related to pre-incentive fee net investment income for the three months ended September 30, 2020 and 2019. For the three months ended September 30, 2020 and 2019, our Investment Advisor waived $0.0 in incentive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2020 and 2019, the Company incurred $5.0 million and $6.1 million in base management fees, respectively. The Company incurred $0.0 and $1.5 million in incentive fees related to pre-incentive fee net investment income for the nine months ended September 30, 2020 and 2019, respectively. For the nine months ended September 30, 2020 and 2019, our Investment Advisor waived $0.0 and $0.3 million, respectively, in incentive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30, 2020.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2020, the Company paid the Administrator $0.4 million and $1.1 million, respectively, for the Company’s allocable portion of the Administrator’s overhead. For the three and nine months ended September 30, 2019, the Company paid the Administrator $0.4 million and $1.1 million, respectively, for the Company’s allocable portion of the Administrator’s overhead.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2020 and December 31, 2019, the Company had $3.6 million and $3.7 million, respectively, of management and incentive fees payable to the Investment Advisor. These amounts are reflected in the accompanying consolidated statements of assets and liabilities under the caption “Management and incentive fees payable.”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Borrowings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SBA Debentures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wholly owned subsidiary Fund III, uses debenture leverage provided through the SBA to fund a portion of its investment portfolio. As of September 30, 2020 and December 31, 2019, the Company had $91.0 million and $150.0 million of SBA-guaranteed debentures outstanding, respectively.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September 30, 2020, Fund III had total assets of $181.4 million. As of December 31, 2019, Fund III had total assets of $266.3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expense and annual charges, deferred financing costs, average outstanding balance, and average stated interest and annual charge rate on the SBA-guaranteed debentures for the three and nine months ended September 30, 2020 and 2019 (dollars in thousands):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059"/>
        <w:gridCol w:w="60"/>
        <w:gridCol w:w="232"/>
        <w:gridCol w:w="1294"/>
        <w:gridCol w:w="240"/>
        <w:gridCol w:w="77"/>
        <w:gridCol w:w="231"/>
        <w:gridCol w:w="1296"/>
        <w:gridCol w:w="185"/>
        <w:gridCol w:w="60"/>
        <w:gridCol w:w="230"/>
        <w:gridCol w:w="1260"/>
        <w:gridCol w:w="217"/>
        <w:gridCol w:w="70"/>
        <w:gridCol w:w="230"/>
        <w:gridCol w:w="1260"/>
        <w:gridCol w:w="204"/>
      </w:tblGrid>
      <w:tr>
        <w:trPr/>
        <w:tc>
          <w:tcPr>
            <w:tcW w:w="30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7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6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20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5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2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40" w:type="dxa"/>
            <w:tcBorders/>
            <w:shd w:fill="auto" w:val="clear"/>
            <w:vAlign w:val="center"/>
          </w:tcPr>
          <w:p>
            <w:pPr>
              <w:pStyle w:val="TableContents"/>
              <w:spacing w:before="0" w:after="283"/>
              <w:rPr>
                <w:caps w:val="false"/>
                <w:smallCaps w:val="false"/>
              </w:rPr>
            </w:pPr>
            <w:r>
              <w:rPr>
                <w:caps w:val="false"/>
                <w:smallCaps w:val="false"/>
              </w:rPr>
              <w:t> </w:t>
            </w:r>
          </w:p>
        </w:tc>
        <w:tc>
          <w:tcPr>
            <w:tcW w:w="77" w:type="dxa"/>
            <w:tcBorders/>
            <w:shd w:fill="auto" w:val="clear"/>
            <w:vAlign w:val="center"/>
          </w:tcPr>
          <w:p>
            <w:pPr>
              <w:pStyle w:val="TableContents"/>
              <w:spacing w:before="0" w:after="283"/>
              <w:rPr>
                <w:caps w:val="false"/>
                <w:smallCaps w:val="false"/>
              </w:rPr>
            </w:pPr>
            <w:r>
              <w:rPr>
                <w:caps w:val="false"/>
                <w:smallCaps w:val="false"/>
              </w:rPr>
              <w:t> </w:t>
            </w:r>
          </w:p>
        </w:tc>
        <w:tc>
          <w:tcPr>
            <w:tcW w:w="152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17" w:type="dxa"/>
            <w:tcBorders/>
            <w:shd w:fill="auto" w:val="clear"/>
            <w:vAlign w:val="center"/>
          </w:tcPr>
          <w:p>
            <w:pPr>
              <w:pStyle w:val="TableContents"/>
              <w:spacing w:before="0" w:after="283"/>
              <w:rPr>
                <w:caps w:val="false"/>
                <w:smallCaps w:val="false"/>
              </w:rPr>
            </w:pPr>
            <w:r>
              <w:rPr>
                <w:caps w:val="false"/>
                <w:smallCaps w:val="false"/>
              </w:rPr>
              <w:t> </w:t>
            </w:r>
          </w:p>
        </w:tc>
        <w:tc>
          <w:tcPr>
            <w:tcW w:w="70" w:type="dxa"/>
            <w:tcBorders/>
            <w:shd w:fill="auto" w:val="clear"/>
            <w:vAlign w:val="center"/>
          </w:tcPr>
          <w:p>
            <w:pPr>
              <w:pStyle w:val="TableContents"/>
              <w:spacing w:before="0" w:after="283"/>
              <w:rPr>
                <w:caps w:val="false"/>
                <w:smallCaps w:val="false"/>
              </w:rPr>
            </w:pPr>
            <w:r>
              <w:rPr>
                <w:caps w:val="false"/>
                <w:smallCaps w:val="false"/>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20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5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and annual charges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w:t>
            </w:r>
          </w:p>
        </w:tc>
        <w:tc>
          <w:tcPr>
            <w:tcW w:w="2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spacing w:before="0" w:after="283"/>
              <w:rPr>
                <w:caps w:val="false"/>
                <w:smallCaps w:val="false"/>
              </w:rPr>
            </w:pPr>
            <w:r>
              <w:rPr>
                <w:caps w:val="false"/>
                <w:smallCaps w:val="false"/>
              </w:rPr>
              <w:t> </w:t>
            </w:r>
          </w:p>
        </w:tc>
        <w:tc>
          <w:tcPr>
            <w:tcW w:w="2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3,808</w:t>
            </w:r>
          </w:p>
        </w:tc>
        <w:tc>
          <w:tcPr>
            <w:tcW w:w="21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4,109</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2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spacing w:before="0" w:after="283"/>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9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2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spacing w:before="0" w:after="283"/>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financing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2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spacing w:before="0" w:after="283"/>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4,244</w:t>
            </w:r>
          </w:p>
        </w:tc>
        <w:tc>
          <w:tcPr>
            <w:tcW w:w="21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4,668</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outstanding balance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130,761</w:t>
            </w:r>
          </w:p>
        </w:tc>
        <w:tc>
          <w:tcPr>
            <w:tcW w:w="2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spacing w:before="0" w:after="283"/>
              <w:rPr>
                <w:caps w:val="false"/>
                <w:smallCaps w:val="false"/>
              </w:rPr>
            </w:pPr>
            <w:r>
              <w:rPr>
                <w:caps w:val="false"/>
                <w:smallCaps w:val="false"/>
              </w:rPr>
              <w:t> </w:t>
            </w:r>
          </w:p>
        </w:tc>
        <w:tc>
          <w:tcPr>
            <w:tcW w:w="23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143,540</w:t>
            </w:r>
          </w:p>
        </w:tc>
        <w:tc>
          <w:tcPr>
            <w:tcW w:w="2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spacing w:before="0" w:after="283"/>
              <w:rPr>
                <w:caps w:val="false"/>
                <w:smallCaps w:val="false"/>
              </w:rPr>
            </w:pPr>
            <w:r>
              <w:rPr>
                <w:caps w:val="false"/>
                <w:smallCaps w:val="false"/>
              </w:rPr>
              <w:t> </w:t>
            </w:r>
          </w:p>
        </w:tc>
        <w:tc>
          <w:tcPr>
            <w:tcW w:w="2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153,393</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stated interest and annual charge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2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spacing w:before="0" w:after="283"/>
              <w:rPr>
                <w:caps w:val="false"/>
                <w:smallCaps w:val="false"/>
              </w:rPr>
            </w:pPr>
            <w:r>
              <w:rPr>
                <w:caps w:val="false"/>
                <w:smallCaps w:val="false"/>
              </w:rPr>
              <w:t> </w:t>
            </w:r>
          </w:p>
        </w:tc>
        <w:tc>
          <w:tcPr>
            <w:tcW w:w="2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21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and December 31, 2019, the Company’s issued and outstanding SBA-guaranteed debentures mature as follows (dollars in thousands):</w:t>
      </w:r>
    </w:p>
    <w:p>
      <w:pPr>
        <w:pStyle w:val="TextBody"/>
        <w:spacing w:before="0" w:after="0"/>
        <w:ind w:left="0" w:right="0" w:firstLine="720"/>
        <w:jc w:val="both"/>
        <w:rPr>
          <w:caps w:val="false"/>
          <w:smallCaps w:val="false"/>
        </w:rPr>
      </w:pPr>
      <w:r>
        <w:rPr>
          <w:caps w:val="false"/>
          <w:smallCaps w:val="false"/>
        </w:rPr>
        <w:t> </w:t>
      </w:r>
    </w:p>
    <w:tbl>
      <w:tblPr>
        <w:tblW w:w="7052" w:type="dxa"/>
        <w:jc w:val="left"/>
        <w:tblInd w:w="0" w:type="dxa"/>
        <w:tblCellMar>
          <w:top w:w="0" w:type="dxa"/>
          <w:left w:w="0" w:type="dxa"/>
          <w:bottom w:w="28" w:type="dxa"/>
          <w:right w:w="0" w:type="dxa"/>
        </w:tblCellMar>
      </w:tblPr>
      <w:tblGrid>
        <w:gridCol w:w="1760"/>
        <w:gridCol w:w="60"/>
        <w:gridCol w:w="120"/>
        <w:gridCol w:w="979"/>
        <w:gridCol w:w="185"/>
        <w:gridCol w:w="60"/>
        <w:gridCol w:w="115"/>
        <w:gridCol w:w="939"/>
        <w:gridCol w:w="185"/>
        <w:gridCol w:w="60"/>
        <w:gridCol w:w="212"/>
        <w:gridCol w:w="1007"/>
        <w:gridCol w:w="60"/>
        <w:gridCol w:w="60"/>
        <w:gridCol w:w="179"/>
        <w:gridCol w:w="996"/>
        <w:gridCol w:w="75"/>
      </w:tblGrid>
      <w:tr>
        <w:trPr/>
        <w:tc>
          <w:tcPr>
            <w:tcW w:w="1760"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Maturity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9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18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5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SBA Annual</w:t>
              <w:br/>
              <w:t>Charge</w:t>
            </w:r>
          </w:p>
        </w:tc>
        <w:tc>
          <w:tcPr>
            <w:tcW w:w="18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1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2019</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6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0.285</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6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w:t>
            </w:r>
          </w:p>
        </w:tc>
        <w:tc>
          <w:tcPr>
            <w:tcW w:w="1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0.285</w:t>
            </w:r>
          </w:p>
        </w:tc>
        <w:tc>
          <w:tcPr>
            <w:tcW w:w="1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6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0.285</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6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w:t>
            </w:r>
          </w:p>
        </w:tc>
        <w:tc>
          <w:tcPr>
            <w:tcW w:w="1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0.515</w:t>
            </w:r>
          </w:p>
        </w:tc>
        <w:tc>
          <w:tcPr>
            <w:tcW w:w="1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6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3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0.515</w:t>
            </w:r>
          </w:p>
        </w:tc>
        <w:tc>
          <w:tcPr>
            <w:tcW w:w="1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0" w:type="dxa"/>
            <w:tcBorders/>
            <w:shd w:fill="FFFFFF" w:val="clear"/>
            <w:tcMar>
              <w:bottom w:w="0" w:type="dxa"/>
            </w:tcMar>
            <w:vAlign w:val="center"/>
          </w:tcPr>
          <w:p>
            <w:pPr>
              <w:pStyle w:val="TableContents"/>
              <w:spacing w:before="0" w:after="283"/>
              <w:jc w:val="left"/>
              <w:rPr/>
            </w:pPr>
            <w:r>
              <w:rPr/>
              <w:t> </w:t>
            </w:r>
          </w:p>
        </w:tc>
        <w:tc>
          <w:tcPr>
            <w:tcW w:w="979" w:type="dxa"/>
            <w:tcBorders/>
            <w:shd w:fill="FFFFFF" w:val="clear"/>
            <w:tcMar>
              <w:bottom w:w="0" w:type="dxa"/>
            </w:tcMar>
            <w:vAlign w:val="center"/>
          </w:tcPr>
          <w:p>
            <w:pPr>
              <w:pStyle w:val="TableContents"/>
              <w:spacing w:before="0" w:after="283"/>
              <w:jc w:val="right"/>
              <w:rPr/>
            </w:pPr>
            <w:r>
              <w:rPr/>
              <w:t> </w:t>
            </w:r>
          </w:p>
        </w:tc>
        <w:tc>
          <w:tcPr>
            <w:tcW w:w="18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5" w:type="dxa"/>
            <w:tcBorders/>
            <w:shd w:fill="FFFFFF" w:val="clear"/>
            <w:tcMar>
              <w:bottom w:w="0" w:type="dxa"/>
            </w:tcMar>
            <w:vAlign w:val="center"/>
          </w:tcPr>
          <w:p>
            <w:pPr>
              <w:pStyle w:val="TableContents"/>
              <w:spacing w:before="0" w:after="283"/>
              <w:jc w:val="left"/>
              <w:rPr/>
            </w:pPr>
            <w:r>
              <w:rPr/>
              <w:t> </w:t>
            </w:r>
          </w:p>
        </w:tc>
        <w:tc>
          <w:tcPr>
            <w:tcW w:w="939" w:type="dxa"/>
            <w:tcBorders/>
            <w:shd w:fill="FFFFFF" w:val="clear"/>
            <w:tcMar>
              <w:bottom w:w="0" w:type="dxa"/>
            </w:tcMar>
            <w:vAlign w:val="center"/>
          </w:tcPr>
          <w:p>
            <w:pPr>
              <w:pStyle w:val="TableContents"/>
              <w:spacing w:before="0" w:after="283"/>
              <w:jc w:val="right"/>
              <w:rPr/>
            </w:pPr>
            <w:r>
              <w:rPr/>
              <w:t> </w:t>
            </w:r>
          </w:p>
        </w:tc>
        <w:tc>
          <w:tcPr>
            <w:tcW w:w="18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2"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2022 Notes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expense, deferred financing costs, average outstanding balance, and average stated interest rate on the 2022 Notes for the three and nine months ended September 30, 2020 and 2019 (dollars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33"/>
        <w:gridCol w:w="60"/>
        <w:gridCol w:w="275"/>
        <w:gridCol w:w="1305"/>
        <w:gridCol w:w="270"/>
        <w:gridCol w:w="87"/>
        <w:gridCol w:w="274"/>
        <w:gridCol w:w="1307"/>
        <w:gridCol w:w="185"/>
        <w:gridCol w:w="60"/>
        <w:gridCol w:w="273"/>
        <w:gridCol w:w="1287"/>
        <w:gridCol w:w="245"/>
        <w:gridCol w:w="79"/>
        <w:gridCol w:w="273"/>
        <w:gridCol w:w="1287"/>
        <w:gridCol w:w="205"/>
      </w:tblGrid>
      <w:tr>
        <w:trPr/>
        <w:tc>
          <w:tcPr>
            <w:tcW w:w="27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51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4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70" w:type="dxa"/>
            <w:tcBorders/>
            <w:shd w:fill="auto" w:val="clear"/>
            <w:vAlign w:val="center"/>
          </w:tcPr>
          <w:p>
            <w:pPr>
              <w:pStyle w:val="TableContents"/>
              <w:spacing w:before="0" w:after="283"/>
              <w:rPr>
                <w:caps w:val="false"/>
                <w:smallCaps w:val="false"/>
              </w:rPr>
            </w:pPr>
            <w:r>
              <w:rPr>
                <w:caps w:val="false"/>
                <w:smallCaps w:val="false"/>
              </w:rPr>
              <w:t> </w:t>
            </w:r>
          </w:p>
        </w:tc>
        <w:tc>
          <w:tcPr>
            <w:tcW w:w="87" w:type="dxa"/>
            <w:tcBorders/>
            <w:shd w:fill="auto" w:val="clear"/>
            <w:vAlign w:val="center"/>
          </w:tcPr>
          <w:p>
            <w:pPr>
              <w:pStyle w:val="TableContents"/>
              <w:spacing w:before="0" w:after="283"/>
              <w:rPr>
                <w:caps w:val="false"/>
                <w:smallCaps w:val="false"/>
              </w:rPr>
            </w:pPr>
            <w:r>
              <w:rPr>
                <w:caps w:val="false"/>
                <w:smallCaps w:val="false"/>
              </w:rPr>
              <w:t> </w:t>
            </w:r>
          </w:p>
        </w:tc>
        <w:tc>
          <w:tcPr>
            <w:tcW w:w="15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6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c>
          <w:tcPr>
            <w:tcW w:w="156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w:t>
            </w:r>
          </w:p>
        </w:tc>
        <w:tc>
          <w:tcPr>
            <w:tcW w:w="27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3,356</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7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7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financing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27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3,783</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outstanding balance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74,193</w:t>
            </w:r>
          </w:p>
        </w:tc>
        <w:tc>
          <w:tcPr>
            <w:tcW w:w="27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74,729</w:t>
            </w:r>
          </w:p>
        </w:tc>
        <w:tc>
          <w:tcPr>
            <w:tcW w:w="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stated interest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2022 Convertible Notes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expense, deferred financing costs, average outstanding balance, and average stated interest rate on the 2022 Convertible Notes for the three and nine months ended September 30, 2020 and 2019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33"/>
        <w:gridCol w:w="60"/>
        <w:gridCol w:w="275"/>
        <w:gridCol w:w="1305"/>
        <w:gridCol w:w="270"/>
        <w:gridCol w:w="87"/>
        <w:gridCol w:w="274"/>
        <w:gridCol w:w="1307"/>
        <w:gridCol w:w="185"/>
        <w:gridCol w:w="60"/>
        <w:gridCol w:w="273"/>
        <w:gridCol w:w="1287"/>
        <w:gridCol w:w="245"/>
        <w:gridCol w:w="79"/>
        <w:gridCol w:w="273"/>
        <w:gridCol w:w="1287"/>
        <w:gridCol w:w="205"/>
      </w:tblGrid>
      <w:tr>
        <w:trPr/>
        <w:tc>
          <w:tcPr>
            <w:tcW w:w="27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51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4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70" w:type="dxa"/>
            <w:tcBorders/>
            <w:shd w:fill="auto" w:val="clear"/>
            <w:vAlign w:val="center"/>
          </w:tcPr>
          <w:p>
            <w:pPr>
              <w:pStyle w:val="TableContents"/>
              <w:spacing w:before="0" w:after="283"/>
              <w:rPr>
                <w:caps w:val="false"/>
                <w:smallCaps w:val="false"/>
              </w:rPr>
            </w:pPr>
            <w:r>
              <w:rPr>
                <w:caps w:val="false"/>
                <w:smallCaps w:val="false"/>
              </w:rPr>
              <w:t> </w:t>
            </w:r>
          </w:p>
        </w:tc>
        <w:tc>
          <w:tcPr>
            <w:tcW w:w="87" w:type="dxa"/>
            <w:tcBorders/>
            <w:shd w:fill="auto" w:val="clear"/>
            <w:vAlign w:val="center"/>
          </w:tcPr>
          <w:p>
            <w:pPr>
              <w:pStyle w:val="TableContents"/>
              <w:spacing w:before="0" w:after="283"/>
              <w:rPr>
                <w:caps w:val="false"/>
                <w:smallCaps w:val="false"/>
              </w:rPr>
            </w:pPr>
            <w:r>
              <w:rPr>
                <w:caps w:val="false"/>
                <w:smallCaps w:val="false"/>
              </w:rPr>
              <w:t> </w:t>
            </w:r>
          </w:p>
        </w:tc>
        <w:tc>
          <w:tcPr>
            <w:tcW w:w="15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6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c>
          <w:tcPr>
            <w:tcW w:w="156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27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7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7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financing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w:t>
            </w:r>
          </w:p>
        </w:tc>
        <w:tc>
          <w:tcPr>
            <w:tcW w:w="27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2,517</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outstanding balance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27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spacing w:before="0" w:after="283"/>
              <w:rPr>
                <w:caps w:val="false"/>
                <w:smallCaps w:val="false"/>
              </w:rPr>
            </w:pPr>
            <w:r>
              <w:rPr>
                <w:caps w:val="false"/>
                <w:smallCaps w:val="false"/>
              </w:rPr>
              <w:t> </w:t>
            </w:r>
          </w:p>
        </w:tc>
        <w:tc>
          <w:tcPr>
            <w:tcW w:w="2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24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spacing w:before="0" w:after="283"/>
              <w:rPr>
                <w:caps w:val="false"/>
                <w:smallCaps w:val="false"/>
              </w:rPr>
            </w:pPr>
            <w:r>
              <w:rPr>
                <w:caps w:val="false"/>
                <w:smallCaps w:val="false"/>
              </w:rPr>
              <w:t> </w:t>
            </w:r>
          </w:p>
        </w:tc>
        <w:tc>
          <w:tcPr>
            <w:tcW w:w="27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stated interest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spacing w:before="0" w:after="283"/>
              <w:rPr>
                <w:caps w:val="false"/>
                <w:smallCaps w:val="false"/>
              </w:rPr>
            </w:pPr>
            <w:r>
              <w:rPr>
                <w:caps w:val="false"/>
                <w:smallCaps w:val="false"/>
              </w:rPr>
              <w:t> </w:t>
            </w:r>
          </w:p>
        </w:tc>
        <w:tc>
          <w:tcPr>
            <w:tcW w:w="27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spacing w:before="0" w:after="283"/>
              <w:rPr>
                <w:caps w:val="false"/>
                <w:smallCaps w:val="false"/>
              </w:rPr>
            </w:pPr>
            <w:r>
              <w:rPr>
                <w:caps w:val="false"/>
                <w:smallCaps w:val="false"/>
              </w:rPr>
              <w:t> </w:t>
            </w:r>
          </w:p>
        </w:tc>
        <w:tc>
          <w:tcPr>
            <w:tcW w:w="2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Bond Repurchase Program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and nine months ended September 30, 2020, the Company purchased approximately $2.2 million of outstanding principal of the 2022 Notes under the Bond Repurchase Program, resulting in a realized gain of $0.2 million. During the three and nine months ended September 30, 2020, the Company did not purchase any of the 2022 Convertible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2014, the Company entered into a senior secured revolving credit agreement (as amended, the “Credit Facility”) with ING Capital, LLC, as administrative agent, arranger, and bookrunner, and the lenders party thereto. The Credit Facility was set to mature on April 30, 2022. On June 19, 2020, the Company unilaterally terminated the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Credit Facility, the Company elected what it believed to be an appropriate LIBOR taking into account the Company’s needs at the time as well as the Company’s view of future interest rate movements. The Credit Facility provided for the ability to step-down the pricing of the Credit Facility from LIBOR plus 3.50% to LIBOR plus 3.00% when certain conditions were met. The Company also paid an unused commitment fee at a rate of 0.75% per annum on the unutilized portion of the aggregate commitments under the Credit Facility on each day when the utilized portion of the aggregate commitments was less than 35% for such day and 0.50% per annum on the unutilized portion of the aggregate commitments under the Credit Facility when the utilized portion was greater than 35% for such day.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expense, deferred financing costs, unused commitment fees, average outstanding balance, and average stated interest rate on the Credit Facility for the three and nine months ended September 30, 2020 and 2019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76"/>
        <w:gridCol w:w="60"/>
        <w:gridCol w:w="497"/>
        <w:gridCol w:w="1039"/>
        <w:gridCol w:w="365"/>
        <w:gridCol w:w="118"/>
        <w:gridCol w:w="324"/>
        <w:gridCol w:w="1267"/>
        <w:gridCol w:w="185"/>
        <w:gridCol w:w="60"/>
        <w:gridCol w:w="313"/>
        <w:gridCol w:w="1222"/>
        <w:gridCol w:w="256"/>
        <w:gridCol w:w="83"/>
        <w:gridCol w:w="272"/>
        <w:gridCol w:w="1263"/>
        <w:gridCol w:w="205"/>
      </w:tblGrid>
      <w:tr>
        <w:trPr/>
        <w:tc>
          <w:tcPr>
            <w:tcW w:w="267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61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09"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3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365" w:type="dxa"/>
            <w:tcBorders/>
            <w:shd w:fill="auto" w:val="clear"/>
            <w:vAlign w:val="center"/>
          </w:tcPr>
          <w:p>
            <w:pPr>
              <w:pStyle w:val="TableContents"/>
              <w:spacing w:before="0" w:after="283"/>
              <w:rPr>
                <w:caps w:val="false"/>
                <w:smallCaps w:val="false"/>
              </w:rPr>
            </w:pPr>
            <w:r>
              <w:rPr>
                <w:caps w:val="false"/>
                <w:smallCaps w:val="false"/>
              </w:rPr>
              <w:t> </w:t>
            </w:r>
          </w:p>
        </w:tc>
        <w:tc>
          <w:tcPr>
            <w:tcW w:w="118" w:type="dxa"/>
            <w:tcBorders/>
            <w:shd w:fill="auto" w:val="clear"/>
            <w:vAlign w:val="center"/>
          </w:tcPr>
          <w:p>
            <w:pPr>
              <w:pStyle w:val="TableContents"/>
              <w:spacing w:before="0" w:after="283"/>
              <w:rPr>
                <w:caps w:val="false"/>
                <w:smallCaps w:val="false"/>
              </w:rPr>
            </w:pPr>
            <w:r>
              <w:rPr>
                <w:caps w:val="false"/>
                <w:smallCaps w:val="false"/>
              </w:rPr>
              <w:t> </w:t>
            </w:r>
          </w:p>
        </w:tc>
        <w:tc>
          <w:tcPr>
            <w:tcW w:w="159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56" w:type="dxa"/>
            <w:tcBorders/>
            <w:shd w:fill="auto" w:val="clear"/>
            <w:vAlign w:val="center"/>
          </w:tcPr>
          <w:p>
            <w:pPr>
              <w:pStyle w:val="TableContents"/>
              <w:spacing w:before="0" w:after="283"/>
              <w:rPr>
                <w:caps w:val="false"/>
                <w:smallCaps w:val="false"/>
              </w:rPr>
            </w:pPr>
            <w:r>
              <w:rPr>
                <w:caps w:val="false"/>
                <w:smallCaps w:val="false"/>
              </w:rPr>
              <w:t> </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20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9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3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spacing w:before="0" w:after="283"/>
              <w:rPr>
                <w:caps w:val="false"/>
                <w:smallCaps w:val="false"/>
              </w:rPr>
            </w:pPr>
            <w:r>
              <w:rPr>
                <w:caps w:val="false"/>
                <w:smallCaps w:val="false"/>
              </w:rPr>
              <w:t> </w:t>
            </w:r>
          </w:p>
        </w:tc>
        <w:tc>
          <w:tcPr>
            <w:tcW w:w="32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2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6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3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spacing w:before="0" w:after="283"/>
              <w:rPr>
                <w:caps w:val="false"/>
                <w:smallCaps w:val="false"/>
              </w:rPr>
            </w:pPr>
            <w:r>
              <w:rPr>
                <w:caps w:val="false"/>
                <w:smallCaps w:val="false"/>
              </w:rPr>
              <w:t> </w:t>
            </w:r>
          </w:p>
        </w:tc>
        <w:tc>
          <w:tcPr>
            <w:tcW w:w="3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w:t>
            </w:r>
          </w:p>
        </w:tc>
        <w:tc>
          <w:tcPr>
            <w:tcW w:w="2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6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commitment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9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3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spacing w:before="0" w:after="283"/>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2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2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6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financing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3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spacing w:before="0" w:after="283"/>
              <w:rPr>
                <w:caps w:val="false"/>
                <w:smallCaps w:val="false"/>
              </w:rPr>
            </w:pPr>
            <w:r>
              <w:rPr>
                <w:caps w:val="false"/>
                <w:smallCaps w:val="false"/>
              </w:rPr>
              <w:t> </w:t>
            </w:r>
          </w:p>
        </w:tc>
        <w:tc>
          <w:tcPr>
            <w:tcW w:w="32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1,590</w:t>
            </w:r>
          </w:p>
        </w:tc>
        <w:tc>
          <w:tcPr>
            <w:tcW w:w="2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w:t>
            </w:r>
          </w:p>
        </w:tc>
        <w:tc>
          <w:tcPr>
            <w:tcW w:w="20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676"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outstanding balance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9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3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spacing w:before="0" w:after="283"/>
              <w:rPr>
                <w:caps w:val="false"/>
                <w:smallCaps w:val="false"/>
              </w:rPr>
            </w:pPr>
            <w:r>
              <w:rPr>
                <w:caps w:val="false"/>
                <w:smallCaps w:val="false"/>
              </w:rPr>
              <w:t> </w:t>
            </w:r>
          </w:p>
        </w:tc>
        <w:tc>
          <w:tcPr>
            <w:tcW w:w="32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2"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2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13,864</w:t>
            </w:r>
          </w:p>
        </w:tc>
        <w:tc>
          <w:tcPr>
            <w:tcW w:w="20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6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stated interest rate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3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spacing w:before="0" w:after="283"/>
              <w:rPr>
                <w:caps w:val="false"/>
                <w:smallCaps w:val="false"/>
              </w:rPr>
            </w:pPr>
            <w:r>
              <w:rPr>
                <w:caps w:val="false"/>
                <w:smallCaps w:val="false"/>
              </w:rPr>
              <w:t> </w:t>
            </w:r>
          </w:p>
        </w:tc>
        <w:tc>
          <w:tcPr>
            <w:tcW w:w="3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5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2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the Company had $0.0 outstanding under the Credit Facility. The Credit Facility was secured by investments and cash held by the Company, exclusive of assets pledged as collateral for the Company’s SBA debentures. Assets pledged to secure the Credit Facility had a carrying value of $159.8 million at December 31,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Disclosed, But Not Carried, At Fair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value and fair value of the Company’s financial liabilities disclosed, but not carried, at fair value as of September 30, 2020, and the level of each financial liability within the fair value hierarchy (dollars in thousands):</w:t>
      </w:r>
    </w:p>
    <w:p>
      <w:pPr>
        <w:pStyle w:val="TextBody"/>
        <w:spacing w:before="0" w:after="0"/>
        <w:ind w:left="0" w:right="0" w:firstLine="720"/>
        <w:jc w:val="both"/>
        <w:rPr>
          <w:caps w:val="false"/>
          <w:smallCaps w:val="false"/>
        </w:rPr>
      </w:pPr>
      <w:r>
        <w:rPr>
          <w:caps w:val="false"/>
          <w:smallCaps w:val="false"/>
        </w:rPr>
        <w:t> </w:t>
      </w:r>
    </w:p>
    <w:tbl>
      <w:tblPr>
        <w:tblW w:w="6538" w:type="dxa"/>
        <w:jc w:val="left"/>
        <w:tblInd w:w="0" w:type="dxa"/>
        <w:tblCellMar>
          <w:top w:w="0" w:type="dxa"/>
          <w:left w:w="0" w:type="dxa"/>
          <w:bottom w:w="0" w:type="dxa"/>
          <w:right w:w="0" w:type="dxa"/>
        </w:tblCellMar>
      </w:tblPr>
      <w:tblGrid>
        <w:gridCol w:w="1985"/>
        <w:gridCol w:w="60"/>
        <w:gridCol w:w="125"/>
        <w:gridCol w:w="695"/>
        <w:gridCol w:w="60"/>
        <w:gridCol w:w="60"/>
        <w:gridCol w:w="142"/>
        <w:gridCol w:w="792"/>
        <w:gridCol w:w="60"/>
        <w:gridCol w:w="60"/>
        <w:gridCol w:w="125"/>
        <w:gridCol w:w="695"/>
        <w:gridCol w:w="60"/>
        <w:gridCol w:w="60"/>
        <w:gridCol w:w="210"/>
        <w:gridCol w:w="439"/>
        <w:gridCol w:w="60"/>
        <w:gridCol w:w="60"/>
        <w:gridCol w:w="125"/>
        <w:gridCol w:w="590"/>
        <w:gridCol w:w="75"/>
      </w:tblGrid>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 xml:space="preserve">Value </w:t>
            </w:r>
            <w:r>
              <w:rPr>
                <w:rFonts w:ascii="Times New Roman;Times;Serif" w:hAnsi="Times New Roman;Times;Serif"/>
                <w:b/>
                <w:i w:val="false"/>
                <w:caps w:val="false"/>
                <w:smallCaps w:val="false"/>
                <w:position w:val="7"/>
                <w:sz w:val="16"/>
                <w:sz w:val="20"/>
              </w:rPr>
              <w:t>(1)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SBA debentures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92,403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Notes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72,833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66,424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66,424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Convertible Notes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47,295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47,295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215,921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206,122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113,719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92,403</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720"/>
        <w:rPr>
          <w:caps w:val="false"/>
          <w:smallCaps w:val="false"/>
          <w:color w:val="FFFFFF"/>
        </w:rPr>
      </w:pPr>
      <w:r>
        <w:rPr>
          <w:caps w:val="false"/>
          <w:smallCaps w:val="false"/>
          <w:color w:val="FFFFFF"/>
        </w:rPr>
        <w:t> </w:t>
      </w:r>
    </w:p>
    <w:tbl>
      <w:tblPr>
        <w:tblW w:w="5860" w:type="dxa"/>
        <w:jc w:val="left"/>
        <w:tblInd w:w="0" w:type="dxa"/>
        <w:tblCellMar>
          <w:top w:w="0" w:type="dxa"/>
          <w:left w:w="0" w:type="dxa"/>
          <w:bottom w:w="0" w:type="dxa"/>
          <w:right w:w="0" w:type="dxa"/>
        </w:tblCellMar>
      </w:tblPr>
      <w:tblGrid>
        <w:gridCol w:w="75"/>
        <w:gridCol w:w="245"/>
        <w:gridCol w:w="55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5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Carrying value equals the gross principal outstanding at period end.</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39</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value and fair value of the Company’s financial liabilities disclosed, but not carried, at fair value as of December 31, 2019, and the level of each financial liability within the fair value hierarchy (dollars in thousands):</w:t>
      </w:r>
    </w:p>
    <w:p>
      <w:pPr>
        <w:pStyle w:val="TextBody"/>
        <w:spacing w:before="0" w:after="0"/>
        <w:ind w:left="0" w:right="0" w:firstLine="720"/>
        <w:jc w:val="both"/>
        <w:rPr>
          <w:caps w:val="false"/>
          <w:smallCaps w:val="false"/>
        </w:rPr>
      </w:pPr>
      <w:r>
        <w:rPr>
          <w:caps w:val="false"/>
          <w:smallCaps w:val="false"/>
        </w:rPr>
        <w:t> </w:t>
      </w:r>
    </w:p>
    <w:tbl>
      <w:tblPr>
        <w:tblW w:w="6643" w:type="dxa"/>
        <w:jc w:val="left"/>
        <w:tblInd w:w="0" w:type="dxa"/>
        <w:tblCellMar>
          <w:top w:w="0" w:type="dxa"/>
          <w:left w:w="0" w:type="dxa"/>
          <w:bottom w:w="0" w:type="dxa"/>
          <w:right w:w="0" w:type="dxa"/>
        </w:tblCellMar>
      </w:tblPr>
      <w:tblGrid>
        <w:gridCol w:w="1985"/>
        <w:gridCol w:w="60"/>
        <w:gridCol w:w="125"/>
        <w:gridCol w:w="695"/>
        <w:gridCol w:w="60"/>
        <w:gridCol w:w="60"/>
        <w:gridCol w:w="142"/>
        <w:gridCol w:w="792"/>
        <w:gridCol w:w="60"/>
        <w:gridCol w:w="60"/>
        <w:gridCol w:w="125"/>
        <w:gridCol w:w="695"/>
        <w:gridCol w:w="60"/>
        <w:gridCol w:w="60"/>
        <w:gridCol w:w="210"/>
        <w:gridCol w:w="439"/>
        <w:gridCol w:w="60"/>
        <w:gridCol w:w="60"/>
        <w:gridCol w:w="125"/>
        <w:gridCol w:w="695"/>
        <w:gridCol w:w="75"/>
      </w:tblGrid>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 xml:space="preserve">Value </w:t>
            </w:r>
            <w:r>
              <w:rPr>
                <w:rFonts w:ascii="Times New Roman;Times;Serif" w:hAnsi="Times New Roman;Times;Serif"/>
                <w:b/>
                <w:i w:val="false"/>
                <w:caps w:val="false"/>
                <w:smallCaps w:val="false"/>
                <w:position w:val="7"/>
                <w:sz w:val="16"/>
                <w:sz w:val="20"/>
              </w:rPr>
              <w:t>(1)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SBA debentures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151,167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151,167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Notes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74,970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74,970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Convertible Notes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Facility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277,088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277,635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126,468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9" w:type="dxa"/>
            <w:tcBorders>
              <w:bottom w:val="double" w:sz="6"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151,167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color w:val="FFFFFF"/>
        </w:rPr>
      </w:pPr>
      <w:r>
        <w:rPr>
          <w:caps w:val="false"/>
          <w:smallCaps w:val="false"/>
          <w:color w:val="FFFFFF"/>
        </w:rPr>
        <w:t> </w:t>
      </w:r>
    </w:p>
    <w:tbl>
      <w:tblPr>
        <w:tblW w:w="5860" w:type="dxa"/>
        <w:jc w:val="left"/>
        <w:tblInd w:w="0" w:type="dxa"/>
        <w:tblCellMar>
          <w:top w:w="0" w:type="dxa"/>
          <w:left w:w="0" w:type="dxa"/>
          <w:bottom w:w="0" w:type="dxa"/>
          <w:right w:w="0" w:type="dxa"/>
        </w:tblCellMar>
      </w:tblPr>
      <w:tblGrid>
        <w:gridCol w:w="75"/>
        <w:gridCol w:w="245"/>
        <w:gridCol w:w="55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5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Carrying value equals the gross principal outstanding at period end.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Company’s SBA debentures was based on future contractual cash payments discounted at market interest rates to borrow from the SBA as of the measurement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Credit Facility was based on future contractual cash payments discounted at estimated market interest rates for similar debt.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Directors’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2020, the Company recognized directors’ fees expense of $0.1 million and $0.3 million, respectively. For the three and nine months ended September 30, 2019, the Company recognized directors’ fees expense of $0.1 million and $0.3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Earnings Per Share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260 -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nine months ended September 30, 2020 and 2019, 0.6 million in convertible shares related to the 2022 Convertible Notes were considered anti-dilutive.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computation of the weighted average basic and diluted net increase (decrease) in net assets per share resulting from operations for the three and nine months ended September 30, 2020 and 2019 (dollars in thousands, except share and per share data):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184"/>
        <w:gridCol w:w="60"/>
        <w:gridCol w:w="181"/>
        <w:gridCol w:w="1229"/>
        <w:gridCol w:w="71"/>
        <w:gridCol w:w="71"/>
        <w:gridCol w:w="180"/>
        <w:gridCol w:w="1231"/>
        <w:gridCol w:w="60"/>
        <w:gridCol w:w="60"/>
        <w:gridCol w:w="169"/>
        <w:gridCol w:w="1146"/>
        <w:gridCol w:w="84"/>
        <w:gridCol w:w="63"/>
        <w:gridCol w:w="169"/>
        <w:gridCol w:w="1146"/>
        <w:gridCol w:w="101"/>
      </w:tblGrid>
      <w:tr>
        <w:trPr/>
        <w:tc>
          <w:tcPr>
            <w:tcW w:w="418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963"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7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8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141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63" w:type="dxa"/>
            <w:tcBorders/>
            <w:shd w:fill="auto" w:val="clear"/>
            <w:vAlign w:val="center"/>
          </w:tcPr>
          <w:p>
            <w:pPr>
              <w:pStyle w:val="TableContents"/>
              <w:spacing w:before="0" w:after="283"/>
              <w:rPr>
                <w:caps w:val="false"/>
                <w:smallCaps w:val="false"/>
              </w:rPr>
            </w:pPr>
            <w:r>
              <w:rPr>
                <w:caps w:val="false"/>
                <w:smallCaps w:val="false"/>
              </w:rPr>
              <w:t> </w:t>
            </w:r>
          </w:p>
        </w:tc>
        <w:tc>
          <w:tcPr>
            <w:tcW w:w="13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(35,985</w:t>
            </w:r>
          </w:p>
        </w:tc>
        <w:tc>
          <w:tcPr>
            <w:tcW w:w="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(27,578</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stock outstanding – basic and diluted</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2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2,711,068</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3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2,688,894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2,708,532</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spacing w:before="0" w:after="283"/>
              <w:rPr>
                <w:caps w:val="false"/>
                <w:smallCaps w:val="false"/>
              </w:rPr>
            </w:pPr>
            <w:r>
              <w:rPr>
                <w:caps w:val="false"/>
                <w:smallCaps w:val="false"/>
              </w:rPr>
              <w:t> </w:t>
            </w:r>
          </w:p>
        </w:tc>
        <w:tc>
          <w:tcPr>
            <w:tcW w:w="16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2,682,985</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1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per share resulting from operations – basic and diluted</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w:t>
            </w:r>
          </w:p>
        </w:tc>
        <w:tc>
          <w:tcPr>
            <w:tcW w:w="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8"/>
        <w:gridCol w:w="9920"/>
      </w:tblGrid>
      <w:tr>
        <w:trPr/>
        <w:tc>
          <w:tcPr>
            <w:tcW w:w="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20" w:type="dxa"/>
            <w:tcBorders/>
            <w:shd w:fill="auto" w:val="clear"/>
            <w:vAlign w:val="center"/>
          </w:tcPr>
          <w:p>
            <w:pPr>
              <w:pStyle w:val="TableContents"/>
              <w:spacing w:before="0" w:after="283"/>
              <w:jc w:val="both"/>
              <w:rPr/>
            </w:pPr>
            <w:r>
              <w:rPr/>
              <w:t>Basic and diluted shares of the Company’s common stock have been adjusted for the periods shown to reflect the one-for-six reverse stock split effected on August 21, 2020 on a retroactive basis, as described in Note 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distributions are recorded on the record date. Stockholders have the option to receive payment of the distribution in cash, shares of the Company’s common stock, or a combination of cash and common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2020, the Company’s Board determined not to declare a distribution for the second quarter of 2020 due to the impact of the COVID-19 pandemic on the Company’s expected net investment income. On July 30, 2020, the Company’s Board determined not to declare a distribution for the third quarter of 2020 due to the impact of the COVID-19 pandemic on the Company’s expected net investment income. On October 29, 2020, the Company’s Board determined not to declare a distribution for the fourth quarter of 2020 due to the impact of the COVID-19 pandemic on the Company’s expected net investment income.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characteristics of all distributions paid are reported to stockholders on Form 1099 after the end of the calendar year. For the nine months ended September 30, 2020, we estimate that total distributions of $4.1 million were comprised of approximately $0.5 million from ordinary income and $3.6 million from return of capital. There were no distributions for the three months ended September 30, 2020. Distributions may be subject to reclassification based on future dividends and operating results and will not be determined until the end of the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distribution declarations for the nine months ended September 30, 2020 (dollars in thousands, except share and per share data):</w:t>
      </w:r>
    </w:p>
    <w:p>
      <w:pPr>
        <w:pStyle w:val="TextBody"/>
        <w:spacing w:before="0" w:after="0"/>
        <w:ind w:left="0" w:right="0" w:firstLine="720"/>
        <w:jc w:val="both"/>
        <w:rPr>
          <w:caps w:val="false"/>
          <w:smallCaps w:val="false"/>
        </w:rPr>
      </w:pPr>
      <w:r>
        <w:rPr>
          <w:caps w:val="false"/>
          <w:smallCaps w:val="false"/>
        </w:rPr>
        <w:t> </w:t>
      </w:r>
    </w:p>
    <w:tbl>
      <w:tblPr>
        <w:tblW w:w="8328" w:type="dxa"/>
        <w:jc w:val="left"/>
        <w:tblInd w:w="0" w:type="dxa"/>
        <w:tblCellMar>
          <w:top w:w="0" w:type="dxa"/>
          <w:left w:w="0" w:type="dxa"/>
          <w:bottom w:w="28" w:type="dxa"/>
          <w:right w:w="0" w:type="dxa"/>
        </w:tblCellMar>
      </w:tblPr>
      <w:tblGrid>
        <w:gridCol w:w="1325"/>
        <w:gridCol w:w="60"/>
        <w:gridCol w:w="1505"/>
        <w:gridCol w:w="60"/>
        <w:gridCol w:w="1505"/>
        <w:gridCol w:w="60"/>
        <w:gridCol w:w="264"/>
        <w:gridCol w:w="805"/>
        <w:gridCol w:w="60"/>
        <w:gridCol w:w="60"/>
        <w:gridCol w:w="213"/>
        <w:gridCol w:w="827"/>
        <w:gridCol w:w="60"/>
        <w:gridCol w:w="60"/>
        <w:gridCol w:w="69"/>
        <w:gridCol w:w="685"/>
        <w:gridCol w:w="60"/>
        <w:gridCol w:w="60"/>
        <w:gridCol w:w="139"/>
        <w:gridCol w:w="376"/>
        <w:gridCol w:w="75"/>
      </w:tblGrid>
      <w:tr>
        <w:trPr/>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 Declared</w:t>
            </w:r>
          </w:p>
        </w:tc>
        <w:tc>
          <w:tcPr>
            <w:tcW w:w="60" w:type="dxa"/>
            <w:tcBorders/>
            <w:shd w:fill="auto" w:val="clear"/>
            <w:tcMar>
              <w:bottom w:w="0" w:type="dxa"/>
            </w:tcMar>
            <w:vAlign w:val="center"/>
          </w:tcPr>
          <w:p>
            <w:pPr>
              <w:pStyle w:val="TableContents"/>
              <w:spacing w:before="0" w:after="283"/>
              <w:rPr/>
            </w:pPr>
            <w:r>
              <w:rPr/>
              <w:t> </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Record Date</w:t>
            </w:r>
          </w:p>
        </w:tc>
        <w:tc>
          <w:tcPr>
            <w:tcW w:w="60" w:type="dxa"/>
            <w:tcBorders/>
            <w:shd w:fill="auto" w:val="clear"/>
            <w:tcMar>
              <w:bottom w:w="0" w:type="dxa"/>
            </w:tcMar>
            <w:vAlign w:val="center"/>
          </w:tcPr>
          <w:p>
            <w:pPr>
              <w:pStyle w:val="TableContents"/>
              <w:spacing w:before="0" w:after="283"/>
              <w:rPr/>
            </w:pPr>
            <w:r>
              <w:rPr/>
              <w:t> </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Payment Date</w:t>
            </w:r>
          </w:p>
        </w:tc>
        <w:tc>
          <w:tcPr>
            <w:tcW w:w="60" w:type="dxa"/>
            <w:tcBorders/>
            <w:shd w:fill="auto" w:val="clear"/>
            <w:tcMar>
              <w:bottom w:w="0" w:type="dxa"/>
            </w:tcMar>
            <w:vAlign w:val="center"/>
          </w:tcPr>
          <w:p>
            <w:pPr>
              <w:pStyle w:val="TableContents"/>
              <w:spacing w:before="0" w:after="283"/>
              <w:rPr/>
            </w:pPr>
            <w:r>
              <w:rPr/>
              <w:t> </w:t>
            </w:r>
          </w:p>
        </w:tc>
        <w:tc>
          <w:tcPr>
            <w:tcW w:w="106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Amount</w:t>
              <w:br/>
              <w:t>Per Share</w:t>
            </w:r>
            <w:r>
              <w:rPr>
                <w:rFonts w:ascii="Times New Roman;Times;Serif" w:hAnsi="Times New Roman;Times;Serif"/>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4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Cash</w:t>
              <w:br/>
              <w:t>Distribution</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5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DRIP</w:t>
              <w:br/>
              <w:t>Shares</w:t>
              <w:br/>
              <w:t>Issued</w:t>
            </w:r>
            <w:r>
              <w:rPr>
                <w:rFonts w:ascii="Times New Roman;Times;Serif" w:hAnsi="Times New Roman;Times;Serif"/>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DRIP</w:t>
              <w:br/>
              <w:t>Share</w:t>
              <w:br/>
              <w:t>Value</w:t>
            </w:r>
          </w:p>
        </w:tc>
        <w:tc>
          <w:tcPr>
            <w:tcW w:w="75" w:type="dxa"/>
            <w:tcBorders/>
            <w:shd w:fill="auto"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2020</w:t>
            </w:r>
          </w:p>
        </w:tc>
        <w:tc>
          <w:tcPr>
            <w:tcW w:w="60" w:type="dxa"/>
            <w:tcBorders/>
            <w:shd w:fill="CCEEFF" w:val="clear"/>
            <w:tcMar>
              <w:bottom w:w="0" w:type="dxa"/>
            </w:tcMar>
            <w:vAlign w:val="center"/>
          </w:tcPr>
          <w:p>
            <w:pPr>
              <w:pStyle w:val="TableContents"/>
              <w:spacing w:before="0" w:after="283"/>
              <w:rPr/>
            </w:pPr>
            <w:r>
              <w:rPr/>
              <w:t> </w:t>
            </w:r>
          </w:p>
        </w:tc>
        <w:tc>
          <w:tcPr>
            <w:tcW w:w="15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24, 2020</w:t>
            </w:r>
          </w:p>
        </w:tc>
        <w:tc>
          <w:tcPr>
            <w:tcW w:w="60" w:type="dxa"/>
            <w:tcBorders/>
            <w:shd w:fill="CCEEFF" w:val="clear"/>
            <w:tcMar>
              <w:bottom w:w="0" w:type="dxa"/>
            </w:tcMar>
            <w:vAlign w:val="center"/>
          </w:tcPr>
          <w:p>
            <w:pPr>
              <w:pStyle w:val="TableContents"/>
              <w:spacing w:before="0" w:after="283"/>
              <w:rPr/>
            </w:pPr>
            <w:r>
              <w:rPr/>
              <w:t> </w:t>
            </w:r>
          </w:p>
        </w:tc>
        <w:tc>
          <w:tcPr>
            <w:tcW w:w="15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30, 2020</w:t>
            </w:r>
          </w:p>
        </w:tc>
        <w:tc>
          <w:tcPr>
            <w:tcW w:w="60" w:type="dxa"/>
            <w:tcBorders/>
            <w:shd w:fill="CCEEFF" w:val="clear"/>
            <w:tcMar>
              <w:bottom w:w="0" w:type="dxa"/>
            </w:tcMar>
            <w:vAlign w:val="center"/>
          </w:tcPr>
          <w:p>
            <w:pPr>
              <w:pStyle w:val="TableContents"/>
              <w:spacing w:before="0" w:after="283"/>
              <w:rPr/>
            </w:pPr>
            <w:r>
              <w:rPr/>
              <w:t> </w:t>
            </w:r>
          </w:p>
        </w:tc>
        <w:tc>
          <w:tcPr>
            <w:tcW w:w="26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1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7"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8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2,432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7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119</w:t>
            </w:r>
          </w:p>
        </w:tc>
        <w:tc>
          <w:tcPr>
            <w:tcW w:w="75" w:type="dxa"/>
            <w:tcBorders/>
            <w:shd w:fill="CCEEFF" w:val="clear"/>
            <w:tcMar>
              <w:bottom w:w="0" w:type="dxa"/>
            </w:tcMar>
            <w:vAlign w:val="center"/>
          </w:tcPr>
          <w:p>
            <w:pPr>
              <w:pStyle w:val="TableContents"/>
              <w:spacing w:before="0" w:after="283"/>
              <w:rPr/>
            </w:pPr>
            <w:r>
              <w:rPr/>
              <w:t> </w:t>
            </w:r>
          </w:p>
        </w:tc>
      </w:tr>
      <w:tr>
        <w:trPr/>
        <w:tc>
          <w:tcPr>
            <w:tcW w:w="13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2020</w:t>
            </w:r>
          </w:p>
        </w:tc>
        <w:tc>
          <w:tcPr>
            <w:tcW w:w="60" w:type="dxa"/>
            <w:tcBorders/>
            <w:shd w:fill="FFFFFF" w:val="clear"/>
            <w:tcMar>
              <w:bottom w:w="0" w:type="dxa"/>
            </w:tcMar>
            <w:vAlign w:val="center"/>
          </w:tcPr>
          <w:p>
            <w:pPr>
              <w:pStyle w:val="TableContents"/>
              <w:spacing w:before="0" w:after="283"/>
              <w:rPr/>
            </w:pPr>
            <w:r>
              <w:rPr/>
              <w:t> </w:t>
            </w:r>
          </w:p>
        </w:tc>
        <w:tc>
          <w:tcPr>
            <w:tcW w:w="150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20, 2020</w:t>
            </w:r>
          </w:p>
        </w:tc>
        <w:tc>
          <w:tcPr>
            <w:tcW w:w="60" w:type="dxa"/>
            <w:tcBorders/>
            <w:shd w:fill="FFFFFF" w:val="clear"/>
            <w:tcMar>
              <w:bottom w:w="0" w:type="dxa"/>
            </w:tcMar>
            <w:vAlign w:val="center"/>
          </w:tcPr>
          <w:p>
            <w:pPr>
              <w:pStyle w:val="TableContents"/>
              <w:spacing w:before="0" w:after="283"/>
              <w:rPr/>
            </w:pPr>
            <w:r>
              <w:rPr/>
              <w:t> </w:t>
            </w:r>
          </w:p>
        </w:tc>
        <w:tc>
          <w:tcPr>
            <w:tcW w:w="150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27, 2020</w:t>
            </w:r>
          </w:p>
        </w:tc>
        <w:tc>
          <w:tcPr>
            <w:tcW w:w="60" w:type="dxa"/>
            <w:tcBorders/>
            <w:shd w:fill="FFFFFF" w:val="clear"/>
            <w:tcMar>
              <w:bottom w:w="0" w:type="dxa"/>
            </w:tcMar>
            <w:vAlign w:val="center"/>
          </w:tcPr>
          <w:p>
            <w:pPr>
              <w:pStyle w:val="TableContents"/>
              <w:spacing w:before="0" w:after="283"/>
              <w:rPr/>
            </w:pPr>
            <w:r>
              <w:rPr/>
              <w:t> </w:t>
            </w:r>
          </w:p>
        </w:tc>
        <w:tc>
          <w:tcPr>
            <w:tcW w:w="264" w:type="dxa"/>
            <w:tcBorders/>
            <w:shd w:fill="FFFFFF" w:val="clear"/>
            <w:tcMar>
              <w:bottom w:w="0" w:type="dxa"/>
            </w:tcMar>
            <w:vAlign w:val="center"/>
          </w:tcPr>
          <w:p>
            <w:pPr>
              <w:pStyle w:val="TableContents"/>
              <w:spacing w:before="0" w:after="283"/>
              <w:rPr/>
            </w:pPr>
            <w:r>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3" w:type="dxa"/>
            <w:tcBorders/>
            <w:shd w:fill="FFFFFF" w:val="clear"/>
            <w:tcMar>
              <w:bottom w:w="0" w:type="dxa"/>
            </w:tcMar>
            <w:vAlign w:val="center"/>
          </w:tcPr>
          <w:p>
            <w:pPr>
              <w:pStyle w:val="TableContents"/>
              <w:spacing w:before="0" w:after="283"/>
              <w:rPr/>
            </w:pPr>
            <w:r>
              <w:rPr/>
              <w:t> </w:t>
            </w:r>
          </w:p>
        </w:tc>
        <w:tc>
          <w:tcPr>
            <w:tcW w:w="827"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1,229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68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2,760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shd w:fill="FFFFFF" w:val="clear"/>
            <w:tcMar>
              <w:bottom w:w="0" w:type="dxa"/>
            </w:tcMar>
            <w:vAlign w:val="center"/>
          </w:tcPr>
          <w:p>
            <w:pPr>
              <w:pStyle w:val="TableContents"/>
              <w:spacing w:before="0" w:after="283"/>
              <w:rPr/>
            </w:pPr>
            <w:r>
              <w:rPr/>
              <w:t> </w:t>
            </w:r>
          </w:p>
        </w:tc>
        <w:tc>
          <w:tcPr>
            <w:tcW w:w="37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122</w:t>
            </w:r>
          </w:p>
        </w:tc>
        <w:tc>
          <w:tcPr>
            <w:tcW w:w="75" w:type="dxa"/>
            <w:tcBorders/>
            <w:shd w:fill="FFFFFF"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2020</w:t>
            </w:r>
          </w:p>
        </w:tc>
        <w:tc>
          <w:tcPr>
            <w:tcW w:w="60" w:type="dxa"/>
            <w:tcBorders/>
            <w:shd w:fill="CCEEFF" w:val="clear"/>
            <w:tcMar>
              <w:bottom w:w="0" w:type="dxa"/>
            </w:tcMar>
            <w:vAlign w:val="center"/>
          </w:tcPr>
          <w:p>
            <w:pPr>
              <w:pStyle w:val="TableContents"/>
              <w:spacing w:before="0" w:after="283"/>
              <w:rPr/>
            </w:pPr>
            <w:r>
              <w:rPr/>
              <w:t> </w:t>
            </w:r>
          </w:p>
        </w:tc>
        <w:tc>
          <w:tcPr>
            <w:tcW w:w="15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23, 2020</w:t>
            </w:r>
          </w:p>
        </w:tc>
        <w:tc>
          <w:tcPr>
            <w:tcW w:w="60" w:type="dxa"/>
            <w:tcBorders/>
            <w:shd w:fill="CCEEFF" w:val="clear"/>
            <w:tcMar>
              <w:bottom w:w="0" w:type="dxa"/>
            </w:tcMar>
            <w:vAlign w:val="center"/>
          </w:tcPr>
          <w:p>
            <w:pPr>
              <w:pStyle w:val="TableContents"/>
              <w:spacing w:before="0" w:after="283"/>
              <w:rPr/>
            </w:pPr>
            <w:r>
              <w:rPr/>
              <w:t> </w:t>
            </w:r>
          </w:p>
        </w:tc>
        <w:tc>
          <w:tcPr>
            <w:tcW w:w="15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30, 2020</w:t>
            </w:r>
          </w:p>
        </w:tc>
        <w:tc>
          <w:tcPr>
            <w:tcW w:w="60" w:type="dxa"/>
            <w:tcBorders/>
            <w:shd w:fill="CCEEFF" w:val="clear"/>
            <w:tcMar>
              <w:bottom w:w="0" w:type="dxa"/>
            </w:tcMar>
            <w:vAlign w:val="center"/>
          </w:tcPr>
          <w:p>
            <w:pPr>
              <w:pStyle w:val="TableContents"/>
              <w:spacing w:before="0" w:after="283"/>
              <w:rPr/>
            </w:pPr>
            <w:r>
              <w:rPr/>
              <w:t> </w:t>
            </w:r>
          </w:p>
        </w:tc>
        <w:tc>
          <w:tcPr>
            <w:tcW w:w="264" w:type="dxa"/>
            <w:tcBorders>
              <w:bottom w:val="single" w:sz="8" w:space="0" w:color="000000"/>
            </w:tcBorders>
            <w:shd w:fill="CCEEFF" w:val="clear"/>
            <w:vAlign w:val="center"/>
          </w:tcPr>
          <w:p>
            <w:pPr>
              <w:pStyle w:val="TableContents"/>
              <w:spacing w:before="0" w:after="283"/>
              <w:rPr/>
            </w:pPr>
            <w:r>
              <w:rPr/>
              <w:t> </w:t>
            </w:r>
          </w:p>
        </w:tc>
        <w:tc>
          <w:tcPr>
            <w:tcW w:w="8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13" w:type="dxa"/>
            <w:tcBorders>
              <w:bottom w:val="single" w:sz="8" w:space="0" w:color="000000"/>
            </w:tcBorders>
            <w:shd w:fill="CCEEFF" w:val="clear"/>
            <w:vAlign w:val="center"/>
          </w:tcPr>
          <w:p>
            <w:pPr>
              <w:pStyle w:val="TableContents"/>
              <w:spacing w:before="0" w:after="283"/>
              <w:rPr/>
            </w:pPr>
            <w:r>
              <w:rPr/>
              <w:t> </w:t>
            </w:r>
          </w:p>
        </w:tc>
        <w:tc>
          <w:tcPr>
            <w:tcW w:w="827"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bottom w:val="single" w:sz="8" w:space="0" w:color="000000"/>
            </w:tcBorders>
            <w:shd w:fill="CCEEFF" w:val="clear"/>
            <w:vAlign w:val="center"/>
          </w:tcPr>
          <w:p>
            <w:pPr>
              <w:pStyle w:val="TableContents"/>
              <w:spacing w:before="0" w:after="283"/>
              <w:rPr/>
            </w:pPr>
            <w:r>
              <w:rPr/>
              <w:t> </w:t>
            </w:r>
          </w:p>
        </w:tc>
        <w:tc>
          <w:tcPr>
            <w:tcW w:w="68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5,261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bottom w:val="single" w:sz="8" w:space="0" w:color="000000"/>
            </w:tcBorders>
            <w:shd w:fill="CCEEFF" w:val="clear"/>
            <w:vAlign w:val="center"/>
          </w:tcPr>
          <w:p>
            <w:pPr>
              <w:pStyle w:val="TableContents"/>
              <w:spacing w:before="0" w:after="283"/>
              <w:rPr/>
            </w:pPr>
            <w:r>
              <w:rPr/>
              <w:t> </w:t>
            </w:r>
          </w:p>
        </w:tc>
        <w:tc>
          <w:tcPr>
            <w:tcW w:w="3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93</w:t>
            </w:r>
          </w:p>
        </w:tc>
        <w:tc>
          <w:tcPr>
            <w:tcW w:w="75" w:type="dxa"/>
            <w:tcBorders/>
            <w:shd w:fill="CCEEFF" w:val="clear"/>
            <w:tcMar>
              <w:bottom w:w="0" w:type="dxa"/>
            </w:tcMar>
            <w:vAlign w:val="center"/>
          </w:tcPr>
          <w:p>
            <w:pPr>
              <w:pStyle w:val="TableContents"/>
              <w:spacing w:before="0" w:after="283"/>
              <w:ind w:left="0" w:right="0" w:hanging="180"/>
              <w:rPr/>
            </w:pPr>
            <w:r>
              <w:rPr/>
              <w:t> </w:t>
            </w:r>
          </w:p>
        </w:tc>
      </w:tr>
      <w:tr>
        <w:trPr/>
        <w:tc>
          <w:tcPr>
            <w:tcW w:w="4455" w:type="dxa"/>
            <w:gridSpan w:val="5"/>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 Distributions Declared and Distributed</w:t>
            </w:r>
          </w:p>
        </w:tc>
        <w:tc>
          <w:tcPr>
            <w:tcW w:w="60" w:type="dxa"/>
            <w:tcBorders/>
            <w:shd w:fill="auto" w:val="clear"/>
            <w:tcMar>
              <w:bottom w:w="0" w:type="dxa"/>
            </w:tcMar>
            <w:vAlign w:val="center"/>
          </w:tcPr>
          <w:p>
            <w:pPr>
              <w:pStyle w:val="TableContents"/>
              <w:spacing w:before="0" w:after="283"/>
              <w:rPr/>
            </w:pPr>
            <w:r>
              <w:rPr/>
              <w:t> </w:t>
            </w:r>
          </w:p>
        </w:tc>
        <w:tc>
          <w:tcPr>
            <w:tcW w:w="264" w:type="dxa"/>
            <w:tcBorders>
              <w:bottom w:val="double" w:sz="6"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13" w:type="dxa"/>
            <w:tcBorders>
              <w:bottom w:val="double" w:sz="6"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3,719</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 w:type="dxa"/>
            <w:tcBorders>
              <w:bottom w:val="double" w:sz="6" w:space="0" w:color="000000"/>
            </w:tcBorders>
            <w:shd w:fill="auto" w:val="clear"/>
            <w:vAlign w:val="center"/>
          </w:tcPr>
          <w:p>
            <w:pPr>
              <w:pStyle w:val="TableContents"/>
              <w:spacing w:before="0" w:after="283"/>
              <w:rPr/>
            </w:pPr>
            <w:r>
              <w:rPr/>
              <w:t> </w:t>
            </w:r>
          </w:p>
        </w:tc>
        <w:tc>
          <w:tcPr>
            <w:tcW w:w="685" w:type="dxa"/>
            <w:tcBorders>
              <w:bottom w:val="double" w:sz="6"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10,453</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9" w:type="dxa"/>
            <w:tcBorders>
              <w:bottom w:val="double" w:sz="6"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76" w:type="dxa"/>
            <w:tcBorders>
              <w:bottom w:val="double" w:sz="6"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334</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108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4"/>
        <w:gridCol w:w="9914"/>
      </w:tblGrid>
      <w:tr>
        <w:trPr/>
        <w:tc>
          <w:tcPr>
            <w:tcW w:w="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14" w:type="dxa"/>
            <w:tcBorders/>
            <w:shd w:fill="auto" w:val="clear"/>
            <w:vAlign w:val="center"/>
          </w:tcPr>
          <w:p>
            <w:pPr>
              <w:pStyle w:val="TableContents"/>
              <w:spacing w:before="0" w:after="283"/>
              <w:jc w:val="both"/>
              <w:rPr/>
            </w:pPr>
            <w:r>
              <w:rPr/>
              <w:t>Shares and amount per share have been adjusted for the periods shown to reflect the one-for-six reverse stock split effected on August 21, 2020 on a retroactive basis, as described in Note 1.</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distribution declarations for the nine months ended September 30, 2019 (dollars in thousands, except share and per share data): </w:t>
      </w:r>
    </w:p>
    <w:p>
      <w:pPr>
        <w:pStyle w:val="TextBody"/>
        <w:spacing w:before="0" w:after="0"/>
        <w:ind w:left="0" w:right="0" w:hanging="0"/>
        <w:jc w:val="both"/>
        <w:rPr>
          <w:caps w:val="false"/>
          <w:smallCaps w:val="false"/>
        </w:rPr>
      </w:pPr>
      <w:r>
        <w:rPr>
          <w:caps w:val="false"/>
          <w:smallCaps w:val="false"/>
        </w:rPr>
        <w:t> </w:t>
      </w:r>
    </w:p>
    <w:tbl>
      <w:tblPr>
        <w:tblW w:w="8598" w:type="dxa"/>
        <w:jc w:val="left"/>
        <w:tblInd w:w="0" w:type="dxa"/>
        <w:tblCellMar>
          <w:top w:w="0" w:type="dxa"/>
          <w:left w:w="0" w:type="dxa"/>
          <w:bottom w:w="28" w:type="dxa"/>
          <w:right w:w="0" w:type="dxa"/>
        </w:tblCellMar>
      </w:tblPr>
      <w:tblGrid>
        <w:gridCol w:w="1325"/>
        <w:gridCol w:w="60"/>
        <w:gridCol w:w="1640"/>
        <w:gridCol w:w="60"/>
        <w:gridCol w:w="1640"/>
        <w:gridCol w:w="60"/>
        <w:gridCol w:w="264"/>
        <w:gridCol w:w="805"/>
        <w:gridCol w:w="60"/>
        <w:gridCol w:w="60"/>
        <w:gridCol w:w="181"/>
        <w:gridCol w:w="859"/>
        <w:gridCol w:w="60"/>
        <w:gridCol w:w="60"/>
        <w:gridCol w:w="69"/>
        <w:gridCol w:w="685"/>
        <w:gridCol w:w="60"/>
        <w:gridCol w:w="60"/>
        <w:gridCol w:w="139"/>
        <w:gridCol w:w="376"/>
        <w:gridCol w:w="75"/>
      </w:tblGrid>
      <w:tr>
        <w:trPr/>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 Declared</w:t>
            </w:r>
          </w:p>
        </w:tc>
        <w:tc>
          <w:tcPr>
            <w:tcW w:w="60" w:type="dxa"/>
            <w:tcBorders/>
            <w:shd w:fill="auto" w:val="clear"/>
            <w:tcMar>
              <w:bottom w:w="0" w:type="dxa"/>
            </w:tcMar>
            <w:vAlign w:val="center"/>
          </w:tcPr>
          <w:p>
            <w:pPr>
              <w:pStyle w:val="TableContents"/>
              <w:spacing w:before="0" w:after="283"/>
              <w:rPr/>
            </w:pPr>
            <w:r>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Record Date</w:t>
            </w:r>
          </w:p>
        </w:tc>
        <w:tc>
          <w:tcPr>
            <w:tcW w:w="60" w:type="dxa"/>
            <w:tcBorders/>
            <w:shd w:fill="auto" w:val="clear"/>
            <w:tcMar>
              <w:bottom w:w="0" w:type="dxa"/>
            </w:tcMar>
            <w:vAlign w:val="center"/>
          </w:tcPr>
          <w:p>
            <w:pPr>
              <w:pStyle w:val="TableContents"/>
              <w:spacing w:before="0" w:after="283"/>
              <w:rPr/>
            </w:pPr>
            <w:r>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Payment Date</w:t>
            </w:r>
          </w:p>
        </w:tc>
        <w:tc>
          <w:tcPr>
            <w:tcW w:w="60" w:type="dxa"/>
            <w:tcBorders/>
            <w:shd w:fill="auto" w:val="clear"/>
            <w:tcMar>
              <w:bottom w:w="0" w:type="dxa"/>
            </w:tcMar>
            <w:vAlign w:val="center"/>
          </w:tcPr>
          <w:p>
            <w:pPr>
              <w:pStyle w:val="TableContents"/>
              <w:spacing w:before="0" w:after="283"/>
              <w:rPr/>
            </w:pPr>
            <w:r>
              <w:rPr/>
              <w:t> </w:t>
            </w:r>
          </w:p>
        </w:tc>
        <w:tc>
          <w:tcPr>
            <w:tcW w:w="106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Amount</w:t>
              <w:br/>
              <w:t>Per Share</w:t>
            </w:r>
            <w:r>
              <w:rPr>
                <w:rFonts w:ascii="Times New Roman;Times;Serif" w:hAnsi="Times New Roman;Times;Serif"/>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40"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Cash</w:t>
              <w:br/>
              <w:t>Distribution</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5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DRIP</w:t>
              <w:br/>
              <w:t>Shares</w:t>
              <w:br/>
              <w:t>Issued</w:t>
            </w:r>
            <w:r>
              <w:rPr>
                <w:rFonts w:ascii="Times New Roman;Times;Serif" w:hAnsi="Times New Roman;Times;Serif"/>
                <w:b/>
                <w:position w:val="7"/>
                <w:sz w:val="16"/>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DRIP</w:t>
              <w:br/>
              <w:t>Share</w:t>
              <w:br/>
              <w:t>Value</w:t>
            </w:r>
          </w:p>
        </w:tc>
        <w:tc>
          <w:tcPr>
            <w:tcW w:w="75" w:type="dxa"/>
            <w:tcBorders/>
            <w:shd w:fill="auto"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24,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30, 2019</w:t>
            </w:r>
          </w:p>
        </w:tc>
        <w:tc>
          <w:tcPr>
            <w:tcW w:w="60" w:type="dxa"/>
            <w:tcBorders/>
            <w:shd w:fill="CCEEFF" w:val="clear"/>
            <w:tcMar>
              <w:bottom w:w="0" w:type="dxa"/>
            </w:tcMar>
            <w:vAlign w:val="center"/>
          </w:tcPr>
          <w:p>
            <w:pPr>
              <w:pStyle w:val="TableContents"/>
              <w:spacing w:before="0" w:after="283"/>
              <w:rPr/>
            </w:pPr>
            <w:r>
              <w:rPr/>
              <w:t> </w:t>
            </w:r>
          </w:p>
        </w:tc>
        <w:tc>
          <w:tcPr>
            <w:tcW w:w="264"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5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8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1,712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7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81</w:t>
            </w:r>
          </w:p>
        </w:tc>
        <w:tc>
          <w:tcPr>
            <w:tcW w:w="75" w:type="dxa"/>
            <w:tcBorders/>
            <w:shd w:fill="CCEEFF" w:val="clear"/>
            <w:tcMar>
              <w:bottom w:w="0" w:type="dxa"/>
            </w:tcMar>
            <w:vAlign w:val="center"/>
          </w:tcPr>
          <w:p>
            <w:pPr>
              <w:pStyle w:val="TableContents"/>
              <w:spacing w:before="0" w:after="283"/>
              <w:rPr/>
            </w:pPr>
            <w:r>
              <w:rPr/>
              <w:t> </w:t>
            </w:r>
          </w:p>
        </w:tc>
      </w:tr>
      <w:tr>
        <w:trPr/>
        <w:tc>
          <w:tcPr>
            <w:tcW w:w="13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20,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27, 2019</w:t>
            </w:r>
          </w:p>
        </w:tc>
        <w:tc>
          <w:tcPr>
            <w:tcW w:w="60" w:type="dxa"/>
            <w:tcBorders/>
            <w:shd w:fill="FFFFFF" w:val="clear"/>
            <w:tcMar>
              <w:bottom w:w="0" w:type="dxa"/>
            </w:tcMar>
            <w:vAlign w:val="center"/>
          </w:tcPr>
          <w:p>
            <w:pPr>
              <w:pStyle w:val="TableContents"/>
              <w:spacing w:before="0" w:after="283"/>
              <w:rPr/>
            </w:pPr>
            <w:r>
              <w:rPr/>
              <w:t> </w:t>
            </w:r>
          </w:p>
        </w:tc>
        <w:tc>
          <w:tcPr>
            <w:tcW w:w="264" w:type="dxa"/>
            <w:tcBorders/>
            <w:shd w:fill="FFFFFF" w:val="clear"/>
            <w:tcMar>
              <w:bottom w:w="0" w:type="dxa"/>
            </w:tcMar>
            <w:vAlign w:val="center"/>
          </w:tcPr>
          <w:p>
            <w:pPr>
              <w:pStyle w:val="TableContents"/>
              <w:spacing w:before="0" w:after="283"/>
              <w:rPr/>
            </w:pPr>
            <w:r>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1" w:type="dxa"/>
            <w:tcBorders/>
            <w:shd w:fill="FFFFFF" w:val="clear"/>
            <w:tcMar>
              <w:bottom w:w="0" w:type="dxa"/>
            </w:tcMar>
            <w:vAlign w:val="center"/>
          </w:tcPr>
          <w:p>
            <w:pPr>
              <w:pStyle w:val="TableContents"/>
              <w:spacing w:before="0" w:after="283"/>
              <w:rPr/>
            </w:pPr>
            <w:r>
              <w:rPr/>
              <w:t> </w:t>
            </w:r>
          </w:p>
        </w:tc>
        <w:tc>
          <w:tcPr>
            <w:tcW w:w="85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68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shd w:fill="FFFFFF" w:val="clear"/>
            <w:tcMar>
              <w:bottom w:w="0" w:type="dxa"/>
            </w:tcMar>
            <w:vAlign w:val="center"/>
          </w:tcPr>
          <w:p>
            <w:pPr>
              <w:pStyle w:val="TableContents"/>
              <w:spacing w:before="0" w:after="283"/>
              <w:rPr/>
            </w:pPr>
            <w:r>
              <w:rPr/>
              <w:t> </w:t>
            </w:r>
          </w:p>
        </w:tc>
        <w:tc>
          <w:tcPr>
            <w:tcW w:w="37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85</w:t>
            </w:r>
          </w:p>
        </w:tc>
        <w:tc>
          <w:tcPr>
            <w:tcW w:w="75" w:type="dxa"/>
            <w:tcBorders/>
            <w:shd w:fill="FFFFFF"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January 2,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21,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28, 2019</w:t>
            </w:r>
          </w:p>
        </w:tc>
        <w:tc>
          <w:tcPr>
            <w:tcW w:w="60" w:type="dxa"/>
            <w:tcBorders/>
            <w:shd w:fill="CCEEFF" w:val="clear"/>
            <w:tcMar>
              <w:bottom w:w="0" w:type="dxa"/>
            </w:tcMar>
            <w:vAlign w:val="center"/>
          </w:tcPr>
          <w:p>
            <w:pPr>
              <w:pStyle w:val="TableContents"/>
              <w:spacing w:before="0" w:after="283"/>
              <w:rPr/>
            </w:pPr>
            <w:r>
              <w:rPr/>
              <w:t> </w:t>
            </w:r>
          </w:p>
        </w:tc>
        <w:tc>
          <w:tcPr>
            <w:tcW w:w="264" w:type="dxa"/>
            <w:tcBorders/>
            <w:shd w:fill="CCEEFF" w:val="clear"/>
            <w:tcMar>
              <w:bottom w:w="0" w:type="dxa"/>
            </w:tcMar>
            <w:vAlign w:val="center"/>
          </w:tcPr>
          <w:p>
            <w:pPr>
              <w:pStyle w:val="TableContents"/>
              <w:spacing w:before="0" w:after="283"/>
              <w:rPr/>
            </w:pPr>
            <w:r>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center"/>
          </w:tcPr>
          <w:p>
            <w:pPr>
              <w:pStyle w:val="TableContents"/>
              <w:spacing w:before="0" w:after="283"/>
              <w:rPr/>
            </w:pPr>
            <w:r>
              <w:rPr/>
              <w:t> </w:t>
            </w:r>
          </w:p>
        </w:tc>
        <w:tc>
          <w:tcPr>
            <w:tcW w:w="85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8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1,959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rPr/>
            </w:pPr>
            <w:r>
              <w:rPr/>
              <w:t> </w:t>
            </w:r>
          </w:p>
        </w:tc>
        <w:tc>
          <w:tcPr>
            <w:tcW w:w="37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w:t>
            </w:r>
          </w:p>
        </w:tc>
        <w:tc>
          <w:tcPr>
            <w:tcW w:w="75" w:type="dxa"/>
            <w:tcBorders/>
            <w:shd w:fill="CCEEFF" w:val="clear"/>
            <w:tcMar>
              <w:bottom w:w="0" w:type="dxa"/>
            </w:tcMar>
            <w:vAlign w:val="center"/>
          </w:tcPr>
          <w:p>
            <w:pPr>
              <w:pStyle w:val="TableContents"/>
              <w:spacing w:before="0" w:after="283"/>
              <w:rPr/>
            </w:pPr>
            <w:r>
              <w:rPr/>
              <w:t> </w:t>
            </w:r>
          </w:p>
        </w:tc>
      </w:tr>
      <w:tr>
        <w:trPr/>
        <w:tc>
          <w:tcPr>
            <w:tcW w:w="13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22,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29, 2019</w:t>
            </w:r>
          </w:p>
        </w:tc>
        <w:tc>
          <w:tcPr>
            <w:tcW w:w="60" w:type="dxa"/>
            <w:tcBorders/>
            <w:shd w:fill="FFFFFF" w:val="clear"/>
            <w:tcMar>
              <w:bottom w:w="0" w:type="dxa"/>
            </w:tcMar>
            <w:vAlign w:val="center"/>
          </w:tcPr>
          <w:p>
            <w:pPr>
              <w:pStyle w:val="TableContents"/>
              <w:spacing w:before="0" w:after="283"/>
              <w:rPr/>
            </w:pPr>
            <w:r>
              <w:rPr/>
              <w:t> </w:t>
            </w:r>
          </w:p>
        </w:tc>
        <w:tc>
          <w:tcPr>
            <w:tcW w:w="264" w:type="dxa"/>
            <w:tcBorders/>
            <w:shd w:fill="FFFFFF" w:val="clear"/>
            <w:tcMar>
              <w:bottom w:w="0" w:type="dxa"/>
            </w:tcMar>
            <w:vAlign w:val="center"/>
          </w:tcPr>
          <w:p>
            <w:pPr>
              <w:pStyle w:val="TableContents"/>
              <w:spacing w:before="0" w:after="283"/>
              <w:rPr/>
            </w:pPr>
            <w:r>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1" w:type="dxa"/>
            <w:tcBorders/>
            <w:shd w:fill="FFFFFF" w:val="clear"/>
            <w:tcMar>
              <w:bottom w:w="0" w:type="dxa"/>
            </w:tcMar>
            <w:vAlign w:val="center"/>
          </w:tcPr>
          <w:p>
            <w:pPr>
              <w:pStyle w:val="TableContents"/>
              <w:spacing w:before="0" w:after="283"/>
              <w:rPr/>
            </w:pPr>
            <w:r>
              <w:rPr/>
              <w:t> </w:t>
            </w:r>
          </w:p>
        </w:tc>
        <w:tc>
          <w:tcPr>
            <w:tcW w:w="85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1,246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68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1,913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shd w:fill="FFFFFF" w:val="clear"/>
            <w:tcMar>
              <w:bottom w:w="0" w:type="dxa"/>
            </w:tcMar>
            <w:vAlign w:val="center"/>
          </w:tcPr>
          <w:p>
            <w:pPr>
              <w:pStyle w:val="TableContents"/>
              <w:spacing w:before="0" w:after="283"/>
              <w:rPr/>
            </w:pPr>
            <w:r>
              <w:rPr/>
              <w:t> </w:t>
            </w:r>
          </w:p>
        </w:tc>
        <w:tc>
          <w:tcPr>
            <w:tcW w:w="37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w:t>
            </w:r>
          </w:p>
        </w:tc>
        <w:tc>
          <w:tcPr>
            <w:tcW w:w="75" w:type="dxa"/>
            <w:tcBorders/>
            <w:shd w:fill="FFFFFF"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23,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30, 2019</w:t>
            </w:r>
          </w:p>
        </w:tc>
        <w:tc>
          <w:tcPr>
            <w:tcW w:w="60" w:type="dxa"/>
            <w:tcBorders/>
            <w:shd w:fill="CCEEFF" w:val="clear"/>
            <w:tcMar>
              <w:bottom w:w="0" w:type="dxa"/>
            </w:tcMar>
            <w:vAlign w:val="center"/>
          </w:tcPr>
          <w:p>
            <w:pPr>
              <w:pStyle w:val="TableContents"/>
              <w:spacing w:before="0" w:after="283"/>
              <w:rPr/>
            </w:pPr>
            <w:r>
              <w:rPr/>
              <w:t> </w:t>
            </w:r>
          </w:p>
        </w:tc>
        <w:tc>
          <w:tcPr>
            <w:tcW w:w="264" w:type="dxa"/>
            <w:tcBorders/>
            <w:shd w:fill="CCEEFF" w:val="clear"/>
            <w:tcMar>
              <w:bottom w:w="0" w:type="dxa"/>
            </w:tcMar>
            <w:vAlign w:val="center"/>
          </w:tcPr>
          <w:p>
            <w:pPr>
              <w:pStyle w:val="TableContents"/>
              <w:spacing w:before="0" w:after="283"/>
              <w:rPr/>
            </w:pPr>
            <w:r>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center"/>
          </w:tcPr>
          <w:p>
            <w:pPr>
              <w:pStyle w:val="TableContents"/>
              <w:spacing w:before="0" w:after="283"/>
              <w:rPr/>
            </w:pPr>
            <w:r>
              <w:rPr/>
              <w:t> </w:t>
            </w:r>
          </w:p>
        </w:tc>
        <w:tc>
          <w:tcPr>
            <w:tcW w:w="85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1,243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8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1,930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rPr/>
            </w:pPr>
            <w:r>
              <w:rPr/>
              <w:t> </w:t>
            </w:r>
          </w:p>
        </w:tc>
        <w:tc>
          <w:tcPr>
            <w:tcW w:w="37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97</w:t>
            </w:r>
          </w:p>
        </w:tc>
        <w:tc>
          <w:tcPr>
            <w:tcW w:w="75" w:type="dxa"/>
            <w:tcBorders/>
            <w:shd w:fill="CCEEFF" w:val="clear"/>
            <w:tcMar>
              <w:bottom w:w="0" w:type="dxa"/>
            </w:tcMar>
            <w:vAlign w:val="center"/>
          </w:tcPr>
          <w:p>
            <w:pPr>
              <w:pStyle w:val="TableContents"/>
              <w:spacing w:before="0" w:after="283"/>
              <w:rPr/>
            </w:pPr>
            <w:r>
              <w:rPr/>
              <w:t> </w:t>
            </w:r>
          </w:p>
        </w:tc>
      </w:tr>
      <w:tr>
        <w:trPr/>
        <w:tc>
          <w:tcPr>
            <w:tcW w:w="13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June 20,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June 27, 2019</w:t>
            </w:r>
          </w:p>
        </w:tc>
        <w:tc>
          <w:tcPr>
            <w:tcW w:w="60" w:type="dxa"/>
            <w:tcBorders/>
            <w:shd w:fill="FFFFFF" w:val="clear"/>
            <w:tcMar>
              <w:bottom w:w="0" w:type="dxa"/>
            </w:tcMar>
            <w:vAlign w:val="center"/>
          </w:tcPr>
          <w:p>
            <w:pPr>
              <w:pStyle w:val="TableContents"/>
              <w:spacing w:before="0" w:after="283"/>
              <w:rPr/>
            </w:pPr>
            <w:r>
              <w:rPr/>
              <w:t> </w:t>
            </w:r>
          </w:p>
        </w:tc>
        <w:tc>
          <w:tcPr>
            <w:tcW w:w="264" w:type="dxa"/>
            <w:tcBorders/>
            <w:shd w:fill="FFFFFF" w:val="clear"/>
            <w:tcMar>
              <w:bottom w:w="0" w:type="dxa"/>
            </w:tcMar>
            <w:vAlign w:val="center"/>
          </w:tcPr>
          <w:p>
            <w:pPr>
              <w:pStyle w:val="TableContents"/>
              <w:spacing w:before="0" w:after="283"/>
              <w:rPr/>
            </w:pPr>
            <w:r>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1" w:type="dxa"/>
            <w:tcBorders/>
            <w:shd w:fill="FFFFFF" w:val="clear"/>
            <w:tcMar>
              <w:bottom w:w="0" w:type="dxa"/>
            </w:tcMar>
            <w:vAlign w:val="center"/>
          </w:tcPr>
          <w:p>
            <w:pPr>
              <w:pStyle w:val="TableContents"/>
              <w:spacing w:before="0" w:after="283"/>
              <w:rPr/>
            </w:pPr>
            <w:r>
              <w:rPr/>
              <w:t> </w:t>
            </w:r>
          </w:p>
        </w:tc>
        <w:tc>
          <w:tcPr>
            <w:tcW w:w="85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1,238</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68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1,958</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shd w:fill="FFFFFF" w:val="clear"/>
            <w:tcMar>
              <w:bottom w:w="0" w:type="dxa"/>
            </w:tcMar>
            <w:vAlign w:val="center"/>
          </w:tcPr>
          <w:p>
            <w:pPr>
              <w:pStyle w:val="TableContents"/>
              <w:spacing w:before="0" w:after="283"/>
              <w:rPr/>
            </w:pPr>
            <w:r>
              <w:rPr/>
              <w:t> </w:t>
            </w:r>
          </w:p>
        </w:tc>
        <w:tc>
          <w:tcPr>
            <w:tcW w:w="37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104</w:t>
            </w:r>
          </w:p>
        </w:tc>
        <w:tc>
          <w:tcPr>
            <w:tcW w:w="75" w:type="dxa"/>
            <w:tcBorders/>
            <w:shd w:fill="FFFFFF"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1,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23,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30, 2019</w:t>
            </w:r>
          </w:p>
        </w:tc>
        <w:tc>
          <w:tcPr>
            <w:tcW w:w="60" w:type="dxa"/>
            <w:tcBorders/>
            <w:shd w:fill="CCEEFF" w:val="clear"/>
            <w:tcMar>
              <w:bottom w:w="0" w:type="dxa"/>
            </w:tcMar>
            <w:vAlign w:val="center"/>
          </w:tcPr>
          <w:p>
            <w:pPr>
              <w:pStyle w:val="TableContents"/>
              <w:spacing w:before="0" w:after="283"/>
              <w:rPr/>
            </w:pPr>
            <w:r>
              <w:rPr/>
              <w:t> </w:t>
            </w:r>
          </w:p>
        </w:tc>
        <w:tc>
          <w:tcPr>
            <w:tcW w:w="264" w:type="dxa"/>
            <w:tcBorders/>
            <w:shd w:fill="CCEEFF" w:val="clear"/>
            <w:tcMar>
              <w:bottom w:w="0" w:type="dxa"/>
            </w:tcMar>
            <w:vAlign w:val="center"/>
          </w:tcPr>
          <w:p>
            <w:pPr>
              <w:pStyle w:val="TableContents"/>
              <w:spacing w:before="0" w:after="283"/>
              <w:rPr/>
            </w:pPr>
            <w:r>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center"/>
          </w:tcPr>
          <w:p>
            <w:pPr>
              <w:pStyle w:val="TableContents"/>
              <w:spacing w:before="0" w:after="283"/>
              <w:rPr/>
            </w:pPr>
            <w:r>
              <w:rPr/>
              <w:t> </w:t>
            </w:r>
          </w:p>
        </w:tc>
        <w:tc>
          <w:tcPr>
            <w:tcW w:w="85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8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1,953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shd w:fill="CCEEFF" w:val="clear"/>
            <w:tcMar>
              <w:bottom w:w="0" w:type="dxa"/>
            </w:tcMar>
            <w:vAlign w:val="center"/>
          </w:tcPr>
          <w:p>
            <w:pPr>
              <w:pStyle w:val="TableContents"/>
              <w:spacing w:before="0" w:after="283"/>
              <w:rPr/>
            </w:pPr>
            <w:r>
              <w:rPr/>
              <w:t> </w:t>
            </w:r>
          </w:p>
        </w:tc>
        <w:tc>
          <w:tcPr>
            <w:tcW w:w="376"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w:t>
            </w:r>
          </w:p>
        </w:tc>
        <w:tc>
          <w:tcPr>
            <w:tcW w:w="75" w:type="dxa"/>
            <w:tcBorders/>
            <w:shd w:fill="CCEEFF" w:val="clear"/>
            <w:tcMar>
              <w:bottom w:w="0" w:type="dxa"/>
            </w:tcMar>
            <w:vAlign w:val="center"/>
          </w:tcPr>
          <w:p>
            <w:pPr>
              <w:pStyle w:val="TableContents"/>
              <w:spacing w:before="0" w:after="283"/>
              <w:rPr/>
            </w:pPr>
            <w:r>
              <w:rPr/>
              <w:t> </w:t>
            </w:r>
          </w:p>
        </w:tc>
      </w:tr>
      <w:tr>
        <w:trPr/>
        <w:tc>
          <w:tcPr>
            <w:tcW w:w="13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1,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August 22, 2019</w:t>
            </w:r>
          </w:p>
        </w:tc>
        <w:tc>
          <w:tcPr>
            <w:tcW w:w="60" w:type="dxa"/>
            <w:tcBorders/>
            <w:shd w:fill="FFFFFF" w:val="clear"/>
            <w:tcMar>
              <w:bottom w:w="0" w:type="dxa"/>
            </w:tcMar>
            <w:vAlign w:val="center"/>
          </w:tcPr>
          <w:p>
            <w:pPr>
              <w:pStyle w:val="TableContents"/>
              <w:spacing w:before="0" w:after="283"/>
              <w:rPr/>
            </w:pPr>
            <w:r>
              <w:rPr/>
              <w:t> </w:t>
            </w:r>
          </w:p>
        </w:tc>
        <w:tc>
          <w:tcPr>
            <w:tcW w:w="164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August 29, 2019</w:t>
            </w:r>
          </w:p>
        </w:tc>
        <w:tc>
          <w:tcPr>
            <w:tcW w:w="60" w:type="dxa"/>
            <w:tcBorders/>
            <w:shd w:fill="FFFFFF" w:val="clear"/>
            <w:tcMar>
              <w:bottom w:w="0" w:type="dxa"/>
            </w:tcMar>
            <w:vAlign w:val="center"/>
          </w:tcPr>
          <w:p>
            <w:pPr>
              <w:pStyle w:val="TableContents"/>
              <w:spacing w:before="0" w:after="283"/>
              <w:rPr/>
            </w:pPr>
            <w:r>
              <w:rPr/>
              <w:t> </w:t>
            </w:r>
          </w:p>
        </w:tc>
        <w:tc>
          <w:tcPr>
            <w:tcW w:w="264" w:type="dxa"/>
            <w:tcBorders/>
            <w:shd w:fill="FFFFFF" w:val="clear"/>
            <w:tcMar>
              <w:bottom w:w="0" w:type="dxa"/>
            </w:tcMar>
            <w:vAlign w:val="center"/>
          </w:tcPr>
          <w:p>
            <w:pPr>
              <w:pStyle w:val="TableContents"/>
              <w:spacing w:before="0" w:after="283"/>
              <w:rPr/>
            </w:pPr>
            <w:r>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1" w:type="dxa"/>
            <w:tcBorders/>
            <w:shd w:fill="FFFFFF" w:val="clear"/>
            <w:tcMar>
              <w:bottom w:w="0" w:type="dxa"/>
            </w:tcMar>
            <w:vAlign w:val="center"/>
          </w:tcPr>
          <w:p>
            <w:pPr>
              <w:pStyle w:val="TableContents"/>
              <w:spacing w:before="0" w:after="283"/>
              <w:rPr/>
            </w:pPr>
            <w:r>
              <w:rPr/>
              <w:t> </w:t>
            </w:r>
          </w:p>
        </w:tc>
        <w:tc>
          <w:tcPr>
            <w:tcW w:w="85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1,231</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68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2,680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shd w:fill="FFFFFF" w:val="clear"/>
            <w:tcMar>
              <w:bottom w:w="0" w:type="dxa"/>
            </w:tcMar>
            <w:vAlign w:val="center"/>
          </w:tcPr>
          <w:p>
            <w:pPr>
              <w:pStyle w:val="TableContents"/>
              <w:spacing w:before="0" w:after="283"/>
              <w:rPr/>
            </w:pPr>
            <w:r>
              <w:rPr/>
              <w:t> </w:t>
            </w:r>
          </w:p>
        </w:tc>
        <w:tc>
          <w:tcPr>
            <w:tcW w:w="376"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113</w:t>
            </w:r>
          </w:p>
        </w:tc>
        <w:tc>
          <w:tcPr>
            <w:tcW w:w="75" w:type="dxa"/>
            <w:tcBorders/>
            <w:shd w:fill="FFFFFF" w:val="clear"/>
            <w:tcMar>
              <w:bottom w:w="0" w:type="dxa"/>
            </w:tcMar>
            <w:vAlign w:val="center"/>
          </w:tcPr>
          <w:p>
            <w:pPr>
              <w:pStyle w:val="TableContents"/>
              <w:spacing w:before="0" w:after="283"/>
              <w:rPr/>
            </w:pPr>
            <w:r>
              <w:rPr/>
              <w:t> </w:t>
            </w:r>
          </w:p>
        </w:tc>
      </w:tr>
      <w:tr>
        <w:trPr/>
        <w:tc>
          <w:tcPr>
            <w:tcW w:w="132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1,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September 20,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September 27, 2019</w:t>
            </w:r>
          </w:p>
        </w:tc>
        <w:tc>
          <w:tcPr>
            <w:tcW w:w="60" w:type="dxa"/>
            <w:tcBorders/>
            <w:shd w:fill="CCEEFF" w:val="clear"/>
            <w:tcMar>
              <w:bottom w:w="0" w:type="dxa"/>
            </w:tcMar>
            <w:vAlign w:val="center"/>
          </w:tcPr>
          <w:p>
            <w:pPr>
              <w:pStyle w:val="TableContents"/>
              <w:spacing w:before="0" w:after="283"/>
              <w:rPr/>
            </w:pPr>
            <w:r>
              <w:rPr/>
              <w:t> </w:t>
            </w:r>
          </w:p>
        </w:tc>
        <w:tc>
          <w:tcPr>
            <w:tcW w:w="264" w:type="dxa"/>
            <w:tcBorders>
              <w:bottom w:val="single" w:sz="8" w:space="0" w:color="000000"/>
            </w:tcBorders>
            <w:shd w:fill="CCEEFF" w:val="clear"/>
            <w:vAlign w:val="center"/>
          </w:tcPr>
          <w:p>
            <w:pPr>
              <w:pStyle w:val="TableContents"/>
              <w:spacing w:before="0" w:after="283"/>
              <w:rPr/>
            </w:pPr>
            <w:r>
              <w:rPr/>
              <w:t> </w:t>
            </w:r>
          </w:p>
        </w:tc>
        <w:tc>
          <w:tcPr>
            <w:tcW w:w="8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1" w:type="dxa"/>
            <w:tcBorders>
              <w:bottom w:val="single" w:sz="8" w:space="0" w:color="000000"/>
            </w:tcBorders>
            <w:shd w:fill="CCEEFF" w:val="clear"/>
            <w:vAlign w:val="center"/>
          </w:tcPr>
          <w:p>
            <w:pPr>
              <w:pStyle w:val="TableContents"/>
              <w:spacing w:before="0" w:after="283"/>
              <w:rPr/>
            </w:pPr>
            <w:r>
              <w:rPr/>
              <w:t> </w:t>
            </w:r>
          </w:p>
        </w:tc>
        <w:tc>
          <w:tcPr>
            <w:tcW w:w="85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bottom w:val="single" w:sz="8" w:space="0" w:color="000000"/>
            </w:tcBorders>
            <w:shd w:fill="CCEEFF" w:val="clear"/>
            <w:vAlign w:val="center"/>
          </w:tcPr>
          <w:p>
            <w:pPr>
              <w:pStyle w:val="TableContents"/>
              <w:spacing w:before="0" w:after="283"/>
              <w:rPr/>
            </w:pPr>
            <w:r>
              <w:rPr/>
              <w:t> </w:t>
            </w:r>
          </w:p>
        </w:tc>
        <w:tc>
          <w:tcPr>
            <w:tcW w:w="68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2,388</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9" w:type="dxa"/>
            <w:tcBorders>
              <w:bottom w:val="single" w:sz="8" w:space="0" w:color="000000"/>
            </w:tcBorders>
            <w:shd w:fill="CCEEFF" w:val="clear"/>
            <w:vAlign w:val="center"/>
          </w:tcPr>
          <w:p>
            <w:pPr>
              <w:pStyle w:val="TableContents"/>
              <w:spacing w:before="0" w:after="283"/>
              <w:rPr/>
            </w:pPr>
            <w:r>
              <w:rPr/>
              <w:t> </w:t>
            </w:r>
          </w:p>
        </w:tc>
        <w:tc>
          <w:tcPr>
            <w:tcW w:w="376"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114</w:t>
            </w:r>
          </w:p>
        </w:tc>
        <w:tc>
          <w:tcPr>
            <w:tcW w:w="75" w:type="dxa"/>
            <w:tcBorders/>
            <w:shd w:fill="CCEEFF" w:val="clear"/>
            <w:tcMar>
              <w:bottom w:w="0" w:type="dxa"/>
            </w:tcMar>
            <w:vAlign w:val="center"/>
          </w:tcPr>
          <w:p>
            <w:pPr>
              <w:pStyle w:val="TableContents"/>
              <w:spacing w:before="0" w:after="283"/>
              <w:ind w:left="0" w:right="0" w:hanging="180"/>
              <w:rPr/>
            </w:pPr>
            <w:r>
              <w:rPr/>
              <w:t> </w:t>
            </w:r>
          </w:p>
        </w:tc>
      </w:tr>
      <w:tr>
        <w:trPr/>
        <w:tc>
          <w:tcPr>
            <w:tcW w:w="4725" w:type="dxa"/>
            <w:gridSpan w:val="5"/>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 Distributions Declared and Distributed</w:t>
            </w:r>
          </w:p>
        </w:tc>
        <w:tc>
          <w:tcPr>
            <w:tcW w:w="60" w:type="dxa"/>
            <w:tcBorders/>
            <w:shd w:fill="FFFFFF" w:val="clear"/>
            <w:tcMar>
              <w:bottom w:w="0" w:type="dxa"/>
            </w:tcMar>
            <w:vAlign w:val="center"/>
          </w:tcPr>
          <w:p>
            <w:pPr>
              <w:pStyle w:val="TableContents"/>
              <w:spacing w:before="0" w:after="283"/>
              <w:rPr/>
            </w:pPr>
            <w:r>
              <w:rPr/>
              <w:t> </w:t>
            </w:r>
          </w:p>
        </w:tc>
        <w:tc>
          <w:tcPr>
            <w:tcW w:w="264" w:type="dxa"/>
            <w:tcBorders>
              <w:bottom w:val="double" w:sz="6"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1" w:type="dxa"/>
            <w:tcBorders>
              <w:bottom w:val="double" w:sz="6"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11,185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bottom w:val="double" w:sz="6" w:space="0" w:color="000000"/>
            </w:tcBorders>
            <w:shd w:fill="FFFFFF" w:val="clear"/>
            <w:vAlign w:val="center"/>
          </w:tcPr>
          <w:p>
            <w:pPr>
              <w:pStyle w:val="TableContents"/>
              <w:spacing w:before="0" w:after="283"/>
              <w:rPr/>
            </w:pPr>
            <w:r>
              <w:rPr/>
              <w:t> </w:t>
            </w:r>
          </w:p>
        </w:tc>
        <w:tc>
          <w:tcPr>
            <w:tcW w:w="68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18,255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9" w:type="dxa"/>
            <w:tcBorders>
              <w:bottom w:val="double" w:sz="6"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76"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883</w:t>
            </w:r>
          </w:p>
        </w:tc>
        <w:tc>
          <w:tcPr>
            <w:tcW w:w="75" w:type="dxa"/>
            <w:tcBorders/>
            <w:shd w:fill="FFFFFF" w:val="clear"/>
            <w:tcMar>
              <w:bottom w:w="0" w:type="dxa"/>
            </w:tcMar>
            <w:vAlign w:val="center"/>
          </w:tcPr>
          <w:p>
            <w:pPr>
              <w:pStyle w:val="TableContents"/>
              <w:spacing w:before="0" w:after="283"/>
              <w:rPr/>
            </w:pPr>
            <w:r>
              <w:rPr/>
              <w:t> </w:t>
            </w:r>
          </w:p>
        </w:tc>
      </w:tr>
    </w:tbl>
    <w:p>
      <w:pPr>
        <w:pStyle w:val="TextBody"/>
        <w:spacing w:before="0" w:after="0"/>
        <w:ind w:left="108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4"/>
        <w:gridCol w:w="9914"/>
      </w:tblGrid>
      <w:tr>
        <w:trPr/>
        <w:tc>
          <w:tcPr>
            <w:tcW w:w="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14" w:type="dxa"/>
            <w:tcBorders/>
            <w:shd w:fill="auto" w:val="clear"/>
            <w:vAlign w:val="center"/>
          </w:tcPr>
          <w:p>
            <w:pPr>
              <w:pStyle w:val="TableContents"/>
              <w:spacing w:before="0" w:after="283"/>
              <w:jc w:val="both"/>
              <w:rPr/>
            </w:pPr>
            <w:r>
              <w:rPr/>
              <w:t>Shares and amount per share have been adjusted for the periods shown to reflect the one-for-six reverse stock split effected on August 21, 2020 on a retroactive basis, as described in Note 1.</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Financial Highlights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financial highlights for the nine months ended September 30, 2020 and 2019 (dollars in thousands, except share and per share data): </w:t>
      </w:r>
    </w:p>
    <w:p>
      <w:pPr>
        <w:pStyle w:val="TextBody"/>
        <w:spacing w:before="0" w:after="0"/>
        <w:ind w:left="0" w:right="0" w:hanging="0"/>
        <w:jc w:val="both"/>
        <w:rPr>
          <w:caps w:val="false"/>
          <w:smallCaps w:val="false"/>
        </w:rPr>
      </w:pPr>
      <w:r>
        <w:rPr>
          <w:caps w:val="false"/>
          <w:smallCaps w:val="false"/>
        </w:rPr>
        <w:t> </w:t>
      </w:r>
    </w:p>
    <w:tbl>
      <w:tblPr>
        <w:tblW w:w="10204" w:type="dxa"/>
        <w:jc w:val="left"/>
        <w:tblInd w:w="0" w:type="dxa"/>
        <w:tblCellMar>
          <w:top w:w="0" w:type="dxa"/>
          <w:left w:w="0" w:type="dxa"/>
          <w:bottom w:w="0" w:type="dxa"/>
          <w:right w:w="0" w:type="dxa"/>
        </w:tblCellMar>
      </w:tblPr>
      <w:tblGrid>
        <w:gridCol w:w="6260"/>
        <w:gridCol w:w="60"/>
        <w:gridCol w:w="216"/>
        <w:gridCol w:w="1468"/>
        <w:gridCol w:w="254"/>
        <w:gridCol w:w="62"/>
        <w:gridCol w:w="216"/>
        <w:gridCol w:w="1468"/>
        <w:gridCol w:w="200"/>
      </w:tblGrid>
      <w:tr>
        <w:trPr/>
        <w:tc>
          <w:tcPr>
            <w:tcW w:w="6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68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254"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data</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jc w:val="left"/>
              <w:rPr/>
            </w:pPr>
            <w:r>
              <w:rPr/>
              <w:t> </w:t>
            </w:r>
          </w:p>
        </w:tc>
        <w:tc>
          <w:tcPr>
            <w:tcW w:w="1468" w:type="dxa"/>
            <w:tcBorders/>
            <w:shd w:fill="CCEEFF" w:val="clear"/>
            <w:vAlign w:val="center"/>
          </w:tcPr>
          <w:p>
            <w:pPr>
              <w:pStyle w:val="TableContents"/>
              <w:spacing w:before="0" w:after="283"/>
              <w:jc w:val="right"/>
              <w:rPr/>
            </w:pPr>
            <w:r>
              <w:rPr/>
              <w:t> </w:t>
            </w:r>
          </w:p>
        </w:tc>
        <w:tc>
          <w:tcPr>
            <w:tcW w:w="254"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jc w:val="left"/>
              <w:rPr/>
            </w:pPr>
            <w:r>
              <w:rPr/>
              <w:t> </w:t>
            </w:r>
          </w:p>
        </w:tc>
        <w:tc>
          <w:tcPr>
            <w:tcW w:w="1468"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jc w:val="left"/>
              <w:rPr/>
            </w:pPr>
            <w:r>
              <w:rPr/>
              <w:t> </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 value at beginning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54.84</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71.26</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 on investments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depreciation on investments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provision</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on extinguishment of debt</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2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 return of capital</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 net investment income</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6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6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 value at end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w:t>
            </w:r>
          </w:p>
        </w:tc>
        <w:tc>
          <w:tcPr>
            <w:tcW w:w="2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108,409</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151,881</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outstanding at end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2,711,068</w:t>
            </w:r>
          </w:p>
        </w:tc>
        <w:tc>
          <w:tcPr>
            <w:tcW w:w="2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2,693,513</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market value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return based on market value</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(81.13</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26.83</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Ratio/Supplemental data:</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468" w:type="dxa"/>
            <w:tcBorders/>
            <w:shd w:fill="FFFFFF" w:val="clear"/>
            <w:vAlign w:val="center"/>
          </w:tcPr>
          <w:p>
            <w:pPr>
              <w:pStyle w:val="TableContents"/>
              <w:spacing w:before="0" w:after="283"/>
              <w:jc w:val="right"/>
              <w:rPr/>
            </w:pPr>
            <w:r>
              <w:rPr/>
              <w:t> </w:t>
            </w:r>
          </w:p>
        </w:tc>
        <w:tc>
          <w:tcPr>
            <w:tcW w:w="254"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jc w:val="left"/>
              <w:rPr/>
            </w:pPr>
            <w:r>
              <w:rPr/>
              <w:t> </w:t>
            </w:r>
          </w:p>
        </w:tc>
        <w:tc>
          <w:tcPr>
            <w:tcW w:w="1468"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net investment income to average net assets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incentive fees, net of incentive fee waiver, to average net assets</w:t>
            </w:r>
            <w:r>
              <w:rPr>
                <w:rFonts w:ascii="Times New Roman;Times;Serif" w:hAnsi="Times New Roman;Times;Serif"/>
                <w:b w:val="false"/>
                <w:i w:val="false"/>
                <w:caps w:val="false"/>
                <w:smallCaps w:val="false"/>
                <w:position w:val="7"/>
                <w:sz w:val="16"/>
                <w:sz w:val="20"/>
              </w:rPr>
              <w:t>(7)(8)</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interest and financing expenses to average net assets</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tax provision to average net assets</w:t>
            </w:r>
            <w:r>
              <w:rPr>
                <w:rFonts w:ascii="Times New Roman;Times;Serif" w:hAnsi="Times New Roman;Times;Serif"/>
                <w:b w:val="false"/>
                <w:i w:val="false"/>
                <w:caps w:val="false"/>
                <w:smallCaps w:val="false"/>
                <w:position w:val="7"/>
                <w:sz w:val="16"/>
                <w:sz w:val="20"/>
              </w:rPr>
              <w:t>(9)</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other operating expenses to average net assets</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total expenses including tax benefit, to average net assets</w:t>
            </w:r>
            <w:r>
              <w:rPr>
                <w:rFonts w:ascii="Times New Roman;Times;Serif" w:hAnsi="Times New Roman;Times;Serif"/>
                <w:b w:val="false"/>
                <w:i w:val="false"/>
                <w:caps w:val="false"/>
                <w:smallCaps w:val="false"/>
                <w:position w:val="7"/>
                <w:sz w:val="16"/>
                <w:sz w:val="20"/>
              </w:rPr>
              <w:t>(6)(7)</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w:t>
            </w:r>
          </w:p>
        </w:tc>
        <w:tc>
          <w:tcPr>
            <w:tcW w:w="2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turnover rate</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2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debt outstanding</w:t>
            </w:r>
            <w:r>
              <w:rPr>
                <w:rFonts w:ascii="Times New Roman;Times;Serif" w:hAnsi="Times New Roman;Times;Serif"/>
                <w:b w:val="false"/>
                <w:i w:val="false"/>
                <w:caps w:val="false"/>
                <w:smallCaps w:val="false"/>
                <w:position w:val="7"/>
                <w:sz w:val="16"/>
                <w:sz w:val="20"/>
              </w:rPr>
              <w:t>(11)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270,357</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debt outstanding per common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99.72</w:t>
            </w:r>
          </w:p>
        </w:tc>
        <w:tc>
          <w:tcPr>
            <w:tcW w:w="2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21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coverage ratio per unit</w:t>
            </w:r>
            <w:r>
              <w:rPr>
                <w:rFonts w:ascii="Times New Roman;Times;Serif" w:hAnsi="Times New Roman;Times;Serif"/>
                <w:b w:val="false"/>
                <w:i w:val="false"/>
                <w:caps w:val="false"/>
                <w:smallCaps w:val="false"/>
                <w:position w:val="7"/>
                <w:sz w:val="16"/>
                <w:sz w:val="20"/>
              </w:rPr>
              <w:t>(12)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w:t>
            </w:r>
          </w:p>
        </w:tc>
        <w:tc>
          <w:tcPr>
            <w:tcW w:w="2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21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6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Shares and per share data has been adjusted for the periods shown to reflect the one-for-six reverse stock split effected on August 21, 2020 on a retroactive basis, as described in Note 1.</w:t>
            </w:r>
          </w:p>
        </w:tc>
      </w:tr>
      <w:tr>
        <w:trPr/>
        <w:tc>
          <w:tcPr>
            <w:tcW w:w="238" w:type="dxa"/>
            <w:tcBorders/>
            <w:shd w:fill="auto" w:val="clear"/>
            <w:vAlign w:val="center"/>
          </w:tcPr>
          <w:p>
            <w:pPr>
              <w:pStyle w:val="TableContents"/>
              <w:spacing w:before="0" w:after="283"/>
              <w:rPr/>
            </w:pPr>
            <w:r>
              <w:rPr/>
              <w:t> </w:t>
            </w:r>
          </w:p>
        </w:tc>
        <w:tc>
          <w:tcPr>
            <w:tcW w:w="9967" w:type="dxa"/>
            <w:tcBorders/>
            <w:shd w:fill="auto" w:val="clear"/>
            <w:vAlign w:val="center"/>
          </w:tcPr>
          <w:p>
            <w:pPr>
              <w:pStyle w:val="TableContents"/>
              <w:spacing w:before="0" w:after="283"/>
              <w:jc w:val="both"/>
              <w:rPr/>
            </w:pPr>
            <w:r>
              <w:rPr/>
              <w:t> </w:t>
            </w:r>
          </w:p>
        </w:tc>
      </w:tr>
      <w:tr>
        <w:trPr/>
        <w:tc>
          <w:tcPr>
            <w:tcW w:w="2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6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daily weighted average balance of shares of the Company’s common stock outstanding during the period.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3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Distributions may be subject to reclassification based on future dividends and operating results and will not be determined until the end of the year.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1"/>
        <w:gridCol w:w="9966"/>
      </w:tblGrid>
      <w:tr>
        <w:trPr/>
        <w:tc>
          <w:tcPr>
            <w:tcW w:w="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6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Includes the impact of different share amounts used in calculating per share data based on weighted average shares of the Company’s common stock outstanding during the period and certain per share data based on shares of the Company’s common stock outstanding as of a period end or transaction date. Also includes the impact of shares of the Company’s common stock issued under the Company’s DRIP.</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8"/>
        <w:gridCol w:w="9969"/>
      </w:tblGrid>
      <w:tr>
        <w:trPr/>
        <w:tc>
          <w:tcPr>
            <w:tcW w:w="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6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tc>
      </w:tr>
    </w:tbl>
    <w:p>
      <w:pPr>
        <w:pStyle w:val="TextBody"/>
        <w:spacing w:before="0" w:after="0"/>
        <w:ind w:left="0" w:right="0" w:hanging="0"/>
        <w:rPr>
          <w:caps w:val="false"/>
          <w:smallCaps w:val="false"/>
        </w:rPr>
      </w:pPr>
      <w:r>
        <w:rPr>
          <w:caps w:val="false"/>
          <w:smallCaps w:val="false"/>
        </w:rPr>
        <w:t> </w:t>
      </w:r>
    </w:p>
    <w:tbl>
      <w:tblPr>
        <w:tblW w:w="6798" w:type="dxa"/>
        <w:jc w:val="left"/>
        <w:tblInd w:w="0" w:type="dxa"/>
        <w:tblCellMar>
          <w:top w:w="0" w:type="dxa"/>
          <w:left w:w="0" w:type="dxa"/>
          <w:bottom w:w="0" w:type="dxa"/>
          <w:right w:w="0" w:type="dxa"/>
        </w:tblCellMar>
      </w:tblPr>
      <w:tblGrid>
        <w:gridCol w:w="38"/>
        <w:gridCol w:w="245"/>
        <w:gridCol w:w="651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651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Ratio is annualized. Incentive fees, included within the ratio are not annualized.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93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ratio of waived incentive fees to average net assets was 0.00% and 0.17%, respectively, for the nine months ended September 30, 2020 and 2019.</w:t>
            </w:r>
          </w:p>
        </w:tc>
      </w:tr>
    </w:tbl>
    <w:p>
      <w:pPr>
        <w:pStyle w:val="TextBody"/>
        <w:spacing w:before="0" w:after="0"/>
        <w:ind w:left="0" w:right="0" w:hanging="0"/>
        <w:rPr>
          <w:caps w:val="false"/>
          <w:smallCaps w:val="false"/>
        </w:rPr>
      </w:pPr>
      <w:r>
        <w:rPr>
          <w:caps w:val="false"/>
          <w:smallCaps w:val="false"/>
        </w:rPr>
        <w:t> </w:t>
      </w:r>
    </w:p>
    <w:tbl>
      <w:tblPr>
        <w:tblW w:w="2253" w:type="dxa"/>
        <w:jc w:val="left"/>
        <w:tblInd w:w="0" w:type="dxa"/>
        <w:tblCellMar>
          <w:top w:w="0" w:type="dxa"/>
          <w:left w:w="0" w:type="dxa"/>
          <w:bottom w:w="0" w:type="dxa"/>
          <w:right w:w="0" w:type="dxa"/>
        </w:tblCellMar>
      </w:tblPr>
      <w:tblGrid>
        <w:gridCol w:w="38"/>
        <w:gridCol w:w="245"/>
        <w:gridCol w:w="197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19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Ratio is not annualized.</w:t>
            </w:r>
          </w:p>
        </w:tc>
      </w:tr>
    </w:tbl>
    <w:p>
      <w:pPr>
        <w:pStyle w:val="TextBody"/>
        <w:spacing w:before="0" w:after="0"/>
        <w:ind w:left="0" w:right="0" w:hanging="0"/>
        <w:rPr>
          <w:caps w:val="false"/>
          <w:smallCaps w:val="false"/>
        </w:rPr>
      </w:pPr>
      <w:r>
        <w:rPr>
          <w:caps w:val="false"/>
          <w:smallCaps w:val="false"/>
        </w:rPr>
        <w:t> </w:t>
      </w:r>
    </w:p>
    <w:tbl>
      <w:tblPr>
        <w:tblW w:w="1938" w:type="dxa"/>
        <w:jc w:val="left"/>
        <w:tblInd w:w="0" w:type="dxa"/>
        <w:tblCellMar>
          <w:top w:w="0" w:type="dxa"/>
          <w:left w:w="0" w:type="dxa"/>
          <w:bottom w:w="0" w:type="dxa"/>
          <w:right w:w="0" w:type="dxa"/>
        </w:tblCellMar>
      </w:tblPr>
      <w:tblGrid>
        <w:gridCol w:w="38"/>
        <w:gridCol w:w="245"/>
        <w:gridCol w:w="165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16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Ratio is annualized.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20"/>
        <w:gridCol w:w="9847"/>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84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Portfolio turnover rate is calculated using the lesser of year-to-date sales or year-to-date purchases over the average of the invested assets at fair value. Portfolio turnover rates that cover less than a full period are not annualized.</w:t>
            </w:r>
          </w:p>
        </w:tc>
      </w:tr>
    </w:tbl>
    <w:p>
      <w:pPr>
        <w:pStyle w:val="TextBody"/>
        <w:spacing w:before="0" w:after="0"/>
        <w:ind w:left="0" w:right="0" w:hanging="0"/>
        <w:rPr>
          <w:caps w:val="false"/>
          <w:smallCaps w:val="false"/>
        </w:rPr>
      </w:pPr>
      <w:r>
        <w:rPr>
          <w:caps w:val="false"/>
          <w:smallCaps w:val="false"/>
        </w:rPr>
        <w:t> </w:t>
      </w:r>
    </w:p>
    <w:tbl>
      <w:tblPr>
        <w:tblW w:w="7218" w:type="dxa"/>
        <w:jc w:val="left"/>
        <w:tblInd w:w="0" w:type="dxa"/>
        <w:tblCellMar>
          <w:top w:w="0" w:type="dxa"/>
          <w:left w:w="0" w:type="dxa"/>
          <w:bottom w:w="0" w:type="dxa"/>
          <w:right w:w="0" w:type="dxa"/>
        </w:tblCellMar>
      </w:tblPr>
      <w:tblGrid>
        <w:gridCol w:w="38"/>
        <w:gridCol w:w="350"/>
        <w:gridCol w:w="6830"/>
      </w:tblGrid>
      <w:tr>
        <w:trPr/>
        <w:tc>
          <w:tcPr>
            <w:tcW w:w="3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68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the daily weighted average balance of debt outstanding during the period.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9"/>
        <w:gridCol w:w="9868"/>
      </w:tblGrid>
      <w:tr>
        <w:trPr/>
        <w:tc>
          <w:tcPr>
            <w:tcW w:w="3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986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September 30, 2020 and 2019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Facility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2020, Capitala Business Lending, LLC (the "Borrower"), a direct, wholly owned, consolidated subsidiary of the Company, entered into a senior secured revolving credit agreement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the Borrower in an aggregate principal amount of up to $25.0 million as of October 30, 2020. The Borrower may, on any business day prior to October 28, 2022, request an increase in the aggregate principal amount from $25.0 million to $100.0 million in accordance with the terms and in the manner described in the KeyBank Credit Facility. The period during which the Lenders may make loans to the Borrower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1-month LIBOR plus 3.5%.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bookmarkStart w:id="10" w:name="x_002"/>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our consolidated financial statements and related notes and other financial information appearing elsewhere in this Quarterly Report on Form 10-Q.</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references to “we,” “us,” “our”, or the “Company”, refer to Capitala Finance Corp.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spacing w:before="0" w:after="0"/>
        <w:ind w:left="0" w:right="0" w:firstLine="720"/>
        <w:jc w:val="both"/>
        <w:rPr>
          <w:caps w:val="false"/>
          <w:smallCaps w:val="false"/>
        </w:rPr>
      </w:pPr>
      <w:r>
        <w:rPr>
          <w:caps w:val="false"/>
          <w:smallCaps w:val="false"/>
        </w:rPr>
        <w:t> </w:t>
      </w:r>
    </w:p>
    <w:tbl>
      <w:tblPr>
        <w:tblW w:w="6700" w:type="dxa"/>
        <w:jc w:val="left"/>
        <w:tblInd w:w="0" w:type="dxa"/>
        <w:tblCellMar>
          <w:top w:w="0" w:type="dxa"/>
          <w:left w:w="0" w:type="dxa"/>
          <w:bottom w:w="0" w:type="dxa"/>
          <w:right w:w="0" w:type="dxa"/>
        </w:tblCellMar>
      </w:tblPr>
      <w:tblGrid>
        <w:gridCol w:w="75"/>
        <w:gridCol w:w="170"/>
        <w:gridCol w:w="64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future operating results and the impact of the COVID-19 pandemic thereon;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business prospects and the prospects of our portfolio companies, including our and their ability to achieve our respective objectives as a result of the current COVID-19 pandemic;</w:t>
            </w:r>
          </w:p>
        </w:tc>
      </w:tr>
    </w:tbl>
    <w:p>
      <w:pPr>
        <w:pStyle w:val="TextBody"/>
        <w:spacing w:before="0" w:after="0"/>
        <w:ind w:left="0" w:right="0" w:hanging="0"/>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75"/>
        <w:gridCol w:w="170"/>
        <w:gridCol w:w="40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0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impact of investments that we expect to make;</w:t>
            </w:r>
          </w:p>
        </w:tc>
      </w:tr>
    </w:tbl>
    <w:p>
      <w:pPr>
        <w:pStyle w:val="TextBody"/>
        <w:spacing w:before="0" w:after="0"/>
        <w:ind w:left="0" w:right="0" w:hanging="0"/>
        <w:rPr>
          <w:caps w:val="false"/>
          <w:smallCaps w:val="false"/>
        </w:rPr>
      </w:pPr>
      <w:r>
        <w:rPr>
          <w:caps w:val="false"/>
          <w:smallCaps w:val="false"/>
        </w:rPr>
        <w:t> </w:t>
      </w:r>
    </w:p>
    <w:tbl>
      <w:tblPr>
        <w:tblW w:w="5560" w:type="dxa"/>
        <w:jc w:val="left"/>
        <w:tblInd w:w="0" w:type="dxa"/>
        <w:tblCellMar>
          <w:top w:w="0" w:type="dxa"/>
          <w:left w:w="0" w:type="dxa"/>
          <w:bottom w:w="0" w:type="dxa"/>
          <w:right w:w="0" w:type="dxa"/>
        </w:tblCellMar>
      </w:tblPr>
      <w:tblGrid>
        <w:gridCol w:w="75"/>
        <w:gridCol w:w="170"/>
        <w:gridCol w:w="53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31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contractual arrangements and relationships with third parties;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dependence of our future success on the general economy and its impact on the industries in which we invest and the impact of the COVID-19 pandemic thereon;</w:t>
            </w:r>
          </w:p>
        </w:tc>
      </w:tr>
    </w:tbl>
    <w:p>
      <w:pPr>
        <w:pStyle w:val="TextBody"/>
        <w:spacing w:before="0" w:after="0"/>
        <w:ind w:left="0" w:right="0" w:hanging="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170"/>
        <w:gridCol w:w="34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expected financings and investments;</w:t>
            </w:r>
          </w:p>
        </w:tc>
      </w:tr>
    </w:tbl>
    <w:p>
      <w:pPr>
        <w:pStyle w:val="TextBody"/>
        <w:spacing w:before="0" w:after="0"/>
        <w:ind w:left="0" w:right="0" w:hanging="0"/>
        <w:rPr>
          <w:caps w:val="false"/>
          <w:smallCaps w:val="false"/>
        </w:rPr>
      </w:pPr>
      <w:r>
        <w:rPr>
          <w:caps w:val="false"/>
          <w:smallCaps w:val="false"/>
        </w:rPr>
        <w:t> </w:t>
      </w:r>
    </w:p>
    <w:tbl>
      <w:tblPr>
        <w:tblW w:w="5155" w:type="dxa"/>
        <w:jc w:val="left"/>
        <w:tblInd w:w="0" w:type="dxa"/>
        <w:tblCellMar>
          <w:top w:w="0" w:type="dxa"/>
          <w:left w:w="0" w:type="dxa"/>
          <w:bottom w:w="0" w:type="dxa"/>
          <w:right w:w="0" w:type="dxa"/>
        </w:tblCellMar>
      </w:tblPr>
      <w:tblGrid>
        <w:gridCol w:w="75"/>
        <w:gridCol w:w="170"/>
        <w:gridCol w:w="49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adequacy of our cash resources and working capital;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timing of cash flows, if any, from the operations of our portfolio companies and the impact of the COVID-19 pandemic thereon.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 economic downturn, due to the COVID-19 pandemic or otherwise, could impair our portfolio companies’ ability to continue to operate or repay their borrowings, which could lead to the loss of some or all of our investments in such portfolio companies;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contraction of available credit and/or an inability to access the equity markets could impair our lending and investment activities and the impact of the COVID-19 pandemic thereon;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interest rate volatility could adversely affect our results, particularly if we use leverage as part of our investment strategy;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risks, uncertainties, and other factors we identify in “Risk Factors” and elsewhere in our Annual Report on Form 10-K and in this quarterly report on Form 10-Q.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2019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first lien loans and, to a lesser extent, second lien loans and equity securities issued by lower middle-market companies and traditional middle-market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September 30, 2020, our asset coverage ratio was 186.8%.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Act of 1958, as amended, and has elected to be regulated as a BDC under the 1940 Act. Fund II, our subsidiary, was licensed under the SBIC Act until March 1, 2019 and has elected to be regulated as a BDC under the 1940 Act.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Reverse Stock Split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2020, the Company’s board of directors (the “Board”) approved a one-for-six reverse stock split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was converted into one (1) Share. The Articles of Amendment also provided that there was no change in the par value of $0.01 per Share as a result of the Reverse Stock Split.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and fractional shares were eliminated by paying cash for the fair value of a fractional portion of Shares. The Reverse Stock Split applied to all of the Company’s outstanding Shares and therefore did not affect any shareholder’s relative ownership percentage.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Retroactive Adjustments for Reverse Stock Split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amount and per share amount of our common stock in the consolidated financial statements and notes have been retroactively adjusted for the Reverse Stock Split effected on August 21, 2020 for all periods presented. See Note 1 for more information regarding the Reverse Stock Split.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considered an investment company as defined in Accounting Standards Codification (“ASC”) Topic 946 — </w:t>
      </w:r>
      <w:r>
        <w:rPr>
          <w:rFonts w:ascii="Times New Roman;Times;Serif" w:hAnsi="Times New Roman;Times;Serif"/>
          <w:b w:val="false"/>
          <w:i/>
          <w:caps w:val="false"/>
          <w:smallCaps w:val="false"/>
          <w:sz w:val="20"/>
        </w:rPr>
        <w:t xml:space="preserve">Financial Services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Investment Companies </w:t>
      </w:r>
      <w:r>
        <w:rPr>
          <w:rFonts w:ascii="Times New Roman;Times;Serif" w:hAnsi="Times New Roman;Times;Serif"/>
          <w:b w:val="false"/>
          <w:i w:val="false"/>
          <w:caps w:val="false"/>
          <w:smallCaps w:val="false"/>
          <w:sz w:val="20"/>
        </w:rPr>
        <w:t>(“ASC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as of September 30, 2020 and December 31, 2019 and for the periods ended September 30,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pStyle w:val="TextBody"/>
        <w:spacing w:before="0" w:after="0"/>
        <w:ind w:left="0" w:right="0" w:firstLine="720"/>
        <w:jc w:val="both"/>
        <w:rPr>
          <w:caps w:val="false"/>
          <w:smallCaps w:val="false"/>
        </w:rPr>
      </w:pPr>
      <w:r>
        <w:rPr>
          <w:caps w:val="false"/>
          <w:smallCaps w:val="false"/>
        </w:rPr>
        <w:t> </w:t>
      </w:r>
    </w:p>
    <w:tbl>
      <w:tblPr>
        <w:tblW w:w="2575" w:type="dxa"/>
        <w:jc w:val="left"/>
        <w:tblInd w:w="0" w:type="dxa"/>
        <w:tblCellMar>
          <w:top w:w="0" w:type="dxa"/>
          <w:left w:w="0" w:type="dxa"/>
          <w:bottom w:w="0" w:type="dxa"/>
          <w:right w:w="0" w:type="dxa"/>
        </w:tblCellMar>
      </w:tblPr>
      <w:tblGrid>
        <w:gridCol w:w="75"/>
        <w:gridCol w:w="170"/>
        <w:gridCol w:w="23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3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cost of our organization;</w:t>
            </w:r>
          </w:p>
        </w:tc>
      </w:tr>
    </w:tbl>
    <w:p>
      <w:pPr>
        <w:pStyle w:val="TextBody"/>
        <w:spacing w:before="0" w:after="0"/>
        <w:ind w:left="0" w:right="0" w:hanging="0"/>
        <w:rPr>
          <w:caps w:val="false"/>
          <w:smallCaps w:val="false"/>
        </w:rPr>
      </w:pPr>
      <w:r>
        <w:rPr>
          <w:caps w:val="false"/>
          <w:smallCaps w:val="false"/>
        </w:rPr>
        <w:t> </w:t>
      </w:r>
    </w:p>
    <w:tbl>
      <w:tblPr>
        <w:tblW w:w="8230" w:type="dxa"/>
        <w:jc w:val="left"/>
        <w:tblInd w:w="0" w:type="dxa"/>
        <w:tblCellMar>
          <w:top w:w="0" w:type="dxa"/>
          <w:left w:w="0" w:type="dxa"/>
          <w:bottom w:w="0" w:type="dxa"/>
          <w:right w:w="0" w:type="dxa"/>
        </w:tblCellMar>
      </w:tblPr>
      <w:tblGrid>
        <w:gridCol w:w="75"/>
        <w:gridCol w:w="170"/>
        <w:gridCol w:w="79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cost of calculating our net asset value, including the cost of any third-party valuation services;</w:t>
            </w:r>
          </w:p>
        </w:tc>
      </w:tr>
    </w:tbl>
    <w:p>
      <w:pPr>
        <w:pStyle w:val="TextBody"/>
        <w:spacing w:before="0" w:after="0"/>
        <w:ind w:left="0" w:right="0" w:hanging="0"/>
        <w:rPr>
          <w:caps w:val="false"/>
          <w:smallCaps w:val="false"/>
        </w:rPr>
      </w:pPr>
      <w:r>
        <w:rPr>
          <w:caps w:val="false"/>
          <w:smallCaps w:val="false"/>
        </w:rPr>
        <w:t> </w:t>
      </w:r>
    </w:p>
    <w:tbl>
      <w:tblPr>
        <w:tblW w:w="7840" w:type="dxa"/>
        <w:jc w:val="left"/>
        <w:tblInd w:w="0" w:type="dxa"/>
        <w:tblCellMar>
          <w:top w:w="0" w:type="dxa"/>
          <w:left w:w="0" w:type="dxa"/>
          <w:bottom w:w="0" w:type="dxa"/>
          <w:right w:w="0" w:type="dxa"/>
        </w:tblCellMar>
      </w:tblPr>
      <w:tblGrid>
        <w:gridCol w:w="75"/>
        <w:gridCol w:w="170"/>
        <w:gridCol w:w="75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5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cost of effecting sales and repurchases of our shares of common stock and other securities;</w:t>
            </w:r>
          </w:p>
        </w:tc>
      </w:tr>
    </w:tbl>
    <w:p>
      <w:pPr>
        <w:pStyle w:val="TextBody"/>
        <w:spacing w:before="0" w:after="0"/>
        <w:ind w:left="0" w:right="0" w:hanging="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170"/>
        <w:gridCol w:w="48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3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interest payable on debt, if any, to finance our investments;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tc>
      </w:tr>
    </w:tbl>
    <w:p>
      <w:pPr>
        <w:pStyle w:val="TextBody"/>
        <w:spacing w:before="0" w:after="0"/>
        <w:ind w:left="0" w:right="0" w:hanging="0"/>
        <w:rPr>
          <w:caps w:val="false"/>
          <w:smallCaps w:val="false"/>
        </w:rPr>
      </w:pPr>
      <w:r>
        <w:rPr>
          <w:caps w:val="false"/>
          <w:smallCaps w:val="false"/>
        </w:rPr>
        <w:t> </w:t>
      </w:r>
    </w:p>
    <w:tbl>
      <w:tblPr>
        <w:tblW w:w="2935" w:type="dxa"/>
        <w:jc w:val="left"/>
        <w:tblInd w:w="0" w:type="dxa"/>
        <w:tblCellMar>
          <w:top w:w="0" w:type="dxa"/>
          <w:left w:w="0" w:type="dxa"/>
          <w:bottom w:w="0" w:type="dxa"/>
          <w:right w:w="0" w:type="dxa"/>
        </w:tblCellMar>
      </w:tblPr>
      <w:tblGrid>
        <w:gridCol w:w="75"/>
        <w:gridCol w:w="170"/>
        <w:gridCol w:w="26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69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transfer agent and custodial fees;</w:t>
            </w:r>
          </w:p>
        </w:tc>
      </w:tr>
    </w:tbl>
    <w:p>
      <w:pPr>
        <w:pStyle w:val="TextBody"/>
        <w:spacing w:before="0" w:after="0"/>
        <w:ind w:left="0" w:right="0" w:hanging="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75"/>
        <w:gridCol w:w="170"/>
        <w:gridCol w:w="42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2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fees and expenses associated with marketing efforts;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costs associated with our reporting and compliance obligations under the 1940 Act, the Securities Exchange Act of 1934, as amended (the “Exchange Act”), other applicable federal and state securities laws, and ongoing stock exchange listing fees;</w:t>
            </w:r>
          </w:p>
        </w:tc>
      </w:tr>
    </w:tbl>
    <w:p>
      <w:pPr>
        <w:pStyle w:val="TextBody"/>
        <w:spacing w:before="0" w:after="0"/>
        <w:ind w:left="0" w:right="0" w:firstLine="720"/>
        <w:rPr>
          <w:caps w:val="false"/>
          <w:smallCaps w:val="false"/>
        </w:rPr>
      </w:pPr>
      <w:r>
        <w:rPr>
          <w:caps w:val="false"/>
          <w:smallCaps w:val="false"/>
        </w:rPr>
        <w:t> </w:t>
      </w:r>
    </w:p>
    <w:tbl>
      <w:tblPr>
        <w:tblW w:w="2665" w:type="dxa"/>
        <w:jc w:val="left"/>
        <w:tblInd w:w="0" w:type="dxa"/>
        <w:tblCellMar>
          <w:top w:w="0" w:type="dxa"/>
          <w:left w:w="0" w:type="dxa"/>
          <w:bottom w:w="0" w:type="dxa"/>
          <w:right w:w="0" w:type="dxa"/>
        </w:tblCellMar>
      </w:tblPr>
      <w:tblGrid>
        <w:gridCol w:w="75"/>
        <w:gridCol w:w="170"/>
        <w:gridCol w:w="24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4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federal, state, and local taxes;</w:t>
            </w:r>
          </w:p>
        </w:tc>
      </w:tr>
    </w:tbl>
    <w:p>
      <w:pPr>
        <w:pStyle w:val="TextBody"/>
        <w:spacing w:before="0" w:after="0"/>
        <w:ind w:left="0" w:right="0" w:hanging="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170"/>
        <w:gridCol w:w="34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1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independent directors’ fees and expenses;</w:t>
            </w:r>
          </w:p>
        </w:tc>
      </w:tr>
    </w:tbl>
    <w:p>
      <w:pPr>
        <w:pStyle w:val="TextBody"/>
        <w:spacing w:before="0" w:after="0"/>
        <w:ind w:left="0" w:right="0" w:hanging="0"/>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170"/>
        <w:gridCol w:w="20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0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brokerage commissions;</w:t>
            </w:r>
          </w:p>
        </w:tc>
      </w:tr>
    </w:tbl>
    <w:p>
      <w:pPr>
        <w:pStyle w:val="TextBody"/>
        <w:spacing w:before="0" w:after="0"/>
        <w:ind w:left="0" w:right="0" w:hanging="0"/>
        <w:rPr>
          <w:caps w:val="false"/>
          <w:smallCaps w:val="false"/>
        </w:rPr>
      </w:pPr>
      <w:r>
        <w:rPr>
          <w:caps w:val="false"/>
          <w:smallCaps w:val="false"/>
        </w:rPr>
        <w:t> </w:t>
      </w:r>
    </w:p>
    <w:tbl>
      <w:tblPr>
        <w:tblW w:w="7900" w:type="dxa"/>
        <w:jc w:val="left"/>
        <w:tblInd w:w="0" w:type="dxa"/>
        <w:tblCellMar>
          <w:top w:w="0" w:type="dxa"/>
          <w:left w:w="0" w:type="dxa"/>
          <w:bottom w:w="0" w:type="dxa"/>
          <w:right w:w="0" w:type="dxa"/>
        </w:tblCellMar>
      </w:tblPr>
      <w:tblGrid>
        <w:gridCol w:w="75"/>
        <w:gridCol w:w="170"/>
        <w:gridCol w:w="76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6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costs of proxy statements, stockholders’ reports, and other communications with stockholders;</w:t>
            </w:r>
          </w:p>
        </w:tc>
      </w:tr>
    </w:tbl>
    <w:p>
      <w:pPr>
        <w:pStyle w:val="TextBody"/>
        <w:spacing w:before="0" w:after="0"/>
        <w:ind w:left="36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fidelity bond, directors’ and officers’ liability insurance, errors and omissions liability insurance, and other insurance premiums;</w:t>
            </w:r>
          </w:p>
        </w:tc>
      </w:tr>
    </w:tbl>
    <w:p>
      <w:pPr>
        <w:pStyle w:val="TextBody"/>
        <w:spacing w:before="0" w:after="0"/>
        <w:ind w:left="0" w:right="0" w:hanging="0"/>
        <w:rPr>
          <w:caps w:val="false"/>
          <w:smallCaps w:val="false"/>
        </w:rPr>
      </w:pPr>
      <w:r>
        <w:rPr>
          <w:caps w:val="false"/>
          <w:smallCaps w:val="false"/>
        </w:rPr>
        <w:t> </w:t>
      </w:r>
    </w:p>
    <w:tbl>
      <w:tblPr>
        <w:tblW w:w="7810" w:type="dxa"/>
        <w:jc w:val="left"/>
        <w:tblInd w:w="0" w:type="dxa"/>
        <w:tblCellMar>
          <w:top w:w="0" w:type="dxa"/>
          <w:left w:w="0" w:type="dxa"/>
          <w:bottom w:w="0" w:type="dxa"/>
          <w:right w:w="0" w:type="dxa"/>
        </w:tblCellMar>
      </w:tblPr>
      <w:tblGrid>
        <w:gridCol w:w="75"/>
        <w:gridCol w:w="170"/>
        <w:gridCol w:w="75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5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direct costs and expenses of administration, including printing, mailing, telephone, and staff;</w:t>
            </w:r>
          </w:p>
        </w:tc>
      </w:tr>
    </w:tbl>
    <w:p>
      <w:pPr>
        <w:pStyle w:val="TextBody"/>
        <w:spacing w:before="0" w:after="0"/>
        <w:ind w:left="0" w:right="0" w:hanging="0"/>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75"/>
        <w:gridCol w:w="170"/>
        <w:gridCol w:w="66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6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fees and expenses associated with independent audits and outside legal costs;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tc>
      </w:tr>
    </w:tbl>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fair value accounting to all of its financial instruments in accordance with the 1940 Act and ASC Topic 820 — </w:t>
      </w:r>
      <w:r>
        <w:rPr>
          <w:rFonts w:ascii="Times New Roman;Times;Serif" w:hAnsi="Times New Roman;Times;Serif"/>
          <w:b w:val="false"/>
          <w:i/>
          <w:caps w:val="false"/>
          <w:smallCaps w:val="false"/>
          <w:sz w:val="20"/>
        </w:rPr>
        <w:t xml:space="preserve">Fair Value Measurements and Disclosures </w:t>
      </w:r>
      <w:r>
        <w:rPr>
          <w:rFonts w:ascii="Times New Roman;Times;Serif" w:hAnsi="Times New Roman;Times;Serif"/>
          <w:b w:val="false"/>
          <w:i w:val="false"/>
          <w:caps w:val="false"/>
          <w:smallCaps w:val="false"/>
          <w:sz w:val="20"/>
        </w:rPr>
        <w:t>(“ASC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Valuations based on unadjusted quoted prices in active markets for identical assets or liabilities that the Company 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 Valuations based on quoted prices in markets that are not active or for which all significant inputs are observable, either directly or indirectly.</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Valuations based on inputs that are unobservable and significant to the overall fair value measurement.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used net asset value (“NAV”) as the fair value for its equity investment in CSLF II. CSLF II recorded its underlying investments at fair value on a quarterly basis in accordance with the 1940 Act and ASC 820.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Techniques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Value Waterfall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approach values an investment based on the value of the underlying collateral securing the investment.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recognition policies are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Interest income and paid-in-kind interest income: </w:t>
      </w:r>
      <w:r>
        <w:rPr>
          <w:rFonts w:ascii="Times New Roman;Times;Serif" w:hAnsi="Times New Roman;Times;Serif"/>
          <w:b w:val="false"/>
          <w:i w:val="false"/>
          <w:caps w:val="false"/>
          <w:smallCaps w:val="false"/>
          <w:sz w:val="20"/>
        </w:rPr>
        <w:t>Interest income is recorded on the accrual basis to the extent that such amounts are expected to be collected. The Company has loans in the portfolio that contain a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Non-accrual investments: </w:t>
      </w:r>
      <w:r>
        <w:rPr>
          <w:rFonts w:ascii="Times New Roman;Times;Serif" w:hAnsi="Times New Roman;Times;Serif"/>
          <w:b w:val="false"/>
          <w:i w:val="false"/>
          <w:caps w:val="false"/>
          <w:smallCaps w:val="false"/>
          <w:sz w:val="20"/>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Gains and losses on investment sales and paydowns: </w:t>
      </w:r>
      <w:r>
        <w:rPr>
          <w:rFonts w:ascii="Times New Roman;Times;Serif" w:hAnsi="Times New Roman;Times;Serif"/>
          <w:b w:val="false"/>
          <w:i w:val="false"/>
          <w:caps w:val="false"/>
          <w:smallCaps w:val="false"/>
          <w:sz w:val="20"/>
        </w:rPr>
        <w:t>Realized gains and losses on investments are recognized using the specific identification method.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 income and paid-in-kind dividends: </w:t>
      </w:r>
      <w:r>
        <w:rPr>
          <w:rFonts w:ascii="Times New Roman;Times;Serif" w:hAnsi="Times New Roman;Times;Serif"/>
          <w:b w:val="false"/>
          <w:i w:val="false"/>
          <w:caps w:val="false"/>
          <w:smallCaps w:val="false"/>
          <w:sz w:val="20"/>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Original issue discount: </w:t>
      </w:r>
      <w:r>
        <w:rPr>
          <w:rFonts w:ascii="Times New Roman;Times;Serif" w:hAnsi="Times New Roman;Times;Serif"/>
          <w:b w:val="false"/>
          <w:i w:val="false"/>
          <w:caps w:val="false"/>
          <w:smallCaps w:val="false"/>
          <w:sz w:val="20"/>
        </w:rPr>
        <w:t>Discounts received to par on loans purchased are capitalized and accreted into income over the life of the loan. Any remaining discount is accreted into income upon prepayment of the loan.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income: </w:t>
      </w:r>
      <w:r>
        <w:rPr>
          <w:rFonts w:ascii="Times New Roman;Times;Serif" w:hAnsi="Times New Roman;Times;Serif"/>
          <w:b w:val="false"/>
          <w:i w:val="false"/>
          <w:caps w:val="false"/>
          <w:smallCaps w:val="false"/>
          <w:sz w:val="20"/>
        </w:rPr>
        <w:t>Origination fees (to the extent services are performed to earn such income), amendment fees, consent fees, and other fees associated with investments in portfolio companies are recognized as income when the investment transaction closes. Prepayment penalties received by the Company for debt instruments repaid prior to the maturity date are recorded as income upon receipt.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Company elected to amend its tax year end from August 31 to December 31 and filed a tax return for the four months ended December 31, 2017.</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periods ended December 31, 2019, December 31, 2018, December 31, 2017, and August 31, 2017 remain subject to examination by U.S. federal, state, and local tax authorities. No interest expense or penalties have been assessed for the periods ended September 30, 2020 and 2019. If the Company was required to recognize interest and penalties, if any, related to unrecognized tax benefits this would be recognized as income tax expense in the consolidated statements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Taxable Subsidiaries record deferred tax assets or liabilities related to temporary book versus tax differences on the income or loss generated by the underlying equity investments held by the Taxable Subsidiaries. As of September 30, 2020 and December 31, 2019, the Company recorded a net deferred tax asset of $0.0. For the three and nine months ended September 30, 2020, the Company recorded a tax provision of $0.0. For the three and nine months ended September 30, 2019, the Company recorded a tax provision of $0.0 and $(0.6) million, respectively. As of September 30, 2020 and December 31, 2019, the valuation allowance on the Company’s deferred tax asset was $5.0 million and $3.2 million, respectively. During the three and nine months ended September 30, 2020, the Company recognized an increase in the valuation allowance of $1.0 million and $1.8 million, respectively. During the three and nine months ended September 30, 2019, the Company recognized an increase in the valuation allowance of $0.7 million and $2.7 million,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(which has been temporarily reduced to 10% for distributions declared on or after April 1, 2020, and on or before December 31, 2020)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(which has been temporarily reduced to 10% for distributions declared on or after April 1, 2020, and on or before December 31, 2020) of its entire distribution in cash. If these and certain other requirements are met, for U.S. federal income tax purposes, the amount of the dividend paid in stock will be equal to the amount of cash that could have been received instead of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49</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Topic 740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2020 and December 31, 2019, there were no uncertain tax positions.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provides guidance on thresholds, measurement, de-recognition, classification, interest and penalties, accounting in interim periods, disclosure, and transition that is intended to provide better financial statement comparability among different entities.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it was not necessary to record a liability for any such tax positions as of September 30, 2020 and December 31, 2019. However, the Company’s conclusions regarding this policy may be subject to review and adjustment at a later date based on factors including, but not limited to, ongoing analyses of, and changes to, tax laws, regulations, and interpretations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and Investment Activity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September 30, 2020, our portfolio consisted of investments in 36 portfolio companies with a fair value of approximately $280.2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2020, 14.1%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2020, we made approximately $0.3 million of investments and had approximately $10.3 million in repayments and sales, resulting in net repayments and sales of approximately $10.0 million for the period. During the three months ended September 30, 2019, we made approximately $13.9 million of investments and had approximately $33.2 million in repayments and sales, resulting in net repayments and sales of approximately $19.3 million for the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2020, we made approximately $21.1 million of investments and had approximately $69.2 million in repayments and sales, resulting in net repayments and sales of approximately $48.1 million for the period. During the nine months ended September 30, 2019, we made approximately $48.8 million of investments and had approximately $91.3 million in repayments and sales, resulting in net repayments and sales of approximately $42.5 million for the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our debt investment portfolio, which represented 80.1% of the fair value of our total portfolio, had a weighted average annualized yield of approximately 10.6%. As of September 30, 2020, 45.9% of the fair value of our debt investment portfolio was bearing a fixed rate of interest. As of December 31, 2019, our debt investment portfolio, which represented 78.6% of the fair value of our total portfolio, had a weighted average annualized yield of approximately 11.5%. As of December 31, 2019, 37.2% of the fair value of our debt investment portfolio was bearing a fixed rate of interest.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50</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the Board approved the fair value of our investment portfolio of approximately $280.2 million in good faith in accordance with our valuation procedures. The Board approved the fair value of our investment portfolio as of September 30, 2020 with input from a third-party valuation firm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September 30, 2020 by circumstances and events that are not yet known.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we had debt investments in three portfolio companies on non-accrual status with an aggregate amortized cost of $22.0 million and an aggregate fair value of $18.0 million, which represented 7.8% and 6.4% of the investment portfolio, respectively. As of December 31, 2019, we had no investments on non-accrual status. The increase in non-accrual investments from December 31, 2019 to September 30, 2020 was largely driven by the economic impact of the COVID-19 pandemic.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September 30, 2020 (dollars in thousands): </w:t>
      </w:r>
    </w:p>
    <w:p>
      <w:pPr>
        <w:pStyle w:val="TextBody"/>
        <w:spacing w:before="0" w:after="0"/>
        <w:ind w:left="0" w:right="0" w:firstLine="720"/>
        <w:jc w:val="both"/>
        <w:rPr>
          <w:caps w:val="false"/>
          <w:smallCaps w:val="false"/>
        </w:rPr>
      </w:pPr>
      <w:r>
        <w:rPr>
          <w:caps w:val="false"/>
          <w:smallCaps w:val="false"/>
        </w:rPr>
        <w:t> </w:t>
      </w:r>
    </w:p>
    <w:tbl>
      <w:tblPr>
        <w:tblW w:w="7160" w:type="dxa"/>
        <w:jc w:val="left"/>
        <w:tblInd w:w="0" w:type="dxa"/>
        <w:tblCellMar>
          <w:top w:w="0" w:type="dxa"/>
          <w:left w:w="0" w:type="dxa"/>
          <w:bottom w:w="0" w:type="dxa"/>
          <w:right w:w="0" w:type="dxa"/>
        </w:tblCellMar>
      </w:tblPr>
      <w:tblGrid>
        <w:gridCol w:w="1700"/>
        <w:gridCol w:w="60"/>
        <w:gridCol w:w="204"/>
        <w:gridCol w:w="1136"/>
        <w:gridCol w:w="60"/>
        <w:gridCol w:w="60"/>
        <w:gridCol w:w="129"/>
        <w:gridCol w:w="1046"/>
        <w:gridCol w:w="185"/>
        <w:gridCol w:w="60"/>
        <w:gridCol w:w="156"/>
        <w:gridCol w:w="869"/>
        <w:gridCol w:w="60"/>
        <w:gridCol w:w="60"/>
        <w:gridCol w:w="129"/>
        <w:gridCol w:w="1046"/>
        <w:gridCol w:w="200"/>
      </w:tblGrid>
      <w:tr>
        <w:trPr/>
        <w:tc>
          <w:tcPr>
            <w:tcW w:w="17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Amortized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37,487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7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283,197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December 31, 2019 (dollars in thousands):</w:t>
      </w:r>
    </w:p>
    <w:p>
      <w:pPr>
        <w:pStyle w:val="TextBody"/>
        <w:spacing w:before="0" w:after="0"/>
        <w:ind w:left="0" w:right="0" w:firstLine="540"/>
        <w:jc w:val="both"/>
        <w:rPr>
          <w:caps w:val="false"/>
          <w:smallCaps w:val="false"/>
        </w:rPr>
      </w:pPr>
      <w:r>
        <w:rPr>
          <w:caps w:val="false"/>
          <w:smallCaps w:val="false"/>
        </w:rPr>
        <w:t> </w:t>
      </w:r>
    </w:p>
    <w:tbl>
      <w:tblPr>
        <w:tblW w:w="8315" w:type="dxa"/>
        <w:jc w:val="left"/>
        <w:tblInd w:w="0" w:type="dxa"/>
        <w:tblCellMar>
          <w:top w:w="0" w:type="dxa"/>
          <w:left w:w="0" w:type="dxa"/>
          <w:bottom w:w="0" w:type="dxa"/>
          <w:right w:w="0" w:type="dxa"/>
        </w:tblCellMar>
      </w:tblPr>
      <w:tblGrid>
        <w:gridCol w:w="2855"/>
        <w:gridCol w:w="60"/>
        <w:gridCol w:w="204"/>
        <w:gridCol w:w="1136"/>
        <w:gridCol w:w="60"/>
        <w:gridCol w:w="60"/>
        <w:gridCol w:w="129"/>
        <w:gridCol w:w="1046"/>
        <w:gridCol w:w="185"/>
        <w:gridCol w:w="60"/>
        <w:gridCol w:w="156"/>
        <w:gridCol w:w="869"/>
        <w:gridCol w:w="60"/>
        <w:gridCol w:w="60"/>
        <w:gridCol w:w="129"/>
        <w:gridCol w:w="1046"/>
        <w:gridCol w:w="200"/>
      </w:tblGrid>
      <w:tr>
        <w:trPr/>
        <w:tc>
          <w:tcPr>
            <w:tcW w:w="28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Amortized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Lien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235,646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54,079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Senior Loan Fund II,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3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353,881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industry grouping at fair value as of September 30, 2020 and December 31, 2019 (dollars in thousands): </w:t>
      </w:r>
    </w:p>
    <w:p>
      <w:pPr>
        <w:pStyle w:val="TextBody"/>
        <w:spacing w:before="0" w:after="0"/>
        <w:ind w:left="0" w:right="0" w:firstLine="720"/>
        <w:jc w:val="both"/>
        <w:rPr>
          <w:caps w:val="false"/>
          <w:smallCaps w:val="false"/>
        </w:rPr>
      </w:pPr>
      <w:r>
        <w:rPr>
          <w:caps w:val="false"/>
          <w:smallCaps w:val="false"/>
        </w:rPr>
        <w:t> </w:t>
      </w:r>
    </w:p>
    <w:tbl>
      <w:tblPr>
        <w:tblW w:w="8702" w:type="dxa"/>
        <w:jc w:val="left"/>
        <w:tblInd w:w="0" w:type="dxa"/>
        <w:tblCellMar>
          <w:top w:w="0" w:type="dxa"/>
          <w:left w:w="0" w:type="dxa"/>
          <w:bottom w:w="0" w:type="dxa"/>
          <w:right w:w="0" w:type="dxa"/>
        </w:tblCellMar>
      </w:tblPr>
      <w:tblGrid>
        <w:gridCol w:w="3905"/>
        <w:gridCol w:w="60"/>
        <w:gridCol w:w="156"/>
        <w:gridCol w:w="869"/>
        <w:gridCol w:w="68"/>
        <w:gridCol w:w="68"/>
        <w:gridCol w:w="106"/>
        <w:gridCol w:w="859"/>
        <w:gridCol w:w="185"/>
        <w:gridCol w:w="60"/>
        <w:gridCol w:w="156"/>
        <w:gridCol w:w="869"/>
        <w:gridCol w:w="66"/>
        <w:gridCol w:w="66"/>
        <w:gridCol w:w="110"/>
        <w:gridCol w:w="899"/>
        <w:gridCol w:w="200"/>
      </w:tblGrid>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2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6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w:t>
              <w:br/>
              <w:t xml:space="preserve">Total </w:t>
              <w:br/>
              <w:t>Portfolio</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66" w:type="dxa"/>
            <w:tcBorders/>
            <w:shd w:fill="auto" w:val="clear"/>
            <w:vAlign w:val="center"/>
          </w:tcPr>
          <w:p>
            <w:pPr>
              <w:pStyle w:val="TableContents"/>
              <w:spacing w:before="0" w:after="283"/>
              <w:rPr>
                <w:caps w:val="false"/>
                <w:smallCaps w:val="false"/>
              </w:rPr>
            </w:pPr>
            <w:r>
              <w:rPr>
                <w:caps w:val="false"/>
                <w:smallCaps w:val="false"/>
              </w:rPr>
              <w:t> </w:t>
            </w:r>
          </w:p>
        </w:tc>
        <w:tc>
          <w:tcPr>
            <w:tcW w:w="66" w:type="dxa"/>
            <w:tcBorders/>
            <w:shd w:fill="auto" w:val="clear"/>
            <w:vAlign w:val="center"/>
          </w:tcPr>
          <w:p>
            <w:pPr>
              <w:pStyle w:val="TableContents"/>
              <w:spacing w:before="0" w:after="283"/>
              <w:rPr>
                <w:caps w:val="false"/>
                <w:smallCaps w:val="false"/>
              </w:rPr>
            </w:pPr>
            <w:r>
              <w:rPr>
                <w:caps w:val="false"/>
                <w:smallCaps w:val="false"/>
              </w:rPr>
              <w:t> </w:t>
            </w:r>
          </w:p>
        </w:tc>
        <w:tc>
          <w:tcPr>
            <w:tcW w:w="100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w:t>
              <w:br/>
              <w:t>of</w:t>
              <w:br/>
              <w:t xml:space="preserve">Total </w:t>
              <w:br/>
              <w:t>Portfolio</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30,503</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40,410</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29,943</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29,517</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24,086</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27,928</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&amp; Marketing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20,377</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19,291</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Products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16,058</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25,118</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System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15,150</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16,063</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Automobile Part Manufacturer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13,992</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15,056</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13,422</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13,773</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Multi-Platform Media and Consumer Products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Textile Equipment Manufacturer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12,253</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11,564</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11,041</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11,279</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Management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10,835</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12,607</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9,737</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9,513</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10,009</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Machine Repair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8,658</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Laboratories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7,790</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7,026</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Wireless Deployment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6,965</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 Distributor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4,904</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&amp; Marketing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3,771</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4,749</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QSR Franchisor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3,627</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Repair Parts Manufacturer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Merchandise Retailer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Footwear Retail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&amp; Gas Engineering and Consulting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5,908</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Household Product Manufacturer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Processing &amp; Digital Marketing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Industrial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&amp; Gas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Product Manufacturer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17,609</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Funds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10,045</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4,697</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Logistics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2,924</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Supply Retail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and Personal Digital Imaging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06"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5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investments made by the Company as of September 30, 2020 and December 31, 2019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2020 and December 31, 2019 (dollars in thousands):</w:t>
      </w:r>
    </w:p>
    <w:p>
      <w:pPr>
        <w:pStyle w:val="TextBody"/>
        <w:spacing w:before="0" w:after="0"/>
        <w:ind w:left="0" w:right="0" w:firstLine="720"/>
        <w:jc w:val="both"/>
        <w:rPr>
          <w:caps w:val="false"/>
          <w:smallCaps w:val="false"/>
        </w:rPr>
      </w:pPr>
      <w:r>
        <w:rPr>
          <w:caps w:val="false"/>
          <w:smallCaps w:val="false"/>
        </w:rPr>
        <w:t> </w:t>
      </w:r>
    </w:p>
    <w:tbl>
      <w:tblPr>
        <w:tblW w:w="6648" w:type="dxa"/>
        <w:jc w:val="left"/>
        <w:tblInd w:w="0" w:type="dxa"/>
        <w:tblCellMar>
          <w:top w:w="0" w:type="dxa"/>
          <w:left w:w="0" w:type="dxa"/>
          <w:bottom w:w="0" w:type="dxa"/>
          <w:right w:w="0" w:type="dxa"/>
        </w:tblCellMar>
      </w:tblPr>
      <w:tblGrid>
        <w:gridCol w:w="815"/>
        <w:gridCol w:w="60"/>
        <w:gridCol w:w="188"/>
        <w:gridCol w:w="1047"/>
        <w:gridCol w:w="68"/>
        <w:gridCol w:w="68"/>
        <w:gridCol w:w="142"/>
        <w:gridCol w:w="1153"/>
        <w:gridCol w:w="185"/>
        <w:gridCol w:w="60"/>
        <w:gridCol w:w="188"/>
        <w:gridCol w:w="1047"/>
        <w:gridCol w:w="66"/>
        <w:gridCol w:w="66"/>
        <w:gridCol w:w="142"/>
        <w:gridCol w:w="1153"/>
        <w:gridCol w:w="200"/>
      </w:tblGrid>
      <w:tr>
        <w:trPr/>
        <w:tc>
          <w:tcPr>
            <w:tcW w:w="8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66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66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8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at</w:t>
              <w:br/>
              <w:t>Fair Value</w:t>
            </w:r>
          </w:p>
        </w:tc>
        <w:tc>
          <w:tcPr>
            <w:tcW w:w="68"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8"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 Portfolio</w:t>
            </w:r>
          </w:p>
        </w:tc>
        <w:tc>
          <w:tcPr>
            <w:tcW w:w="1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at</w:t>
              <w:br/>
              <w:t>Fair Value</w:t>
            </w:r>
          </w:p>
        </w:tc>
        <w:tc>
          <w:tcPr>
            <w:tcW w:w="6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 Portfolio</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81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132,907</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165,963</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62,213</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70,102</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1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Midwest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47,732</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55,283</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1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Northeast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37,397</w:t>
            </w:r>
          </w:p>
        </w:tc>
        <w:tc>
          <w:tcPr>
            <w:tcW w:w="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71,184</w:t>
            </w:r>
          </w:p>
        </w:tc>
        <w:tc>
          <w:tcPr>
            <w:tcW w:w="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81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5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various risk management tools, our Investment Advisor uses an investment rating system to characterize and monitor our expected level of return on each investment in our portfolio.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investment rating system incorporates the following five categories:</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65"/>
        <w:gridCol w:w="60"/>
        <w:gridCol w:w="9180"/>
      </w:tblGrid>
      <w:tr>
        <w:trPr/>
        <w:tc>
          <w:tcPr>
            <w:tcW w:w="965" w:type="dxa"/>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Investment</w:t>
            </w:r>
            <w:r>
              <w:rPr>
                <w:sz w:val="20"/>
              </w:rPr>
              <w:br/>
            </w:r>
            <w:r>
              <w:rPr>
                <w:b/>
                <w:sz w:val="20"/>
              </w:rPr>
              <w:t>Rating</w:t>
            </w:r>
          </w:p>
        </w:tc>
        <w:tc>
          <w:tcPr>
            <w:tcW w:w="60" w:type="dxa"/>
            <w:tcBorders/>
            <w:shd w:fill="auto" w:val="clear"/>
            <w:tcMar>
              <w:bottom w:w="0" w:type="dxa"/>
            </w:tcMar>
            <w:vAlign w:val="center"/>
          </w:tcPr>
          <w:p>
            <w:pPr>
              <w:pStyle w:val="TableContents"/>
              <w:spacing w:before="0" w:after="283"/>
              <w:rPr/>
            </w:pPr>
            <w:r>
              <w:rPr/>
              <w:t> </w:t>
            </w:r>
          </w:p>
        </w:tc>
        <w:tc>
          <w:tcPr>
            <w:tcW w:w="91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Definition</w:t>
            </w:r>
          </w:p>
        </w:tc>
      </w:tr>
      <w:tr>
        <w:trPr/>
        <w:tc>
          <w:tcPr>
            <w:tcW w:w="96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pPr>
            <w:r>
              <w:rPr/>
              <w:t> </w:t>
            </w:r>
          </w:p>
        </w:tc>
      </w:tr>
      <w:tr>
        <w:trPr/>
        <w:tc>
          <w:tcPr>
            <w:tcW w:w="9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general, the investment may be performing above our internal expectations. Full return of principal and interest is expected. Capital gain is expected.</w:t>
            </w:r>
          </w:p>
        </w:tc>
      </w:tr>
      <w:tr>
        <w:trPr/>
        <w:tc>
          <w:tcPr>
            <w:tcW w:w="96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pPr>
            <w:r>
              <w:rPr/>
              <w:t> </w:t>
            </w:r>
          </w:p>
        </w:tc>
      </w:tr>
      <w:tr>
        <w:trPr/>
        <w:tc>
          <w:tcPr>
            <w:tcW w:w="9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tc>
      </w:tr>
      <w:tr>
        <w:trPr/>
        <w:tc>
          <w:tcPr>
            <w:tcW w:w="96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pPr>
            <w:r>
              <w:rPr/>
              <w:t> </w:t>
            </w:r>
          </w:p>
        </w:tc>
      </w:tr>
      <w:tr>
        <w:trPr/>
        <w:tc>
          <w:tcPr>
            <w:tcW w:w="9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tc>
      </w:tr>
      <w:tr>
        <w:trPr/>
        <w:tc>
          <w:tcPr>
            <w:tcW w:w="96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pPr>
            <w:r>
              <w:rPr/>
              <w:t> </w:t>
            </w:r>
          </w:p>
        </w:tc>
      </w:tr>
      <w:tr>
        <w:trPr/>
        <w:tc>
          <w:tcPr>
            <w:tcW w:w="9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general, the investment may be performing below internal expectations and quantitative or qualitative risks may have increased substantially since the original investment. Loss of some or all principal is expected.</w:t>
            </w:r>
          </w:p>
        </w:tc>
      </w:tr>
      <w:tr>
        <w:trPr/>
        <w:tc>
          <w:tcPr>
            <w:tcW w:w="96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pPr>
            <w:r>
              <w:rPr/>
              <w:t> </w:t>
            </w:r>
          </w:p>
        </w:tc>
      </w:tr>
      <w:tr>
        <w:trPr/>
        <w:tc>
          <w:tcPr>
            <w:tcW w:w="96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auto" w:val="clear"/>
            <w:tcMar>
              <w:bottom w:w="0" w:type="dxa"/>
            </w:tcMar>
            <w:vAlign w:val="center"/>
          </w:tcPr>
          <w:p>
            <w:pPr>
              <w:pStyle w:val="TableContents"/>
              <w:spacing w:before="0" w:after="283"/>
              <w:rPr/>
            </w:pPr>
            <w:r>
              <w:rPr/>
              <w:t> </w:t>
            </w:r>
          </w:p>
        </w:tc>
        <w:tc>
          <w:tcPr>
            <w:tcW w:w="9180" w:type="dxa"/>
            <w:tcBorders/>
            <w:shd w:fill="auto"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general, the investment may be performing substantially below our internal expectations and a number of quantitative or qualitative risks may have increased substantially since the original investment. Loss of some or all principal is expected.</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distribution of our investments on the 1 to 5 investment rating scale at fair value as of September 30, 2020 and December 31, 2019 (dollars in thousands):</w:t>
      </w:r>
    </w:p>
    <w:p>
      <w:pPr>
        <w:pStyle w:val="TextBody"/>
        <w:spacing w:before="0" w:after="0"/>
        <w:ind w:left="0" w:right="0" w:firstLine="720"/>
        <w:jc w:val="both"/>
        <w:rPr>
          <w:caps w:val="false"/>
          <w:smallCaps w:val="false"/>
        </w:rPr>
      </w:pPr>
      <w:r>
        <w:rPr>
          <w:caps w:val="false"/>
          <w:smallCaps w:val="false"/>
        </w:rPr>
        <w:t> </w:t>
      </w:r>
    </w:p>
    <w:tbl>
      <w:tblPr>
        <w:tblW w:w="7171" w:type="dxa"/>
        <w:jc w:val="left"/>
        <w:tblInd w:w="0" w:type="dxa"/>
        <w:tblCellMar>
          <w:top w:w="0" w:type="dxa"/>
          <w:left w:w="0" w:type="dxa"/>
          <w:bottom w:w="0" w:type="dxa"/>
          <w:right w:w="0" w:type="dxa"/>
        </w:tblCellMar>
      </w:tblPr>
      <w:tblGrid>
        <w:gridCol w:w="1580"/>
        <w:gridCol w:w="60"/>
        <w:gridCol w:w="187"/>
        <w:gridCol w:w="1047"/>
        <w:gridCol w:w="86"/>
        <w:gridCol w:w="86"/>
        <w:gridCol w:w="128"/>
        <w:gridCol w:w="1046"/>
        <w:gridCol w:w="185"/>
        <w:gridCol w:w="60"/>
        <w:gridCol w:w="177"/>
        <w:gridCol w:w="985"/>
        <w:gridCol w:w="85"/>
        <w:gridCol w:w="85"/>
        <w:gridCol w:w="128"/>
        <w:gridCol w:w="1046"/>
        <w:gridCol w:w="200"/>
      </w:tblGrid>
      <w:tr>
        <w:trPr/>
        <w:tc>
          <w:tcPr>
            <w:tcW w:w="15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58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2020</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50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80"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Rating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at</w:t>
              <w:br/>
              <w:t>Fair Value</w:t>
            </w:r>
          </w:p>
        </w:tc>
        <w:tc>
          <w:tcPr>
            <w:tcW w:w="86" w:type="dxa"/>
            <w:tcBorders/>
            <w:shd w:fill="auto" w:val="clear"/>
            <w:vAlign w:val="center"/>
          </w:tcPr>
          <w:p>
            <w:pPr>
              <w:pStyle w:val="TableContents"/>
              <w:spacing w:before="0" w:after="283"/>
              <w:rPr>
                <w:caps w:val="false"/>
                <w:smallCaps w:val="false"/>
              </w:rPr>
            </w:pPr>
            <w:r>
              <w:rPr>
                <w:caps w:val="false"/>
                <w:smallCaps w:val="false"/>
              </w:rPr>
              <w:t> </w:t>
            </w:r>
          </w:p>
        </w:tc>
        <w:tc>
          <w:tcPr>
            <w:tcW w:w="86"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br/>
              <w:t>Investments</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6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br/>
              <w:t>at</w:t>
              <w:br/>
              <w:t>Fair Value</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Total</w:t>
              <w:br/>
              <w:t>Investments</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77,314</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85,688</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179,355</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219,855</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5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5,561</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56,989</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5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18,019</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8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spacing w:before="0" w:after="283"/>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5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280,249</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362,532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Capitala Senior Loan Fund II,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53</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1-month LIBOR + 2.25%. During the nine months ended September 30, 2020,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$12.7 million was outstanding under the CSLF II Credit Facility. For the three and nine months ended September 30, 2020, CSLF II incurred interest and financing expenses of $0.0 and $1.1 million, respectively. For the three and nine months ended September 30, 2019, CSLF II incurred interest and financing expenses of $9.0 thousand.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2019, $0.0 was outstanding on the Subordinated Notes. As of December 31, 2019, the Company and Trinity had $5.0 million and $20.0 million of unfunded commitments related to the Subordinated Notes, respectively. For the three and nine months ended September 30, 2020 and 2019, CSLF II did not incur any interest and financing expenses related to the Subordinated Notes.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CSLF II’s portfolio as of December 31, 2019 (dollars in thousands):  </w:t>
      </w:r>
    </w:p>
    <w:p>
      <w:pPr>
        <w:pStyle w:val="TextBody"/>
        <w:spacing w:before="0" w:after="0"/>
        <w:ind w:left="0" w:right="0" w:firstLine="720"/>
        <w:jc w:val="both"/>
        <w:rPr>
          <w:caps w:val="false"/>
          <w:smallCaps w:val="false"/>
        </w:rPr>
      </w:pPr>
      <w:r>
        <w:rPr>
          <w:caps w:val="false"/>
          <w:smallCaps w:val="false"/>
        </w:rPr>
        <w:t> </w:t>
      </w:r>
    </w:p>
    <w:tbl>
      <w:tblPr>
        <w:tblW w:w="6464" w:type="dxa"/>
        <w:jc w:val="left"/>
        <w:tblInd w:w="0" w:type="dxa"/>
        <w:tblCellMar>
          <w:top w:w="0" w:type="dxa"/>
          <w:left w:w="0" w:type="dxa"/>
          <w:bottom w:w="0" w:type="dxa"/>
          <w:right w:w="0" w:type="dxa"/>
        </w:tblCellMar>
      </w:tblPr>
      <w:tblGrid>
        <w:gridCol w:w="4565"/>
        <w:gridCol w:w="60"/>
        <w:gridCol w:w="284"/>
        <w:gridCol w:w="1355"/>
        <w:gridCol w:w="200"/>
      </w:tblGrid>
      <w:tr>
        <w:trPr/>
        <w:tc>
          <w:tcPr>
            <w:tcW w:w="45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lien loans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current interest rate on first lien loans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portfolio companies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Largest portfolio company investment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of five largest portfolio company investments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4780" w:type="dxa"/>
        <w:jc w:val="left"/>
        <w:tblInd w:w="0" w:type="dxa"/>
        <w:tblCellMar>
          <w:top w:w="0" w:type="dxa"/>
          <w:left w:w="0" w:type="dxa"/>
          <w:bottom w:w="0" w:type="dxa"/>
          <w:right w:w="0" w:type="dxa"/>
        </w:tblCellMar>
      </w:tblPr>
      <w:tblGrid>
        <w:gridCol w:w="260"/>
        <w:gridCol w:w="452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520" w:type="dxa"/>
            <w:tcBorders/>
            <w:shd w:fill="auto" w:val="clear"/>
            <w:vAlign w:val="center"/>
          </w:tcPr>
          <w:p>
            <w:pPr>
              <w:pStyle w:val="TableContents"/>
              <w:spacing w:before="0" w:after="283"/>
              <w:jc w:val="both"/>
              <w:rPr/>
            </w:pPr>
            <w:r>
              <w:rPr/>
              <w:t>  </w:t>
            </w:r>
            <w:r>
              <w:rPr>
                <w:rFonts w:ascii="Times New Roman;Times;Serif" w:hAnsi="Times New Roman;Times;Serif"/>
                <w:sz w:val="20"/>
              </w:rPr>
              <w:t>Based on principal amount outstanding at period end.</w:t>
            </w:r>
          </w:p>
        </w:tc>
      </w:tr>
    </w:tbl>
    <w:p>
      <w:pPr>
        <w:pStyle w:val="TextBody"/>
        <w:spacing w:before="0" w:after="0"/>
        <w:ind w:left="360" w:right="0" w:hanging="36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CSLF II’s schedule of investments as of December 31, 2019 (dollars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96"/>
        <w:gridCol w:w="60"/>
        <w:gridCol w:w="1621"/>
        <w:gridCol w:w="60"/>
        <w:gridCol w:w="3738"/>
        <w:gridCol w:w="60"/>
        <w:gridCol w:w="142"/>
        <w:gridCol w:w="673"/>
        <w:gridCol w:w="60"/>
        <w:gridCol w:w="60"/>
        <w:gridCol w:w="125"/>
        <w:gridCol w:w="590"/>
        <w:gridCol w:w="60"/>
        <w:gridCol w:w="60"/>
        <w:gridCol w:w="143"/>
        <w:gridCol w:w="679"/>
        <w:gridCol w:w="78"/>
      </w:tblGrid>
      <w:tr>
        <w:trPr/>
        <w:tc>
          <w:tcPr>
            <w:tcW w:w="199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Portfolio Company</w:t>
            </w:r>
          </w:p>
        </w:tc>
        <w:tc>
          <w:tcPr>
            <w:tcW w:w="60" w:type="dxa"/>
            <w:tcBorders/>
            <w:shd w:fill="auto" w:val="clear"/>
            <w:tcMar>
              <w:bottom w:w="0" w:type="dxa"/>
            </w:tcMar>
            <w:vAlign w:val="center"/>
          </w:tcPr>
          <w:p>
            <w:pPr>
              <w:pStyle w:val="TableContents"/>
              <w:spacing w:before="0" w:after="283"/>
              <w:rPr/>
            </w:pPr>
            <w:r>
              <w:rPr/>
              <w:t> </w:t>
            </w:r>
          </w:p>
        </w:tc>
        <w:tc>
          <w:tcPr>
            <w:tcW w:w="162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Industry</w:t>
            </w:r>
          </w:p>
        </w:tc>
        <w:tc>
          <w:tcPr>
            <w:tcW w:w="60" w:type="dxa"/>
            <w:tcBorders/>
            <w:shd w:fill="auto" w:val="clear"/>
            <w:tcMar>
              <w:bottom w:w="0" w:type="dxa"/>
            </w:tcMar>
            <w:vAlign w:val="center"/>
          </w:tcPr>
          <w:p>
            <w:pPr>
              <w:pStyle w:val="TableContents"/>
              <w:spacing w:before="0" w:after="283"/>
              <w:rPr/>
            </w:pPr>
            <w:r>
              <w:rPr/>
              <w:t> </w:t>
            </w:r>
          </w:p>
        </w:tc>
        <w:tc>
          <w:tcPr>
            <w:tcW w:w="373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Type of Investment</w:t>
            </w:r>
          </w:p>
        </w:tc>
        <w:tc>
          <w:tcPr>
            <w:tcW w:w="60" w:type="dxa"/>
            <w:tcBorders/>
            <w:shd w:fill="auto" w:val="clear"/>
            <w:tcMar>
              <w:bottom w:w="0" w:type="dxa"/>
            </w:tcMar>
            <w:vAlign w:val="center"/>
          </w:tcPr>
          <w:p>
            <w:pPr>
              <w:pStyle w:val="TableContents"/>
              <w:spacing w:before="0" w:after="283"/>
              <w:rPr/>
            </w:pPr>
            <w:r>
              <w:rPr/>
              <w:t> </w:t>
            </w:r>
          </w:p>
        </w:tc>
        <w:tc>
          <w:tcPr>
            <w:tcW w:w="815" w:type="dxa"/>
            <w:gridSpan w:val="2"/>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Principal</w:t>
            </w:r>
            <w:r>
              <w:rPr>
                <w:sz w:val="20"/>
              </w:rPr>
              <w:br/>
            </w:r>
            <w:r>
              <w:rPr>
                <w:b/>
                <w:sz w:val="20"/>
              </w:rPr>
              <w:t>Amount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22"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78" w:type="dxa"/>
            <w:tcBorders/>
            <w:shd w:fill="auto" w:val="clear"/>
            <w:tcMar>
              <w:bottom w:w="0" w:type="dxa"/>
            </w:tcMar>
            <w:vAlign w:val="center"/>
          </w:tcPr>
          <w:p>
            <w:pPr>
              <w:pStyle w:val="TableContents"/>
              <w:spacing w:before="0" w:after="283"/>
              <w:rPr/>
            </w:pPr>
            <w:r>
              <w:rPr/>
              <w:t> </w:t>
            </w:r>
          </w:p>
        </w:tc>
      </w:tr>
      <w:tr>
        <w:trPr/>
        <w:tc>
          <w:tcPr>
            <w:tcW w:w="1996" w:type="dxa"/>
            <w:tcBorders/>
            <w:shd w:fill="CCEE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Investments at Fair Value</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2" w:type="dxa"/>
            <w:tcBorders/>
            <w:shd w:fill="CCEEFF" w:val="clear"/>
            <w:tcMar>
              <w:bottom w:w="0" w:type="dxa"/>
            </w:tcMar>
            <w:vAlign w:val="center"/>
          </w:tcPr>
          <w:p>
            <w:pPr>
              <w:pStyle w:val="TableContents"/>
              <w:spacing w:before="0" w:after="283"/>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59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3" w:type="dxa"/>
            <w:tcBorders/>
            <w:shd w:fill="CCEEFF" w:val="clear"/>
            <w:tcMar>
              <w:bottom w:w="0" w:type="dxa"/>
            </w:tcMar>
            <w:vAlign w:val="center"/>
          </w:tcPr>
          <w:p>
            <w:pPr>
              <w:pStyle w:val="TableContents"/>
              <w:spacing w:before="0" w:after="283"/>
              <w:rPr/>
            </w:pPr>
            <w:r>
              <w:rPr/>
              <w:t> </w:t>
            </w:r>
          </w:p>
        </w:tc>
        <w:tc>
          <w:tcPr>
            <w:tcW w:w="679" w:type="dxa"/>
            <w:tcBorders/>
            <w:shd w:fill="CCEEFF" w:val="clear"/>
            <w:tcMar>
              <w:bottom w:w="0" w:type="dxa"/>
            </w:tcMar>
            <w:vAlign w:val="center"/>
          </w:tcPr>
          <w:p>
            <w:pPr>
              <w:pStyle w:val="TableContents"/>
              <w:spacing w:before="0" w:after="283"/>
              <w:jc w:val="right"/>
              <w:rPr/>
            </w:pPr>
            <w:r>
              <w:rPr/>
              <w:t> </w:t>
            </w:r>
          </w:p>
        </w:tc>
        <w:tc>
          <w:tcPr>
            <w:tcW w:w="78" w:type="dxa"/>
            <w:tcBorders/>
            <w:shd w:fill="CCEEFF" w:val="clear"/>
            <w:tcMar>
              <w:bottom w:w="0" w:type="dxa"/>
            </w:tcMar>
            <w:vAlign w:val="center"/>
          </w:tcPr>
          <w:p>
            <w:pPr>
              <w:pStyle w:val="TableContents"/>
              <w:spacing w:before="0" w:after="283"/>
              <w:rPr/>
            </w:pPr>
            <w:r>
              <w:rPr/>
              <w:t> </w:t>
            </w:r>
          </w:p>
        </w:tc>
      </w:tr>
      <w:tr>
        <w:trPr/>
        <w:tc>
          <w:tcPr>
            <w:tcW w:w="1996"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Freedom Electronics, LLC</w:t>
            </w:r>
          </w:p>
        </w:tc>
        <w:tc>
          <w:tcPr>
            <w:tcW w:w="60" w:type="dxa"/>
            <w:tcBorders/>
            <w:shd w:fill="FFFFFF" w:val="clear"/>
            <w:tcMar>
              <w:bottom w:w="0" w:type="dxa"/>
            </w:tcMar>
            <w:vAlign w:val="center"/>
          </w:tcPr>
          <w:p>
            <w:pPr>
              <w:pStyle w:val="TableContents"/>
              <w:spacing w:before="0" w:after="283"/>
              <w:rPr/>
            </w:pPr>
            <w:r>
              <w:rPr/>
              <w:t> </w:t>
            </w:r>
          </w:p>
        </w:tc>
        <w:tc>
          <w:tcPr>
            <w:tcW w:w="1621"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Electronic Machine Repair</w:t>
            </w:r>
          </w:p>
        </w:tc>
        <w:tc>
          <w:tcPr>
            <w:tcW w:w="60" w:type="dxa"/>
            <w:tcBorders/>
            <w:shd w:fill="FFFFFF" w:val="clear"/>
            <w:tcMar>
              <w:bottom w:w="0" w:type="dxa"/>
            </w:tcMar>
            <w:vAlign w:val="center"/>
          </w:tcPr>
          <w:p>
            <w:pPr>
              <w:pStyle w:val="TableContents"/>
              <w:spacing w:before="0" w:after="283"/>
              <w:rPr/>
            </w:pPr>
            <w:r>
              <w:rPr/>
              <w:t> </w:t>
            </w:r>
          </w:p>
        </w:tc>
        <w:tc>
          <w:tcPr>
            <w:tcW w:w="3738"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 (7.0% Cash (1 month LIBOR + 5.0%, 2.0% Floor), Due 12/20/23)</w:t>
            </w:r>
          </w:p>
        </w:tc>
        <w:tc>
          <w:tcPr>
            <w:tcW w:w="60" w:type="dxa"/>
            <w:tcBorders/>
            <w:shd w:fill="FFFFFF" w:val="clear"/>
            <w:tcMar>
              <w:bottom w:w="0" w:type="dxa"/>
            </w:tcMar>
            <w:vAlign w:val="center"/>
          </w:tcPr>
          <w:p>
            <w:pPr>
              <w:pStyle w:val="TableContents"/>
              <w:spacing w:before="0" w:after="283"/>
              <w:rPr/>
            </w:pPr>
            <w:r>
              <w:rPr/>
              <w:t> </w:t>
            </w:r>
          </w:p>
        </w:tc>
        <w:tc>
          <w:tcPr>
            <w:tcW w:w="142"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73"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5,445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5,445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3"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7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5,445</w:t>
            </w:r>
          </w:p>
        </w:tc>
        <w:tc>
          <w:tcPr>
            <w:tcW w:w="78" w:type="dxa"/>
            <w:tcBorders/>
            <w:shd w:fill="FFFFFF" w:val="clear"/>
            <w:tcMar>
              <w:bottom w:w="0" w:type="dxa"/>
            </w:tcMar>
            <w:vAlign w:val="center"/>
          </w:tcPr>
          <w:p>
            <w:pPr>
              <w:pStyle w:val="TableContents"/>
              <w:spacing w:before="0" w:after="283"/>
              <w:rPr/>
            </w:pPr>
            <w:r>
              <w:rPr/>
              <w:t> </w:t>
            </w:r>
          </w:p>
        </w:tc>
      </w:tr>
      <w:tr>
        <w:trPr/>
        <w:tc>
          <w:tcPr>
            <w:tcW w:w="1996"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Installs, LLC</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Logistics</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 (5.8% Cash (1 month LIBOR + 4.0%, 1.8% Floor), Due 6/20/23)</w:t>
            </w:r>
          </w:p>
        </w:tc>
        <w:tc>
          <w:tcPr>
            <w:tcW w:w="60" w:type="dxa"/>
            <w:tcBorders/>
            <w:shd w:fill="CCEEFF" w:val="clear"/>
            <w:tcMar>
              <w:bottom w:w="0" w:type="dxa"/>
            </w:tcMar>
            <w:vAlign w:val="center"/>
          </w:tcPr>
          <w:p>
            <w:pPr>
              <w:pStyle w:val="TableContents"/>
              <w:spacing w:before="0" w:after="283"/>
              <w:rPr/>
            </w:pPr>
            <w:r>
              <w:rPr/>
              <w:t> </w:t>
            </w:r>
          </w:p>
        </w:tc>
        <w:tc>
          <w:tcPr>
            <w:tcW w:w="142" w:type="dxa"/>
            <w:tcBorders/>
            <w:shd w:fill="CCEEFF" w:val="clear"/>
            <w:tcMar>
              <w:bottom w:w="0" w:type="dxa"/>
            </w:tcMar>
            <w:vAlign w:val="center"/>
          </w:tcPr>
          <w:p>
            <w:pPr>
              <w:pStyle w:val="TableContents"/>
              <w:spacing w:before="0" w:after="283"/>
              <w:rPr/>
            </w:pPr>
            <w:r>
              <w:rPr/>
              <w:t> </w:t>
            </w:r>
          </w:p>
        </w:tc>
        <w:tc>
          <w:tcPr>
            <w:tcW w:w="673"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7,443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7,443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3" w:type="dxa"/>
            <w:tcBorders/>
            <w:shd w:fill="CCEEFF" w:val="clear"/>
            <w:tcMar>
              <w:bottom w:w="0" w:type="dxa"/>
            </w:tcMar>
            <w:vAlign w:val="center"/>
          </w:tcPr>
          <w:p>
            <w:pPr>
              <w:pStyle w:val="TableContents"/>
              <w:spacing w:before="0" w:after="283"/>
              <w:rPr/>
            </w:pPr>
            <w:r>
              <w:rPr/>
              <w:t> </w:t>
            </w:r>
          </w:p>
        </w:tc>
        <w:tc>
          <w:tcPr>
            <w:tcW w:w="67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7,443</w:t>
            </w:r>
          </w:p>
        </w:tc>
        <w:tc>
          <w:tcPr>
            <w:tcW w:w="78" w:type="dxa"/>
            <w:tcBorders/>
            <w:shd w:fill="CCEEFF" w:val="clear"/>
            <w:tcMar>
              <w:bottom w:w="0" w:type="dxa"/>
            </w:tcMar>
            <w:vAlign w:val="center"/>
          </w:tcPr>
          <w:p>
            <w:pPr>
              <w:pStyle w:val="TableContents"/>
              <w:spacing w:before="0" w:after="283"/>
              <w:rPr/>
            </w:pPr>
            <w:r>
              <w:rPr/>
              <w:t> </w:t>
            </w:r>
          </w:p>
        </w:tc>
      </w:tr>
      <w:tr>
        <w:trPr/>
        <w:tc>
          <w:tcPr>
            <w:tcW w:w="1996"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RAM Payment, LLC</w:t>
            </w:r>
          </w:p>
        </w:tc>
        <w:tc>
          <w:tcPr>
            <w:tcW w:w="60" w:type="dxa"/>
            <w:tcBorders/>
            <w:shd w:fill="FFFFFF" w:val="clear"/>
            <w:tcMar>
              <w:bottom w:w="0" w:type="dxa"/>
            </w:tcMar>
            <w:vAlign w:val="center"/>
          </w:tcPr>
          <w:p>
            <w:pPr>
              <w:pStyle w:val="TableContents"/>
              <w:spacing w:before="0" w:after="283"/>
              <w:rPr/>
            </w:pPr>
            <w:r>
              <w:rPr/>
              <w:t> </w:t>
            </w:r>
          </w:p>
        </w:tc>
        <w:tc>
          <w:tcPr>
            <w:tcW w:w="1621"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Financial Services</w:t>
            </w:r>
          </w:p>
        </w:tc>
        <w:tc>
          <w:tcPr>
            <w:tcW w:w="60" w:type="dxa"/>
            <w:tcBorders/>
            <w:shd w:fill="FFFFFF" w:val="clear"/>
            <w:tcMar>
              <w:bottom w:w="0" w:type="dxa"/>
            </w:tcMar>
            <w:vAlign w:val="center"/>
          </w:tcPr>
          <w:p>
            <w:pPr>
              <w:pStyle w:val="TableContents"/>
              <w:spacing w:before="0" w:after="283"/>
              <w:rPr/>
            </w:pPr>
            <w:r>
              <w:rPr/>
              <w:t> </w:t>
            </w:r>
          </w:p>
        </w:tc>
        <w:tc>
          <w:tcPr>
            <w:tcW w:w="3738"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 (6.7% Cash (1 month LIBOR + 5.0%, 1.5% Floor), Due 1/4/24)</w:t>
            </w:r>
          </w:p>
        </w:tc>
        <w:tc>
          <w:tcPr>
            <w:tcW w:w="60" w:type="dxa"/>
            <w:tcBorders/>
            <w:shd w:fill="FFFFFF" w:val="clear"/>
            <w:tcMar>
              <w:bottom w:w="0" w:type="dxa"/>
            </w:tcMar>
            <w:vAlign w:val="center"/>
          </w:tcPr>
          <w:p>
            <w:pPr>
              <w:pStyle w:val="TableContents"/>
              <w:spacing w:before="0" w:after="283"/>
              <w:rPr/>
            </w:pPr>
            <w:r>
              <w:rPr/>
              <w:t> </w:t>
            </w:r>
          </w:p>
        </w:tc>
        <w:tc>
          <w:tcPr>
            <w:tcW w:w="142" w:type="dxa"/>
            <w:tcBorders/>
            <w:shd w:fill="FFFFFF" w:val="clear"/>
            <w:tcMar>
              <w:bottom w:w="0" w:type="dxa"/>
            </w:tcMar>
            <w:vAlign w:val="center"/>
          </w:tcPr>
          <w:p>
            <w:pPr>
              <w:pStyle w:val="TableContents"/>
              <w:spacing w:before="0" w:after="283"/>
              <w:rPr/>
            </w:pPr>
            <w:r>
              <w:rPr/>
              <w:t> </w:t>
            </w:r>
          </w:p>
        </w:tc>
        <w:tc>
          <w:tcPr>
            <w:tcW w:w="673"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6,653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6,653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3" w:type="dxa"/>
            <w:tcBorders/>
            <w:shd w:fill="FFFFFF" w:val="clear"/>
            <w:tcMar>
              <w:bottom w:w="0" w:type="dxa"/>
            </w:tcMar>
            <w:vAlign w:val="center"/>
          </w:tcPr>
          <w:p>
            <w:pPr>
              <w:pStyle w:val="TableContents"/>
              <w:spacing w:before="0" w:after="283"/>
              <w:rPr/>
            </w:pPr>
            <w:r>
              <w:rPr/>
              <w:t> </w:t>
            </w:r>
          </w:p>
        </w:tc>
        <w:tc>
          <w:tcPr>
            <w:tcW w:w="679"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6,653</w:t>
            </w:r>
          </w:p>
        </w:tc>
        <w:tc>
          <w:tcPr>
            <w:tcW w:w="78" w:type="dxa"/>
            <w:tcBorders/>
            <w:shd w:fill="FFFFFF" w:val="clear"/>
            <w:tcMar>
              <w:bottom w:w="0" w:type="dxa"/>
            </w:tcMar>
            <w:vAlign w:val="center"/>
          </w:tcPr>
          <w:p>
            <w:pPr>
              <w:pStyle w:val="TableContents"/>
              <w:spacing w:before="0" w:after="283"/>
              <w:rPr/>
            </w:pPr>
            <w:r>
              <w:rPr/>
              <w:t> </w:t>
            </w:r>
          </w:p>
        </w:tc>
      </w:tr>
      <w:tr>
        <w:trPr/>
        <w:tc>
          <w:tcPr>
            <w:tcW w:w="1996"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Rapid Fire Protection, Inc.</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Security System Services</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 (5.5% Cash (1 month LIBOR + 3.8%, 1.8% Floor), Due 11/22/24)</w:t>
            </w:r>
          </w:p>
        </w:tc>
        <w:tc>
          <w:tcPr>
            <w:tcW w:w="60" w:type="dxa"/>
            <w:tcBorders/>
            <w:shd w:fill="CCEEFF" w:val="clear"/>
            <w:tcMar>
              <w:bottom w:w="0" w:type="dxa"/>
            </w:tcMar>
            <w:vAlign w:val="center"/>
          </w:tcPr>
          <w:p>
            <w:pPr>
              <w:pStyle w:val="TableContents"/>
              <w:spacing w:before="0" w:after="283"/>
              <w:rPr/>
            </w:pPr>
            <w:r>
              <w:rPr/>
              <w:t> </w:t>
            </w:r>
          </w:p>
        </w:tc>
        <w:tc>
          <w:tcPr>
            <w:tcW w:w="142" w:type="dxa"/>
            <w:tcBorders/>
            <w:shd w:fill="CCEEFF" w:val="clear"/>
            <w:tcMar>
              <w:bottom w:w="0" w:type="dxa"/>
            </w:tcMar>
            <w:vAlign w:val="center"/>
          </w:tcPr>
          <w:p>
            <w:pPr>
              <w:pStyle w:val="TableContents"/>
              <w:spacing w:before="0" w:after="283"/>
              <w:rPr/>
            </w:pPr>
            <w:r>
              <w:rPr/>
              <w:t> </w:t>
            </w:r>
          </w:p>
        </w:tc>
        <w:tc>
          <w:tcPr>
            <w:tcW w:w="673"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3" w:type="dxa"/>
            <w:tcBorders/>
            <w:shd w:fill="CCEEFF" w:val="clear"/>
            <w:tcMar>
              <w:bottom w:w="0" w:type="dxa"/>
            </w:tcMar>
            <w:vAlign w:val="center"/>
          </w:tcPr>
          <w:p>
            <w:pPr>
              <w:pStyle w:val="TableContents"/>
              <w:spacing w:before="0" w:after="283"/>
              <w:rPr/>
            </w:pPr>
            <w:r>
              <w:rPr/>
              <w:t> </w:t>
            </w:r>
          </w:p>
        </w:tc>
        <w:tc>
          <w:tcPr>
            <w:tcW w:w="679"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4,400</w:t>
            </w:r>
          </w:p>
        </w:tc>
        <w:tc>
          <w:tcPr>
            <w:tcW w:w="78" w:type="dxa"/>
            <w:tcBorders/>
            <w:shd w:fill="CCEEFF" w:val="clear"/>
            <w:tcMar>
              <w:bottom w:w="0" w:type="dxa"/>
            </w:tcMar>
            <w:vAlign w:val="center"/>
          </w:tcPr>
          <w:p>
            <w:pPr>
              <w:pStyle w:val="TableContents"/>
              <w:spacing w:before="0" w:after="283"/>
              <w:rPr/>
            </w:pPr>
            <w:r>
              <w:rPr/>
              <w:t> </w:t>
            </w:r>
          </w:p>
        </w:tc>
      </w:tr>
      <w:tr>
        <w:trPr/>
        <w:tc>
          <w:tcPr>
            <w:tcW w:w="199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 BioTek Laboratories, LLC</w:t>
            </w:r>
          </w:p>
        </w:tc>
        <w:tc>
          <w:tcPr>
            <w:tcW w:w="60" w:type="dxa"/>
            <w:tcBorders/>
            <w:shd w:fill="auto" w:val="clear"/>
            <w:tcMar>
              <w:bottom w:w="0" w:type="dxa"/>
            </w:tcMar>
            <w:vAlign w:val="center"/>
          </w:tcPr>
          <w:p>
            <w:pPr>
              <w:pStyle w:val="TableContents"/>
              <w:spacing w:before="0" w:after="283"/>
              <w:rPr/>
            </w:pPr>
            <w:r>
              <w:rPr/>
              <w:t> </w:t>
            </w:r>
          </w:p>
        </w:tc>
        <w:tc>
          <w:tcPr>
            <w:tcW w:w="162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Testing Laboratories</w:t>
            </w:r>
          </w:p>
        </w:tc>
        <w:tc>
          <w:tcPr>
            <w:tcW w:w="60" w:type="dxa"/>
            <w:tcBorders/>
            <w:shd w:fill="auto" w:val="clear"/>
            <w:tcMar>
              <w:bottom w:w="0" w:type="dxa"/>
            </w:tcMar>
            <w:vAlign w:val="center"/>
          </w:tcPr>
          <w:p>
            <w:pPr>
              <w:pStyle w:val="TableContents"/>
              <w:spacing w:before="0" w:after="283"/>
              <w:rPr/>
            </w:pPr>
            <w:r>
              <w:rPr/>
              <w:t> </w:t>
            </w:r>
          </w:p>
        </w:tc>
        <w:tc>
          <w:tcPr>
            <w:tcW w:w="373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Lien Debt (7.0% Cash (3 month LIBOR + 5.0%, 2.0% Floor), Due 12/14/23)</w:t>
            </w:r>
          </w:p>
        </w:tc>
        <w:tc>
          <w:tcPr>
            <w:tcW w:w="60" w:type="dxa"/>
            <w:tcBorders/>
            <w:shd w:fill="auto" w:val="clear"/>
            <w:tcMar>
              <w:bottom w:w="0" w:type="dxa"/>
            </w:tcMar>
            <w:vAlign w:val="center"/>
          </w:tcPr>
          <w:p>
            <w:pPr>
              <w:pStyle w:val="TableContents"/>
              <w:spacing w:before="0" w:after="283"/>
              <w:rPr/>
            </w:pPr>
            <w:r>
              <w:rPr/>
              <w:t> </w:t>
            </w:r>
          </w:p>
        </w:tc>
        <w:tc>
          <w:tcPr>
            <w:tcW w:w="142" w:type="dxa"/>
            <w:tcBorders>
              <w:bottom w:val="single" w:sz="8" w:space="0" w:color="000000"/>
            </w:tcBorders>
            <w:shd w:fill="auto" w:val="clear"/>
            <w:vAlign w:val="center"/>
          </w:tcPr>
          <w:p>
            <w:pPr>
              <w:pStyle w:val="TableContents"/>
              <w:spacing w:before="0" w:after="283"/>
              <w:rPr/>
            </w:pPr>
            <w:r>
              <w:rPr/>
              <w:t> </w:t>
            </w:r>
          </w:p>
        </w:tc>
        <w:tc>
          <w:tcPr>
            <w:tcW w:w="673" w:type="dxa"/>
            <w:tcBorders>
              <w:bottom w:val="single" w:sz="8"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4,455</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 w:type="dxa"/>
            <w:tcBorders>
              <w:bottom w:val="single" w:sz="8" w:space="0" w:color="000000"/>
            </w:tcBorders>
            <w:shd w:fill="auto" w:val="clear"/>
            <w:vAlign w:val="center"/>
          </w:tcPr>
          <w:p>
            <w:pPr>
              <w:pStyle w:val="TableContents"/>
              <w:spacing w:before="0" w:after="283"/>
              <w:rPr/>
            </w:pPr>
            <w:r>
              <w:rPr/>
              <w:t> </w:t>
            </w:r>
          </w:p>
        </w:tc>
        <w:tc>
          <w:tcPr>
            <w:tcW w:w="590" w:type="dxa"/>
            <w:tcBorders>
              <w:bottom w:val="single" w:sz="8"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4,455</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3" w:type="dxa"/>
            <w:tcBorders>
              <w:bottom w:val="single" w:sz="8" w:space="0" w:color="000000"/>
            </w:tcBorders>
            <w:shd w:fill="auto" w:val="clear"/>
            <w:vAlign w:val="center"/>
          </w:tcPr>
          <w:p>
            <w:pPr>
              <w:pStyle w:val="TableContents"/>
              <w:spacing w:before="0" w:after="283"/>
              <w:rPr/>
            </w:pPr>
            <w:r>
              <w:rPr/>
              <w:t> </w:t>
            </w:r>
          </w:p>
        </w:tc>
        <w:tc>
          <w:tcPr>
            <w:tcW w:w="679" w:type="dxa"/>
            <w:tcBorders>
              <w:bottom w:val="single" w:sz="8" w:space="0" w:color="000000"/>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4,455</w:t>
            </w:r>
          </w:p>
        </w:tc>
        <w:tc>
          <w:tcPr>
            <w:tcW w:w="78" w:type="dxa"/>
            <w:tcBorders/>
            <w:shd w:fill="auto" w:val="clear"/>
            <w:tcMar>
              <w:bottom w:w="0" w:type="dxa"/>
            </w:tcMar>
            <w:vAlign w:val="center"/>
          </w:tcPr>
          <w:p>
            <w:pPr>
              <w:pStyle w:val="TableContents"/>
              <w:spacing w:before="0" w:after="283"/>
              <w:rPr/>
            </w:pPr>
            <w:r>
              <w:rPr/>
              <w:t> </w:t>
            </w:r>
          </w:p>
        </w:tc>
      </w:tr>
      <w:tr>
        <w:trPr/>
        <w:tc>
          <w:tcPr>
            <w:tcW w:w="1996" w:type="dxa"/>
            <w:tcBorders/>
            <w:shd w:fill="CCEE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TOTAL INVESTMENTS</w:t>
            </w:r>
          </w:p>
        </w:tc>
        <w:tc>
          <w:tcPr>
            <w:tcW w:w="60" w:type="dxa"/>
            <w:tcBorders/>
            <w:shd w:fill="CCEEFF" w:val="clear"/>
            <w:tcMar>
              <w:bottom w:w="0" w:type="dxa"/>
            </w:tcMar>
            <w:vAlign w:val="center"/>
          </w:tcPr>
          <w:p>
            <w:pPr>
              <w:pStyle w:val="TableContents"/>
              <w:spacing w:before="0" w:after="283"/>
              <w:rPr/>
            </w:pPr>
            <w:r>
              <w:rPr/>
              <w:t> </w:t>
            </w:r>
          </w:p>
        </w:tc>
        <w:tc>
          <w:tcPr>
            <w:tcW w:w="162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738"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2" w:type="dxa"/>
            <w:tcBorders>
              <w:bottom w:val="double" w:sz="6"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28,396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bottom w:val="double" w:sz="6"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28,396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3" w:type="dxa"/>
            <w:tcBorders>
              <w:bottom w:val="double" w:sz="6"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28,396</w:t>
            </w:r>
          </w:p>
        </w:tc>
        <w:tc>
          <w:tcPr>
            <w:tcW w:w="78"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140" w:type="dxa"/>
        <w:jc w:val="left"/>
        <w:tblInd w:w="0" w:type="dxa"/>
        <w:tblCellMar>
          <w:top w:w="0" w:type="dxa"/>
          <w:left w:w="0" w:type="dxa"/>
          <w:bottom w:w="0" w:type="dxa"/>
          <w:right w:w="0" w:type="dxa"/>
        </w:tblCellMar>
      </w:tblPr>
      <w:tblGrid>
        <w:gridCol w:w="260"/>
        <w:gridCol w:w="488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880" w:type="dxa"/>
            <w:tcBorders/>
            <w:shd w:fill="auto" w:val="clear"/>
            <w:vAlign w:val="center"/>
          </w:tcPr>
          <w:p>
            <w:pPr>
              <w:pStyle w:val="TableContents"/>
              <w:spacing w:before="0" w:after="283"/>
              <w:jc w:val="both"/>
              <w:rPr/>
            </w:pPr>
            <w:r>
              <w:rPr/>
              <w:t>  </w:t>
            </w:r>
            <w:r>
              <w:rPr>
                <w:rFonts w:ascii="Times New Roman;Times;Serif" w:hAnsi="Times New Roman;Times;Serif"/>
                <w:sz w:val="20"/>
              </w:rPr>
              <w:t>The investment had a $3.0 million unfunded commitment.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Below are the statements of assets and liabilities for CSLF II (dollars in thousands):</w:t>
      </w:r>
    </w:p>
    <w:p>
      <w:pPr>
        <w:pStyle w:val="TextBody"/>
        <w:spacing w:before="0" w:after="0"/>
        <w:ind w:left="0" w:right="0" w:firstLine="720"/>
        <w:jc w:val="both"/>
        <w:rPr>
          <w:caps w:val="false"/>
          <w:smallCaps w:val="false"/>
        </w:rPr>
      </w:pPr>
      <w:r>
        <w:rPr>
          <w:caps w:val="false"/>
          <w:smallCaps w:val="false"/>
        </w:rPr>
        <w:t> </w:t>
      </w:r>
    </w:p>
    <w:tbl>
      <w:tblPr>
        <w:tblW w:w="9718" w:type="dxa"/>
        <w:jc w:val="left"/>
        <w:tblInd w:w="0" w:type="dxa"/>
        <w:tblCellMar>
          <w:top w:w="0" w:type="dxa"/>
          <w:left w:w="0" w:type="dxa"/>
          <w:bottom w:w="0" w:type="dxa"/>
          <w:right w:w="0" w:type="dxa"/>
        </w:tblCellMar>
      </w:tblPr>
      <w:tblGrid>
        <w:gridCol w:w="6140"/>
        <w:gridCol w:w="60"/>
        <w:gridCol w:w="132"/>
        <w:gridCol w:w="1552"/>
        <w:gridCol w:w="60"/>
        <w:gridCol w:w="60"/>
        <w:gridCol w:w="284"/>
        <w:gridCol w:w="1355"/>
        <w:gridCol w:w="75"/>
      </w:tblGrid>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43"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6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left"/>
              <w:rPr/>
            </w:pPr>
            <w:r>
              <w:rPr/>
              <w:t> </w:t>
            </w:r>
          </w:p>
        </w:tc>
        <w:tc>
          <w:tcPr>
            <w:tcW w:w="1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35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at fair value (amortized cost of $0 and $28,396,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55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5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left"/>
              <w:rPr/>
            </w:pPr>
            <w:r>
              <w:rPr/>
              <w:t> </w:t>
            </w:r>
          </w:p>
        </w:tc>
        <w:tc>
          <w:tcPr>
            <w:tcW w:w="1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jc w:val="left"/>
              <w:rPr/>
            </w:pPr>
            <w:r>
              <w:rPr/>
              <w:t> </w:t>
            </w:r>
          </w:p>
        </w:tc>
        <w:tc>
          <w:tcPr>
            <w:tcW w:w="135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facility (net of deferred financing costs of $0 and $621,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fees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52"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52"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left"/>
              <w:rPr/>
            </w:pPr>
            <w:r>
              <w:rPr/>
              <w:t> </w:t>
            </w:r>
          </w:p>
        </w:tc>
        <w:tc>
          <w:tcPr>
            <w:tcW w:w="155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jc w:val="left"/>
              <w:rPr/>
            </w:pPr>
            <w:r>
              <w:rPr/>
              <w:t> </w:t>
            </w:r>
          </w:p>
        </w:tc>
        <w:tc>
          <w:tcPr>
            <w:tcW w:w="135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6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capital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2"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unaudited statements of operations for CSLF II (dollars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276"/>
        <w:gridCol w:w="60"/>
        <w:gridCol w:w="242"/>
        <w:gridCol w:w="1085"/>
        <w:gridCol w:w="84"/>
        <w:gridCol w:w="84"/>
        <w:gridCol w:w="360"/>
        <w:gridCol w:w="967"/>
        <w:gridCol w:w="60"/>
        <w:gridCol w:w="60"/>
        <w:gridCol w:w="283"/>
        <w:gridCol w:w="1043"/>
        <w:gridCol w:w="110"/>
        <w:gridCol w:w="82"/>
        <w:gridCol w:w="283"/>
        <w:gridCol w:w="1043"/>
        <w:gridCol w:w="83"/>
      </w:tblGrid>
      <w:tr>
        <w:trPr/>
        <w:tc>
          <w:tcPr>
            <w:tcW w:w="427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2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4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7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132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10" w:type="dxa"/>
            <w:tcBorders/>
            <w:shd w:fill="auto" w:val="clear"/>
            <w:vAlign w:val="center"/>
          </w:tcPr>
          <w:p>
            <w:pPr>
              <w:pStyle w:val="TableContents"/>
              <w:spacing w:before="0" w:after="283"/>
              <w:rPr>
                <w:caps w:val="false"/>
                <w:smallCaps w:val="false"/>
              </w:rPr>
            </w:pPr>
            <w:r>
              <w:rPr>
                <w:caps w:val="false"/>
                <w:smallCaps w:val="false"/>
              </w:rPr>
              <w:t> </w:t>
            </w:r>
          </w:p>
        </w:tc>
        <w:tc>
          <w:tcPr>
            <w:tcW w:w="82" w:type="dxa"/>
            <w:tcBorders/>
            <w:shd w:fill="auto" w:val="clear"/>
            <w:vAlign w:val="center"/>
          </w:tcPr>
          <w:p>
            <w:pPr>
              <w:pStyle w:val="TableContents"/>
              <w:spacing w:before="0" w:after="283"/>
              <w:rPr>
                <w:caps w:val="false"/>
                <w:smallCaps w:val="false"/>
              </w:rPr>
            </w:pPr>
            <w:r>
              <w:rPr>
                <w:caps w:val="false"/>
                <w:smallCaps w:val="false"/>
              </w:rPr>
              <w:t> </w:t>
            </w:r>
          </w:p>
        </w:tc>
        <w:tc>
          <w:tcPr>
            <w:tcW w:w="132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1085"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84" w:type="dxa"/>
            <w:tcBorders/>
            <w:shd w:fill="CCEEFF" w:val="clear"/>
            <w:vAlign w:val="center"/>
          </w:tcPr>
          <w:p>
            <w:pPr>
              <w:pStyle w:val="TableContents"/>
              <w:spacing w:before="0" w:after="283"/>
              <w:rPr/>
            </w:pPr>
            <w:r>
              <w:rPr/>
              <w:t> </w:t>
            </w:r>
          </w:p>
        </w:tc>
        <w:tc>
          <w:tcPr>
            <w:tcW w:w="360"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04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c>
          <w:tcPr>
            <w:tcW w:w="82"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043"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r>
      <w:tr>
        <w:trPr/>
        <w:tc>
          <w:tcPr>
            <w:tcW w:w="42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3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360"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6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pPr>
            <w:r>
              <w:rPr/>
              <w:t> </w:t>
            </w:r>
          </w:p>
        </w:tc>
        <w:tc>
          <w:tcPr>
            <w:tcW w:w="1085"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84" w:type="dxa"/>
            <w:tcBorders/>
            <w:shd w:fill="CCEEFF" w:val="clear"/>
            <w:vAlign w:val="center"/>
          </w:tcPr>
          <w:p>
            <w:pPr>
              <w:pStyle w:val="TableContents"/>
              <w:spacing w:before="0" w:after="283"/>
              <w:rPr/>
            </w:pPr>
            <w:r>
              <w:rPr/>
              <w:t> </w:t>
            </w:r>
          </w:p>
        </w:tc>
        <w:tc>
          <w:tcPr>
            <w:tcW w:w="360"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04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c>
          <w:tcPr>
            <w:tcW w:w="82"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043"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r>
      <w:tr>
        <w:trPr/>
        <w:tc>
          <w:tcPr>
            <w:tcW w:w="42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3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360"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360"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spacing w:before="0" w:after="283"/>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27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36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1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spacing w:before="0" w:after="283"/>
              <w:rPr>
                <w:caps w:val="false"/>
                <w:smallCaps w:val="false"/>
              </w:rPr>
            </w:pPr>
            <w:r>
              <w:rPr>
                <w:caps w:val="false"/>
                <w:smallCaps w:val="false"/>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three and nine months ended September 30, 2020 and 2019 were as follows (dollars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710"/>
        <w:gridCol w:w="60"/>
        <w:gridCol w:w="241"/>
        <w:gridCol w:w="1262"/>
        <w:gridCol w:w="120"/>
        <w:gridCol w:w="90"/>
        <w:gridCol w:w="255"/>
        <w:gridCol w:w="1217"/>
        <w:gridCol w:w="80"/>
        <w:gridCol w:w="60"/>
        <w:gridCol w:w="236"/>
        <w:gridCol w:w="1182"/>
        <w:gridCol w:w="99"/>
        <w:gridCol w:w="74"/>
        <w:gridCol w:w="236"/>
        <w:gridCol w:w="1182"/>
        <w:gridCol w:w="101"/>
      </w:tblGrid>
      <w:tr>
        <w:trPr/>
        <w:tc>
          <w:tcPr>
            <w:tcW w:w="3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185"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009"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0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20" w:type="dxa"/>
            <w:tcBorders/>
            <w:shd w:fill="auto" w:val="clear"/>
            <w:vAlign w:val="center"/>
          </w:tcPr>
          <w:p>
            <w:pPr>
              <w:pStyle w:val="TableContents"/>
              <w:spacing w:before="0" w:after="283"/>
              <w:rPr>
                <w:caps w:val="false"/>
                <w:smallCaps w:val="false"/>
              </w:rPr>
            </w:pPr>
            <w:r>
              <w:rPr>
                <w:caps w:val="false"/>
                <w:smallCaps w:val="false"/>
              </w:rPr>
              <w:t> </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147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1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99" w:type="dxa"/>
            <w:tcBorders/>
            <w:shd w:fill="auto" w:val="clear"/>
            <w:vAlign w:val="center"/>
          </w:tcPr>
          <w:p>
            <w:pPr>
              <w:pStyle w:val="TableContents"/>
              <w:spacing w:before="0" w:after="283"/>
              <w:rPr>
                <w:caps w:val="false"/>
                <w:smallCaps w:val="false"/>
              </w:rPr>
            </w:pPr>
            <w:r>
              <w:rPr>
                <w:caps w:val="false"/>
                <w:smallCaps w:val="false"/>
              </w:rPr>
              <w:t> </w:t>
            </w:r>
          </w:p>
        </w:tc>
        <w:tc>
          <w:tcPr>
            <w:tcW w:w="74" w:type="dxa"/>
            <w:tcBorders/>
            <w:shd w:fill="auto" w:val="clear"/>
            <w:vAlign w:val="center"/>
          </w:tcPr>
          <w:p>
            <w:pPr>
              <w:pStyle w:val="TableContents"/>
              <w:spacing w:before="0" w:after="283"/>
              <w:rPr>
                <w:caps w:val="false"/>
                <w:smallCaps w:val="false"/>
              </w:rPr>
            </w:pPr>
            <w:r>
              <w:rPr>
                <w:caps w:val="false"/>
                <w:smallCaps w:val="false"/>
              </w:rPr>
              <w:t> </w:t>
            </w:r>
          </w:p>
        </w:tc>
        <w:tc>
          <w:tcPr>
            <w:tcW w:w="141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spacing w:before="0" w:after="283"/>
              <w:rPr>
                <w:caps w:val="false"/>
                <w:smallCaps w:val="false"/>
              </w:rPr>
            </w:pPr>
            <w:r>
              <w:rPr>
                <w:caps w:val="false"/>
                <w:smallCaps w:val="false"/>
              </w:rPr>
              <w:t> </w:t>
            </w:r>
          </w:p>
        </w:tc>
        <w:tc>
          <w:tcPr>
            <w:tcW w:w="2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20,767</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34,400</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 net of incentive fee waiver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spacing w:before="0" w:after="283"/>
              <w:rPr>
                <w:caps w:val="false"/>
                <w:smallCaps w:val="false"/>
              </w:rPr>
            </w:pPr>
            <w:r>
              <w:rPr>
                <w:caps w:val="false"/>
                <w:smallCaps w:val="false"/>
              </w:rPr>
              <w:t> </w:t>
            </w:r>
          </w:p>
        </w:tc>
        <w:tc>
          <w:tcPr>
            <w:tcW w:w="25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1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8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8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23,259</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spacing w:before="0" w:after="283"/>
              <w:rPr>
                <w:caps w:val="false"/>
                <w:smallCaps w:val="false"/>
              </w:rPr>
            </w:pPr>
            <w:r>
              <w:rPr>
                <w:caps w:val="false"/>
                <w:smallCaps w:val="false"/>
              </w:rPr>
              <w:t> </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1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11,141</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(loss) on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(12,344</w:t>
            </w:r>
          </w:p>
        </w:tc>
        <w:tc>
          <w:tcPr>
            <w:tcW w:w="12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FFFFFF" w:val="clear"/>
            <w:vAlign w:val="center"/>
          </w:tcPr>
          <w:p>
            <w:pPr>
              <w:pStyle w:val="TableContents"/>
              <w:spacing w:before="0" w:after="283"/>
              <w:rPr>
                <w:caps w:val="false"/>
                <w:smallCaps w:val="false"/>
              </w:rPr>
            </w:pPr>
            <w:r>
              <w:rPr>
                <w:caps w:val="false"/>
                <w:smallCaps w:val="false"/>
              </w:rPr>
              <w:t> </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1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(24,661</w:t>
            </w:r>
          </w:p>
        </w:tc>
        <w:tc>
          <w:tcPr>
            <w:tcW w:w="99"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appreciation (depreciation) on investments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14,802</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spacing w:before="0" w:after="283"/>
              <w:rPr>
                <w:caps w:val="false"/>
                <w:smallCaps w:val="false"/>
              </w:rPr>
            </w:pPr>
            <w:r>
              <w:rPr>
                <w:caps w:val="false"/>
                <w:smallCaps w:val="false"/>
              </w:rPr>
              <w:t> </w:t>
            </w:r>
          </w:p>
        </w:tc>
        <w:tc>
          <w:tcPr>
            <w:tcW w:w="25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1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w:t>
            </w:r>
          </w:p>
        </w:tc>
        <w:tc>
          <w:tcPr>
            <w:tcW w:w="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(17,179</w:t>
            </w:r>
          </w:p>
        </w:tc>
        <w:tc>
          <w:tcPr>
            <w:tcW w:w="1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provision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spacing w:before="0" w:after="283"/>
              <w:rPr>
                <w:caps w:val="false"/>
                <w:smallCaps w:val="false"/>
              </w:rPr>
            </w:pPr>
            <w:r>
              <w:rPr>
                <w:caps w:val="false"/>
                <w:smallCaps w:val="false"/>
              </w:rPr>
              <w:t> </w:t>
            </w:r>
          </w:p>
        </w:tc>
        <w:tc>
          <w:tcPr>
            <w:tcW w:w="25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17"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 on extinguishment of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2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spacing w:before="0" w:after="283"/>
              <w:rPr>
                <w:caps w:val="false"/>
                <w:smallCaps w:val="false"/>
              </w:rPr>
            </w:pPr>
            <w:r>
              <w:rPr>
                <w:caps w:val="false"/>
                <w:smallCaps w:val="false"/>
              </w:rPr>
              <w:t> </w:t>
            </w:r>
          </w:p>
        </w:tc>
        <w:tc>
          <w:tcPr>
            <w:tcW w:w="25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1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8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82"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net assets resulting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4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w:t>
            </w:r>
          </w:p>
        </w:tc>
        <w:tc>
          <w:tcPr>
            <w:tcW w:w="12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spacing w:before="0" w:after="283"/>
              <w:rPr>
                <w:caps w:val="false"/>
                <w:smallCaps w:val="false"/>
              </w:rPr>
            </w:pPr>
            <w:r>
              <w:rPr>
                <w:caps w:val="false"/>
                <w:smallCaps w:val="false"/>
              </w:rPr>
              <w:t> </w:t>
            </w:r>
          </w:p>
        </w:tc>
        <w:tc>
          <w:tcPr>
            <w:tcW w:w="25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(35,985</w:t>
            </w:r>
          </w:p>
        </w:tc>
        <w:tc>
          <w:tcPr>
            <w:tcW w:w="99"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spacing w:before="0" w:after="283"/>
              <w:rPr>
                <w:caps w:val="false"/>
                <w:smallCaps w:val="false"/>
              </w:rPr>
            </w:pPr>
            <w:r>
              <w:rPr>
                <w:caps w:val="false"/>
                <w:smallCaps w:val="false"/>
              </w:rPr>
              <w:t> </w:t>
            </w:r>
          </w:p>
        </w:tc>
        <w:tc>
          <w:tcPr>
            <w:tcW w:w="23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(27,578</w:t>
            </w:r>
          </w:p>
        </w:tc>
        <w:tc>
          <w:tcPr>
            <w:tcW w:w="10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 income for the three and nine months ended September 30, 2020 and 2019 was as follows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64"/>
        <w:gridCol w:w="60"/>
        <w:gridCol w:w="317"/>
        <w:gridCol w:w="1238"/>
        <w:gridCol w:w="101"/>
        <w:gridCol w:w="101"/>
        <w:gridCol w:w="276"/>
        <w:gridCol w:w="1315"/>
        <w:gridCol w:w="60"/>
        <w:gridCol w:w="60"/>
        <w:gridCol w:w="272"/>
        <w:gridCol w:w="1261"/>
        <w:gridCol w:w="84"/>
        <w:gridCol w:w="84"/>
        <w:gridCol w:w="272"/>
        <w:gridCol w:w="1261"/>
        <w:gridCol w:w="79"/>
      </w:tblGrid>
      <w:tr>
        <w:trPr/>
        <w:tc>
          <w:tcPr>
            <w:tcW w:w="33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4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34"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5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c>
          <w:tcPr>
            <w:tcW w:w="101" w:type="dxa"/>
            <w:tcBorders/>
            <w:shd w:fill="auto" w:val="clear"/>
            <w:vAlign w:val="center"/>
          </w:tcPr>
          <w:p>
            <w:pPr>
              <w:pStyle w:val="TableContents"/>
              <w:spacing w:before="0" w:after="283"/>
              <w:rPr>
                <w:caps w:val="false"/>
                <w:smallCaps w:val="false"/>
              </w:rPr>
            </w:pPr>
            <w:r>
              <w:rPr>
                <w:caps w:val="false"/>
                <w:smallCaps w:val="false"/>
              </w:rPr>
              <w:t> </w:t>
            </w:r>
          </w:p>
        </w:tc>
        <w:tc>
          <w:tcPr>
            <w:tcW w:w="159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3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153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6,003</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spacing w:before="0" w:after="283"/>
              <w:rPr>
                <w:caps w:val="false"/>
                <w:smallCaps w:val="false"/>
              </w:rPr>
            </w:pPr>
            <w:r>
              <w:rPr>
                <w:caps w:val="false"/>
                <w:smallCaps w:val="false"/>
              </w:rPr>
              <w:t> </w:t>
            </w:r>
          </w:p>
        </w:tc>
        <w:tc>
          <w:tcPr>
            <w:tcW w:w="27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18,509</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28,237</w:t>
            </w:r>
          </w:p>
        </w:tc>
        <w:tc>
          <w:tcPr>
            <w:tcW w:w="7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spacing w:before="0" w:after="283"/>
              <w:rPr>
                <w:caps w:val="false"/>
                <w:smallCaps w:val="false"/>
              </w:rPr>
            </w:pPr>
            <w:r>
              <w:rPr>
                <w:caps w:val="false"/>
                <w:smallCaps w:val="false"/>
              </w:rPr>
              <w:t> </w:t>
            </w:r>
          </w:p>
        </w:tc>
        <w:tc>
          <w:tcPr>
            <w:tcW w:w="2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w:t>
            </w:r>
          </w:p>
        </w:tc>
        <w:tc>
          <w:tcPr>
            <w:tcW w:w="7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6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Payment-in-kind interest and dividend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spacing w:before="0" w:after="283"/>
              <w:rPr>
                <w:caps w:val="false"/>
                <w:smallCaps w:val="false"/>
              </w:rPr>
            </w:pPr>
            <w:r>
              <w:rPr>
                <w:caps w:val="false"/>
                <w:smallCaps w:val="false"/>
              </w:rPr>
              <w:t> </w:t>
            </w:r>
          </w:p>
        </w:tc>
        <w:tc>
          <w:tcPr>
            <w:tcW w:w="2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w:t>
            </w:r>
          </w:p>
        </w:tc>
        <w:tc>
          <w:tcPr>
            <w:tcW w:w="7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spacing w:before="0" w:after="283"/>
              <w:rPr>
                <w:caps w:val="false"/>
                <w:smallCaps w:val="false"/>
              </w:rPr>
            </w:pPr>
            <w:r>
              <w:rPr>
                <w:caps w:val="false"/>
                <w:smallCaps w:val="false"/>
              </w:rPr>
              <w:t> </w:t>
            </w:r>
          </w:p>
        </w:tc>
        <w:tc>
          <w:tcPr>
            <w:tcW w:w="2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w:t>
            </w:r>
          </w:p>
        </w:tc>
        <w:tc>
          <w:tcPr>
            <w:tcW w:w="7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6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spacing w:before="0" w:after="283"/>
              <w:rPr>
                <w:caps w:val="false"/>
                <w:smallCaps w:val="false"/>
              </w:rPr>
            </w:pPr>
            <w:r>
              <w:rPr>
                <w:caps w:val="false"/>
                <w:smallCaps w:val="false"/>
              </w:rPr>
              <w:t> </w:t>
            </w:r>
          </w:p>
        </w:tc>
        <w:tc>
          <w:tcPr>
            <w:tcW w:w="27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spacing w:before="0" w:after="283"/>
              <w:rPr>
                <w:caps w:val="false"/>
                <w:smallCaps w:val="false"/>
              </w:rPr>
            </w:pPr>
            <w:r>
              <w:rPr>
                <w:caps w:val="false"/>
                <w:smallCaps w:val="false"/>
              </w:rPr>
              <w:t> </w:t>
            </w:r>
          </w:p>
        </w:tc>
        <w:tc>
          <w:tcPr>
            <w:tcW w:w="27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61"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7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1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w:t>
            </w:r>
          </w:p>
        </w:tc>
        <w:tc>
          <w:tcPr>
            <w:tcW w:w="1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spacing w:before="0" w:after="283"/>
              <w:rPr>
                <w:caps w:val="false"/>
                <w:smallCaps w:val="false"/>
              </w:rPr>
            </w:pPr>
            <w:r>
              <w:rPr>
                <w:caps w:val="false"/>
                <w:smallCaps w:val="false"/>
              </w:rPr>
              <w:t> </w:t>
            </w:r>
          </w:p>
        </w:tc>
        <w:tc>
          <w:tcPr>
            <w:tcW w:w="27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20,767</w:t>
            </w:r>
          </w:p>
        </w:tc>
        <w:tc>
          <w:tcPr>
            <w:tcW w:w="8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27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34,400</w:t>
            </w:r>
          </w:p>
        </w:tc>
        <w:tc>
          <w:tcPr>
            <w:tcW w:w="79"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2020, total investment income decreased by $3.4 million, or 33.9%, compared to the three months ended September 30, 2019. Interest income decreased from $8.1 million for the three months ended September 30, 2019 to $6.0 million for the three months ended September 30, 2020. The decrease from the prior period is primarily due to lower average outstanding debt investments for the three months ended September 30, 2020 compared to the three months ended September 30, 2019. PIK income declined from $0.6 million for the three months ended September 30, 2019 to $0.5 million for the three months ended September 30, 2020, due to a decrease in investments with a contractual PIK rate. Fee income was relatively consistent for the three months ended September 30, 2020 and 2019. For the three months ended September 30, 2020 and 2019, we generated $0.0 in origination fees from new deployments and $0.2 million in other fees. Dividend income decreased from $1.2 million for the three months ended September 30, 2019 to $0.0 for the three months ended September 30, 2020, primarily due to a $0.3 million dividend received from CSLF II and a $0.8 million non-recurring dividend received from a portfolio company during the three months ended September 30,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2020, total investment income decreased by $13.6 million, or 39.6%, compared to the nine months ended September 30, 2019. Interest income decreased from $28.2 million for the nine months ended September 30, 2019 to $18.5 million for the nine months ended September 30, 2020. The decrease from the prior period is primarily due to lower average outstanding debt investments for the nine months ended September 30, 2020 compared to the nine months ended September 30, 2019. PIK income declined from $2.3 million for the nine months ended September 30, 2019 to $1.5 million for the nine months ended September 30, 2020, due to a decrease in investments with a contractual PIK rate. Fee income decreased from $0.9 million for the nine months ended September 30, 2019 to $0.6 million for the nine months ended September 30, 2020. For the nine months ended September 30, 2020, we generated $0.2 million in origination fees from new deployments and $0.4 million in other fees. Comparatively, for the nine months ended September 30, 2019, we generated $0.6 million in origination fees from new deployments and $0.3 million in other fees. Dividend income decreased from $2.9 million for the nine months ended September 30, 2019 to $25 thousand for the nine months ended September 30, 2020, primarily due to two non-recurring dividends totaling $2.2 million received from portfolio companies and $0.7 million in dividend income received from CSLF II during the nine months ended September 30,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pacing w:before="0" w:after="0"/>
        <w:ind w:left="0" w:right="0" w:firstLine="45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expenses for the three and nine months ended September 30, 2020 and 2019 was as follows (dollars in thousands):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180"/>
        <w:gridCol w:w="60"/>
        <w:gridCol w:w="328"/>
        <w:gridCol w:w="1279"/>
        <w:gridCol w:w="109"/>
        <w:gridCol w:w="109"/>
        <w:gridCol w:w="327"/>
        <w:gridCol w:w="1280"/>
        <w:gridCol w:w="60"/>
        <w:gridCol w:w="60"/>
        <w:gridCol w:w="278"/>
        <w:gridCol w:w="1303"/>
        <w:gridCol w:w="85"/>
        <w:gridCol w:w="85"/>
        <w:gridCol w:w="278"/>
        <w:gridCol w:w="1303"/>
        <w:gridCol w:w="81"/>
      </w:tblGrid>
      <w:tr>
        <w:trPr/>
        <w:tc>
          <w:tcPr>
            <w:tcW w:w="3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3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3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0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109" w:type="dxa"/>
            <w:tcBorders/>
            <w:shd w:fill="auto" w:val="clear"/>
            <w:vAlign w:val="center"/>
          </w:tcPr>
          <w:p>
            <w:pPr>
              <w:pStyle w:val="TableContents"/>
              <w:spacing w:before="0" w:after="283"/>
              <w:rPr>
                <w:caps w:val="false"/>
                <w:smallCaps w:val="false"/>
              </w:rPr>
            </w:pPr>
            <w:r>
              <w:rPr>
                <w:caps w:val="false"/>
                <w:smallCaps w:val="false"/>
              </w:rPr>
              <w:t> </w:t>
            </w:r>
          </w:p>
        </w:tc>
        <w:tc>
          <w:tcPr>
            <w:tcW w:w="109" w:type="dxa"/>
            <w:tcBorders/>
            <w:shd w:fill="auto" w:val="clear"/>
            <w:vAlign w:val="center"/>
          </w:tcPr>
          <w:p>
            <w:pPr>
              <w:pStyle w:val="TableContents"/>
              <w:spacing w:before="0" w:after="283"/>
              <w:rPr>
                <w:caps w:val="false"/>
                <w:smallCaps w:val="false"/>
              </w:rPr>
            </w:pPr>
            <w:r>
              <w:rPr>
                <w:caps w:val="false"/>
                <w:smallCaps w:val="false"/>
              </w:rPr>
              <w:t> </w:t>
            </w:r>
          </w:p>
        </w:tc>
        <w:tc>
          <w:tcPr>
            <w:tcW w:w="160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2020</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15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2019</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3,423</w:t>
            </w:r>
          </w:p>
        </w:tc>
        <w:tc>
          <w:tcPr>
            <w:tcW w:w="10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caps w:val="false"/>
                <w:smallCaps w:val="false"/>
              </w:rPr>
            </w:pPr>
            <w:r>
              <w:rPr>
                <w:caps w:val="false"/>
                <w:smallCaps w:val="false"/>
              </w:rPr>
              <w:t> </w:t>
            </w:r>
          </w:p>
        </w:tc>
        <w:tc>
          <w:tcPr>
            <w:tcW w:w="32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12,134</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12,751</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1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management fee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7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w:t>
            </w:r>
          </w:p>
        </w:tc>
        <w:tc>
          <w:tcPr>
            <w:tcW w:w="1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spacing w:before="0" w:after="283"/>
              <w:rPr>
                <w:caps w:val="false"/>
                <w:smallCaps w:val="false"/>
              </w:rPr>
            </w:pPr>
            <w:r>
              <w:rPr>
                <w:caps w:val="false"/>
                <w:smallCaps w:val="false"/>
              </w:rPr>
              <w:t> </w:t>
            </w:r>
          </w:p>
        </w:tc>
        <w:tc>
          <w:tcPr>
            <w:tcW w:w="32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0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4,988</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spacing w:before="0" w:after="283"/>
              <w:rPr>
                <w:caps w:val="false"/>
                <w:smallCaps w:val="false"/>
              </w:rPr>
            </w:pPr>
            <w:r>
              <w:rPr>
                <w:caps w:val="false"/>
                <w:smallCaps w:val="false"/>
              </w:rPr>
              <w:t> </w:t>
            </w:r>
          </w:p>
        </w:tc>
        <w:tc>
          <w:tcPr>
            <w:tcW w:w="27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0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6,063</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fees, net of incentive fee waiver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7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caps w:val="false"/>
                <w:smallCaps w:val="false"/>
              </w:rPr>
            </w:pPr>
            <w:r>
              <w:rPr>
                <w:caps w:val="false"/>
                <w:smallCaps w:val="false"/>
              </w:rPr>
              <w:t> </w:t>
            </w:r>
          </w:p>
        </w:tc>
        <w:tc>
          <w:tcPr>
            <w:tcW w:w="32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3"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1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7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10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spacing w:before="0" w:after="283"/>
              <w:rPr>
                <w:caps w:val="false"/>
                <w:smallCaps w:val="false"/>
              </w:rPr>
            </w:pPr>
            <w:r>
              <w:rPr>
                <w:caps w:val="false"/>
                <w:smallCaps w:val="false"/>
              </w:rPr>
              <w:t> </w:t>
            </w:r>
          </w:p>
        </w:tc>
        <w:tc>
          <w:tcPr>
            <w:tcW w:w="32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8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7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spacing w:before="0" w:after="283"/>
              <w:rPr>
                <w:caps w:val="false"/>
                <w:smallCaps w:val="false"/>
              </w:rPr>
            </w:pPr>
            <w:r>
              <w:rPr>
                <w:caps w:val="false"/>
                <w:smallCaps w:val="false"/>
              </w:rPr>
              <w:t> </w:t>
            </w:r>
          </w:p>
        </w:tc>
        <w:tc>
          <w:tcPr>
            <w:tcW w:w="27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0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3,236</w:t>
            </w:r>
          </w:p>
        </w:tc>
        <w:tc>
          <w:tcPr>
            <w:tcW w:w="81"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 net of incentive fee waiver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10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caps w:val="false"/>
                <w:smallCaps w:val="false"/>
              </w:rPr>
            </w:pPr>
            <w:r>
              <w:rPr>
                <w:caps w:val="false"/>
                <w:smallCaps w:val="false"/>
              </w:rPr>
              <w:t> </w:t>
            </w:r>
          </w:p>
        </w:tc>
        <w:tc>
          <w:tcPr>
            <w:tcW w:w="32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20,647</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spacing w:before="0" w:after="283"/>
              <w:rPr>
                <w:caps w:val="false"/>
                <w:smallCaps w:val="false"/>
              </w:rPr>
            </w:pPr>
            <w:r>
              <w:rPr>
                <w:caps w:val="false"/>
                <w:smallCaps w:val="false"/>
              </w:rPr>
              <w:t> </w:t>
            </w:r>
          </w:p>
        </w:tc>
        <w:tc>
          <w:tcPr>
            <w:tcW w:w="27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23,259</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2020, operating expenses decreased by $1.2 million, or 16.7%, compared to the three months ended September 30, 2019. Interest and financing expenses decreased from $4.1 million for the three months ended September 30, 2019 to $3.4 million for the three months ended September 30, 2020. The decrease in interest and financing expenses was primarily driven by lower average outstanding debt during the three months ended September 30, 2020 compared to the three months ended September 30, 2019. Base management fees declined from $1.9 million for the three months ended September 30, 2019 to $1.6 million for the three months ended September 30, 2020, due to lower average assets under management. No incentive fees were earned for the three and nine months ended September 30, 2020 and 2019. General and administrative expenses decreased from $1.1 million for the three months ended September 30, 2019 to $1.0 million for the three months ended September 30,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2020, operating expenses decreased by $2.6 million, or 11.2%, compared to the nine months ended September 30, 2019. Interest and financing expenses decreased from $12.8 million for the nine months ended September 30, 2019 to $12.1 million for the nine months ended September 30, 2020. The decrease in interest and financing expenses was primarily driven by lower average outstanding debt during the nine months ended September 30, 2020 compared to the nine months ended September 30, 2019, offset in part by $1.1 million in accelerated deferred financing expense from termination of the Credit Facility during the nine months ended September 30, 2020. Base management fees declined from $6.1 million for the nine months ended September 30, 2019 to $5.0 million for the nine months ended September 30, 2020, due to lower average assets under management. Incentive fees, net of incentive fee waiver, declined from $1.2 million for the nine months ended September 30, 2019 to $0.0 for the nine months ended September 30, 2020 due to better net investment income returns in relation to our NAV during the nine months ended September 30, 2019. General and administrative expenses increased from $3.2 million for the nine months ended September 30, 2019 to $3.5 million for the nine months ended September 30, 2020, primarily due to an increase in legal and professional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realized gain (loss) on investments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2020 we recognized $(12.3) million and $(24.7) million, respectively, of net realized losses on our portfolio investments. During the three and nine months ended September 30, 2019 we recognized $12.0 thousand and $(20.9) million, respectively, of net realized gains (losses) on our portfolio investments.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unrealized appreciation (depreciation) on investments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appreciation (depreciation) on investments reflects the net change in the fair value of our investment portfolio. For the three and nine months ended September 30, 2020 we had net unrealized appreciation (depreciation) of $14.8 million and $(11.6) million, respectively. For the three and nine months ended September 30, 2019 we had net unrealized depreciation of $(1.3) million and $(17.2) million,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provision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2020 we recorded a tax provision of $0.0. For the three and nine months ended September 30, 2019 we recorded a tax provision of $0.0 and $(0.6)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i/>
          <w:caps w:val="false"/>
          <w:smallCaps w:val="false"/>
          <w:sz w:val="20"/>
        </w:rPr>
        <w:t>Net realized gain on extinguishment of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2020 we had a net realized gain on extinguishment of debt of $0.2 million. There was no net realized gain on extinguishment of debt for the three and nine months ended September 30,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net assets resulting from operations</w:t>
      </w:r>
      <w:r>
        <w:rPr>
          <w:rFonts w:ascii="Times New Roman;Times;Serif" w:hAnsi="Times New Roman;Times;Serif"/>
          <w:b/>
          <w:i/>
          <w:caps w:val="false"/>
          <w:smallCaps w:val="false"/>
          <w:position w:val="7"/>
          <w:sz w:val="16"/>
          <w:sz w:val="20"/>
        </w:rPr>
        <w:t>(1)</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2020, we recorded a net increase (decrease) in net assets resulting from operations of $3.4 million and $(36.0) million, respectively. Based on the weighted average shares of our common stock outstanding for the three and nine months ended September 30, 2020, our per share net increase (decrease) in net assets resulting from operations was $1.24 and $(13.29),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2019, we recorded a net increase (decrease) in net assets resulting from operations of $1.7 million and $(27.6) million, respectively. Based on the weighted average shares of our common stock outstanding for the three and nine months ended September 30, 2019, our per share net increase (decrease) in net assets resulting from operations was $0.64 and $(10.28), respectively.</w:t>
      </w:r>
    </w:p>
    <w:p>
      <w:pPr>
        <w:pStyle w:val="TextBody"/>
        <w:spacing w:before="0" w:after="0"/>
        <w:ind w:left="108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5"/>
        <w:gridCol w:w="9903"/>
      </w:tblGrid>
      <w:tr>
        <w:trPr/>
        <w:tc>
          <w:tcPr>
            <w:tcW w:w="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03" w:type="dxa"/>
            <w:tcBorders/>
            <w:shd w:fill="auto" w:val="clear"/>
            <w:vAlign w:val="center"/>
          </w:tcPr>
          <w:p>
            <w:pPr>
              <w:pStyle w:val="TableContents"/>
              <w:spacing w:before="0" w:after="283"/>
              <w:jc w:val="both"/>
              <w:rPr/>
            </w:pPr>
            <w:r>
              <w:rPr/>
              <w:t>Per share data has been adjusted for the periods shown to reflect the one-for-six reverse stock split effected on August 21, 2020 on a retroactive basis.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and intend to use existing cash primarily to originate investments in new and existing portfolio companies, pay distributions to our stockholders and repay indebtedness.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IPO, we have raised approximately $136.0 million in net proceeds from equity offerings through September 30,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2014, the Company entered into a senior secured revolving credit agreement (as amended, the “Credit Facility”) with ING Capital, LLC, as administrative agent, arranger, and bookrunner, and the lenders party thereto. The Credit Facility was set to mature on April 30, 2022. On June 19, 2020, the Company unilaterally terminated the Credit Facility.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 As of September 30, 2020, the Company had approximately $72.8 million in aggregate principal amount of 2022 Notes outstanding.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and nine months ended September 30, 2020, the Company purchased approximately $2.2 million of outstanding principal of the 2022 Notes under the Bond Repurchase Program, resulting in a net realized gain of $0.2 million. During the three and nine months ended September 30, 2020, the Company did not purchase any of the 2022 Convertible Notes.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Fund III had $75.0 million in regulatory capital and $91.0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we entered into an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NAV per share pursuant to the ATM Program. There were no sales of our common stock under the ATM Program during the three and nine months ended September 30,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September 30, 2020, our asset coverage ratio was 186.8%. If our asset coverage ratio falls below 150% due a decline in the fair market of our portfolio, including as the result of the economic impact caused by the COVID-19 pandemic, we may be limited in our ability to raise additional debt.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we had $43.7 million in cash and cash equivalents, and our net assets totaled $108.4 million.</w:t>
      </w:r>
    </w:p>
    <w:p>
      <w:pPr>
        <w:pStyle w:val="TextBody"/>
        <w:spacing w:before="0" w:after="0"/>
        <w:ind w:left="556"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significant contractual payment obligations as of September 30, 2020 are as follows (dollars in thousands):</w:t>
      </w:r>
    </w:p>
    <w:p>
      <w:pPr>
        <w:pStyle w:val="TextBody"/>
        <w:spacing w:before="0" w:after="0"/>
        <w:ind w:left="0" w:right="0" w:firstLine="720"/>
        <w:rPr>
          <w:caps w:val="false"/>
          <w:smallCaps w:val="false"/>
        </w:rPr>
      </w:pPr>
      <w:r>
        <w:rPr>
          <w:caps w:val="false"/>
          <w:smallCaps w:val="false"/>
        </w:rPr>
        <w:t> </w:t>
      </w:r>
    </w:p>
    <w:tbl>
      <w:tblPr>
        <w:tblW w:w="7541" w:type="dxa"/>
        <w:jc w:val="left"/>
        <w:tblInd w:w="0" w:type="dxa"/>
        <w:tblCellMar>
          <w:top w:w="0" w:type="dxa"/>
          <w:left w:w="0" w:type="dxa"/>
          <w:bottom w:w="0" w:type="dxa"/>
          <w:right w:w="0" w:type="dxa"/>
        </w:tblCellMar>
      </w:tblPr>
      <w:tblGrid>
        <w:gridCol w:w="2480"/>
        <w:gridCol w:w="60"/>
        <w:gridCol w:w="181"/>
        <w:gridCol w:w="709"/>
        <w:gridCol w:w="71"/>
        <w:gridCol w:w="71"/>
        <w:gridCol w:w="149"/>
        <w:gridCol w:w="832"/>
        <w:gridCol w:w="71"/>
        <w:gridCol w:w="71"/>
        <w:gridCol w:w="166"/>
        <w:gridCol w:w="349"/>
        <w:gridCol w:w="71"/>
        <w:gridCol w:w="71"/>
        <w:gridCol w:w="317"/>
        <w:gridCol w:w="663"/>
        <w:gridCol w:w="71"/>
        <w:gridCol w:w="71"/>
        <w:gridCol w:w="149"/>
        <w:gridCol w:w="843"/>
        <w:gridCol w:w="75"/>
      </w:tblGrid>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26" w:type="dxa"/>
            <w:gridSpan w:val="18"/>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Payments Due by Period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br/>
              <w:t>1 Year</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98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 3</w:t>
              <w:br/>
              <w:t>Years</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 5</w:t>
              <w:br/>
              <w:t>Years</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br/>
              <w:t>5 Years</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71" w:type="dxa"/>
            <w:tcBorders/>
            <w:shd w:fill="auto" w:val="clear"/>
            <w:vAlign w:val="center"/>
          </w:tcPr>
          <w:p>
            <w:pPr>
              <w:pStyle w:val="TableContents"/>
              <w:spacing w:before="0" w:after="283"/>
              <w:rPr>
                <w:caps w:val="false"/>
                <w:smallCaps w:val="false"/>
              </w:rPr>
            </w:pPr>
            <w:r>
              <w:rPr>
                <w:caps w:val="false"/>
                <w:smallCaps w:val="false"/>
              </w:rPr>
              <w:t> </w:t>
            </w:r>
          </w:p>
        </w:tc>
        <w:tc>
          <w:tcPr>
            <w:tcW w:w="99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SBA Debentures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6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9"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31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Notes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72,833</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6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49"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31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72,833</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Convertible Notes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4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31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Contractual Obligations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209,921</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9"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31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bottom w:val="double" w:sz="6"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215,921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color w:val="FFFFFF"/>
        </w:rPr>
      </w:pPr>
      <w:r>
        <w:rPr>
          <w:caps w:val="false"/>
          <w:smallCaps w:val="false"/>
          <w:color w:val="FFFFFF"/>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On April 30, 2020, the Company’s Board determined not to declare a distribution for the second quarter of 2020 due to the impact of the COVID-19 pandemic on the Company’s expected net investment income. On July 30, 2020, the Company’s Board determined not to declare a distribution for the third quarter of 2020 due to the impact of the COVID-19 pandemic on the Company’s expected net investment income. On October 29, 2020, the Company’s Board determined not to declare a distribution for the fourth quarter of 2020 due to the impact of the COVID-19 pandemic on the Company’s expected net investment income.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our distributions declared from January 1, 2018 through September 30, 2020:</w:t>
      </w:r>
    </w:p>
    <w:p>
      <w:pPr>
        <w:pStyle w:val="TextBody"/>
        <w:spacing w:before="0" w:after="0"/>
        <w:ind w:left="0" w:right="0" w:firstLine="720"/>
        <w:jc w:val="both"/>
        <w:rPr>
          <w:caps w:val="false"/>
          <w:smallCaps w:val="false"/>
        </w:rPr>
      </w:pPr>
      <w:r>
        <w:rPr>
          <w:caps w:val="false"/>
          <w:smallCaps w:val="false"/>
        </w:rPr>
        <w:t> </w:t>
      </w:r>
    </w:p>
    <w:tbl>
      <w:tblPr>
        <w:tblW w:w="8719" w:type="dxa"/>
        <w:jc w:val="left"/>
        <w:tblInd w:w="0" w:type="dxa"/>
        <w:tblCellMar>
          <w:top w:w="0" w:type="dxa"/>
          <w:left w:w="0" w:type="dxa"/>
          <w:bottom w:w="28" w:type="dxa"/>
          <w:right w:w="0" w:type="dxa"/>
        </w:tblCellMar>
      </w:tblPr>
      <w:tblGrid>
        <w:gridCol w:w="4385"/>
        <w:gridCol w:w="60"/>
        <w:gridCol w:w="1505"/>
        <w:gridCol w:w="60"/>
        <w:gridCol w:w="1505"/>
        <w:gridCol w:w="60"/>
        <w:gridCol w:w="264"/>
        <w:gridCol w:w="805"/>
        <w:gridCol w:w="75"/>
      </w:tblGrid>
      <w:tr>
        <w:trPr/>
        <w:tc>
          <w:tcPr>
            <w:tcW w:w="438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Declared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6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Per Share</w:t>
            </w:r>
            <w:r>
              <w:rPr>
                <w:rFonts w:ascii="Times New Roman;Times;Serif" w:hAnsi="Times New Roman;Times;Serif"/>
                <w:b/>
                <w:i w:val="false"/>
                <w:caps w:val="false"/>
                <w:smallCaps w:val="false"/>
                <w:position w:val="7"/>
                <w:sz w:val="16"/>
                <w:sz w:val="20"/>
              </w:rPr>
              <w:t>(1)</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24,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2020</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2020</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2020</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23,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8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Distributions Declared and Distributed for 2020</w:t>
            </w:r>
          </w:p>
        </w:tc>
        <w:tc>
          <w:tcPr>
            <w:tcW w:w="60" w:type="dxa"/>
            <w:tcBorders/>
            <w:shd w:fill="FFFFFF" w:val="clear"/>
            <w:tcMar>
              <w:bottom w:w="0" w:type="dxa"/>
            </w:tcMar>
            <w:vAlign w:val="center"/>
          </w:tcPr>
          <w:p>
            <w:pPr>
              <w:pStyle w:val="TableContents"/>
              <w:spacing w:before="0" w:after="283"/>
              <w:rPr/>
            </w:pPr>
            <w:r>
              <w:rPr/>
              <w:t> </w:t>
            </w:r>
          </w:p>
        </w:tc>
        <w:tc>
          <w:tcPr>
            <w:tcW w:w="1505"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1505"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26" w:type="dxa"/>
            <w:tcBorders/>
            <w:shd w:fill="auto" w:val="clear"/>
            <w:vAlign w:val="center"/>
          </w:tcPr>
          <w:p>
            <w:pPr>
              <w:pStyle w:val="TableContents"/>
              <w:spacing w:before="0" w:after="283"/>
              <w:jc w:val="both"/>
              <w:rPr/>
            </w:pPr>
            <w:r>
              <w:rPr/>
              <w:t>Amount per share has been adjusted for the periods shown to reflect the one-for-six reverse stock split effected on August 21, 2020 on a retroactive basis, as described in Note 1 to our consolidated financial statements included in this Quarterly Report on Form 10-Q.</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8989" w:type="dxa"/>
        <w:jc w:val="left"/>
        <w:tblInd w:w="0" w:type="dxa"/>
        <w:tblCellMar>
          <w:top w:w="0" w:type="dxa"/>
          <w:left w:w="0" w:type="dxa"/>
          <w:bottom w:w="28" w:type="dxa"/>
          <w:right w:w="0" w:type="dxa"/>
        </w:tblCellMar>
      </w:tblPr>
      <w:tblGrid>
        <w:gridCol w:w="4385"/>
        <w:gridCol w:w="60"/>
        <w:gridCol w:w="1640"/>
        <w:gridCol w:w="60"/>
        <w:gridCol w:w="1640"/>
        <w:gridCol w:w="60"/>
        <w:gridCol w:w="264"/>
        <w:gridCol w:w="805"/>
        <w:gridCol w:w="75"/>
      </w:tblGrid>
      <w:tr>
        <w:trPr/>
        <w:tc>
          <w:tcPr>
            <w:tcW w:w="438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Declared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6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Per Share</w:t>
            </w:r>
            <w:r>
              <w:rPr>
                <w:rFonts w:ascii="Times New Roman;Times;Serif" w:hAnsi="Times New Roman;Times;Serif"/>
                <w:b/>
                <w:i w:val="false"/>
                <w:caps w:val="false"/>
                <w:smallCaps w:val="false"/>
                <w:position w:val="7"/>
                <w:sz w:val="16"/>
                <w:sz w:val="20"/>
              </w:rPr>
              <w:t>(1)</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24,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21,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22,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23,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30,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22,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29,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29,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22,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23,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30, 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8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Distributions Declared and Distributed for 2019</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26" w:type="dxa"/>
            <w:tcBorders/>
            <w:shd w:fill="auto" w:val="clear"/>
            <w:vAlign w:val="center"/>
          </w:tcPr>
          <w:p>
            <w:pPr>
              <w:pStyle w:val="TableContents"/>
              <w:spacing w:before="0" w:after="283"/>
              <w:jc w:val="both"/>
              <w:rPr/>
            </w:pPr>
            <w:r>
              <w:rPr/>
              <w:t>Amount per share has been adjusted for the periods shown to reflect the one-for-six reverse stock split effected on August 21, 2020 on a retroactive basis, as described in Note 1 to our consolidated financial statements included in this Quarterly Report on Form 10-Q.</w:t>
            </w:r>
          </w:p>
        </w:tc>
      </w:tr>
    </w:tbl>
    <w:p>
      <w:pPr>
        <w:pStyle w:val="TextBody"/>
        <w:spacing w:before="0" w:after="0"/>
        <w:ind w:left="0" w:right="0" w:hanging="0"/>
        <w:rPr>
          <w:caps w:val="false"/>
          <w:smallCaps w:val="false"/>
        </w:rPr>
      </w:pPr>
      <w:r>
        <w:rPr>
          <w:caps w:val="false"/>
          <w:smallCaps w:val="false"/>
        </w:rPr>
        <w:t> </w:t>
      </w:r>
    </w:p>
    <w:tbl>
      <w:tblPr>
        <w:tblW w:w="8989" w:type="dxa"/>
        <w:jc w:val="left"/>
        <w:tblInd w:w="0" w:type="dxa"/>
        <w:tblCellMar>
          <w:top w:w="0" w:type="dxa"/>
          <w:left w:w="0" w:type="dxa"/>
          <w:bottom w:w="28" w:type="dxa"/>
          <w:right w:w="0" w:type="dxa"/>
        </w:tblCellMar>
      </w:tblPr>
      <w:tblGrid>
        <w:gridCol w:w="4385"/>
        <w:gridCol w:w="60"/>
        <w:gridCol w:w="1640"/>
        <w:gridCol w:w="60"/>
        <w:gridCol w:w="1640"/>
        <w:gridCol w:w="60"/>
        <w:gridCol w:w="264"/>
        <w:gridCol w:w="805"/>
        <w:gridCol w:w="75"/>
      </w:tblGrid>
      <w:tr>
        <w:trPr/>
        <w:tc>
          <w:tcPr>
            <w:tcW w:w="438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Declared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6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Per Share</w:t>
            </w:r>
            <w:r>
              <w:rPr>
                <w:rFonts w:ascii="Times New Roman;Times;Serif" w:hAnsi="Times New Roman;Times;Serif"/>
                <w:b/>
                <w:i w:val="false"/>
                <w:caps w:val="false"/>
                <w:smallCaps w:val="false"/>
                <w:position w:val="7"/>
                <w:sz w:val="16"/>
                <w:sz w:val="20"/>
              </w:rPr>
              <w:t>(1)</w:t>
            </w:r>
          </w:p>
        </w:tc>
        <w:tc>
          <w:tcPr>
            <w:tcW w:w="75" w:type="dxa"/>
            <w:tcBorders/>
            <w:shd w:fill="auto" w:val="clear"/>
            <w:tcMar>
              <w:bottom w:w="0" w:type="dxa"/>
            </w:tcMar>
            <w:vAlign w:val="center"/>
          </w:tcPr>
          <w:p>
            <w:pPr>
              <w:pStyle w:val="TableContents"/>
              <w:spacing w:before="0" w:after="283"/>
              <w:ind w:left="0" w:right="0" w:hanging="200"/>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23,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27,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30,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23,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21,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2018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CCEEFF" w:val="clear"/>
            <w:tcMar>
              <w:bottom w:w="0" w:type="dxa"/>
            </w:tcMar>
            <w:vAlign w:val="center"/>
          </w:tcPr>
          <w:p>
            <w:pPr>
              <w:pStyle w:val="TableContents"/>
              <w:spacing w:before="0" w:after="283"/>
              <w:ind w:left="0" w:right="0" w:hanging="200"/>
              <w:jc w:val="left"/>
              <w:rPr>
                <w:caps w:val="false"/>
                <w:smallCaps w:val="false"/>
              </w:rPr>
            </w:pPr>
            <w:r>
              <w:rPr>
                <w:caps w:val="false"/>
                <w:smallCaps w:val="false"/>
              </w:rPr>
              <w:t> </w:t>
            </w:r>
          </w:p>
        </w:tc>
      </w:tr>
      <w:tr>
        <w:trPr/>
        <w:tc>
          <w:tcPr>
            <w:tcW w:w="438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20,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28, 2018</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single" w:sz="8"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805"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38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Distributions Declared and Distributed for 2018</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64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26" w:type="dxa"/>
            <w:tcBorders/>
            <w:shd w:fill="auto" w:val="clear"/>
            <w:vAlign w:val="center"/>
          </w:tcPr>
          <w:p>
            <w:pPr>
              <w:pStyle w:val="TableContents"/>
              <w:spacing w:before="0" w:after="283"/>
              <w:jc w:val="both"/>
              <w:rPr/>
            </w:pPr>
            <w:r>
              <w:rPr/>
              <w:t>Amount per share has been adjusted for the periods shown to reflect the one-for-six reverse stock split effected on August 21, 2020 on a retroactive basis, as described in Note 1 to our consolidated financial statements included in this Quarterly Report on Form 10-Q.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characteristics of all distributions paid are reported to stockholders on Form 1099 after the end of the calendar year. For the year ended December 31, 2018, total distributions of $16.0 million were comprised 100% of ordinary income. For the year ended December 31, 2019, total distributions of $16.1 million were comprised of approximately $13.4 million from ordinary income and $2.7 million from return of capital. For the nine months ended September 30, 2020, we estimate that total distributions of $4.1 million were comprised of approximately $0.5 million from ordinary income and $3.6 million from return of capital. Distributions may be subject to reclassification based on future dividends and operating results and will not be determined until the end of the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i w:val="false"/>
          <w:caps w:val="false"/>
          <w:smallCaps w:val="false"/>
          <w:sz w:val="20"/>
        </w:rPr>
        <w:t>Related Parties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60</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license agreement with the Investment Advisor, pursuant to which the Investment Advisor has agreed to grant us a non-exclusive, royalty-free license to use the name ‘‘Capitala.’’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the Company had outstanding unfunded commitments related to debt investments in existing portfolio companies of $4.3 million (Rapid Fire Protection, Inc), $3.5 million (J5 Infrastructure Partners, LLC), $1.0 million (Freedom Electronics, LLC), and $1.0 million (U.S. BioTek Laboratories,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Credit Facility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2020, Capitala Business Lending, LLC (the "Borrower"), a direct, wholly owned, consolidated subsidiary of the Company, entered into a senior secured revolving credit agreement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the Borrower in an aggregate principal amount of up to $25.0 million as of October 30, 2020. The Borrower may, on any business day prior to October 28, 2022, request an increase in the aggregate principal amount from $25.0 million to $100.0 million in accordance with the terms and in the manner described in the KeyBank Credit Facility. The period during which the Lenders may make loans to the Borrower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1-month LIBOR plus 3.5%.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1" w:name="x_003"/>
      <w:bookmarkEnd w:id="11"/>
      <w:r>
        <w:rPr>
          <w:rFonts w:ascii="Times New Roman;Times;Serif" w:hAnsi="Times New Roman;Times;Serif"/>
          <w:b/>
          <w:i w:val="false"/>
          <w:caps w:val="false"/>
          <w:smallCaps w:val="false"/>
          <w:sz w:val="20"/>
        </w:rPr>
        <w:t>Item 3. Quantitative and Qualitative Disclosures About Market Risk</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2020, we did not engage in hedging activities.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we held 20 securities bearing a variable rate of interest. Our variable rate investments represent approximately 54.1% of the fair value of total debt investments. As of September 30, 2020, 100.0% of variable rate securities were yielding interest at a rate equal to the established interest rate floor. As of September 30, 2020, all of our interest paying liabilities, consisting of $91.0 million in SBA-guaranteed debentures, $72.8 million in 2022 Notes, and $52.1 million in 2022 Convertible Notes, were bearing interest at a fixed rate.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61</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September 30, 2020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pStyle w:val="TextBody"/>
        <w:spacing w:before="0" w:after="0"/>
        <w:ind w:left="0" w:right="0" w:firstLine="720"/>
        <w:rPr>
          <w:caps w:val="false"/>
          <w:smallCaps w:val="false"/>
        </w:rPr>
      </w:pPr>
      <w:r>
        <w:rPr>
          <w:caps w:val="false"/>
          <w:smallCaps w:val="false"/>
        </w:rPr>
        <w:t>  </w:t>
      </w:r>
    </w:p>
    <w:tbl>
      <w:tblPr>
        <w:tblW w:w="4969" w:type="dxa"/>
        <w:jc w:val="left"/>
        <w:tblInd w:w="0" w:type="dxa"/>
        <w:tblCellMar>
          <w:top w:w="0" w:type="dxa"/>
          <w:left w:w="0" w:type="dxa"/>
          <w:bottom w:w="28" w:type="dxa"/>
          <w:right w:w="0" w:type="dxa"/>
        </w:tblCellMar>
      </w:tblPr>
      <w:tblGrid>
        <w:gridCol w:w="1880"/>
        <w:gridCol w:w="60"/>
        <w:gridCol w:w="179"/>
        <w:gridCol w:w="696"/>
        <w:gridCol w:w="60"/>
        <w:gridCol w:w="60"/>
        <w:gridCol w:w="312"/>
        <w:gridCol w:w="652"/>
        <w:gridCol w:w="60"/>
        <w:gridCol w:w="60"/>
        <w:gridCol w:w="179"/>
        <w:gridCol w:w="696"/>
        <w:gridCol w:w="75"/>
      </w:tblGrid>
      <w:tr>
        <w:trPr/>
        <w:tc>
          <w:tcPr>
            <w:tcW w:w="18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Point Change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w:t>
              <w:br/>
              <w:t>(decrease)</w:t>
              <w:br/>
              <w:t>in interest</w:t>
              <w:br/>
              <w:t>income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6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Increase)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decrease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expense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w:t>
              <w:br/>
              <w:t>(decrease)</w:t>
              <w:br/>
              <w:t>in net</w:t>
              <w:br/>
              <w:t>income</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8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300 basis points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88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200 basis points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8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100 basis points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88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 100 basis points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8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 200 basis points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88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 300 basis points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1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2" w:name="x_004"/>
      <w:bookmarkEnd w:id="12"/>
      <w:r>
        <w:rPr>
          <w:rFonts w:ascii="Times New Roman;Times;Serif" w:hAnsi="Times New Roman;Times;Serif"/>
          <w:b/>
          <w:i w:val="false"/>
          <w:caps w:val="false"/>
          <w:smallCaps w:val="false"/>
          <w:sz w:val="20"/>
        </w:rPr>
        <w:t>Item 4. Controls and Procedures</w:t>
      </w:r>
    </w:p>
    <w:p>
      <w:pPr>
        <w:pStyle w:val="TextBody"/>
        <w:spacing w:before="0" w:after="0"/>
        <w:ind w:left="0" w:right="0" w:firstLine="720"/>
        <w:rPr>
          <w:caps w:val="false"/>
          <w:smallCaps w:val="false"/>
        </w:rPr>
      </w:pPr>
      <w:r>
        <w:rPr>
          <w:caps w:val="false"/>
          <w:smallCaps w:val="false"/>
        </w:rPr>
        <w:t> </w:t>
      </w:r>
    </w:p>
    <w:tbl>
      <w:tblPr>
        <w:tblW w:w="4510" w:type="dxa"/>
        <w:jc w:val="left"/>
        <w:tblInd w:w="0" w:type="dxa"/>
        <w:tblCellMar>
          <w:top w:w="0" w:type="dxa"/>
          <w:left w:w="0" w:type="dxa"/>
          <w:bottom w:w="0" w:type="dxa"/>
          <w:right w:w="0" w:type="dxa"/>
        </w:tblCellMar>
      </w:tblPr>
      <w:tblGrid>
        <w:gridCol w:w="75"/>
        <w:gridCol w:w="245"/>
        <w:gridCol w:w="419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(a)</w:t>
            </w:r>
          </w:p>
        </w:tc>
        <w:tc>
          <w:tcPr>
            <w:tcW w:w="4190" w:type="dxa"/>
            <w:tcBorders/>
            <w:shd w:fill="auto" w:val="clear"/>
            <w:vAlign w:val="center"/>
          </w:tcPr>
          <w:p>
            <w:pPr>
              <w:pStyle w:val="TableContents"/>
              <w:spacing w:before="0" w:after="283"/>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2020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spacing w:before="0" w:after="0"/>
        <w:ind w:left="0" w:right="0" w:hanging="0"/>
        <w:rPr>
          <w:caps w:val="false"/>
          <w:smallCaps w:val="false"/>
        </w:rPr>
      </w:pPr>
      <w:r>
        <w:rPr>
          <w:caps w:val="false"/>
          <w:smallCaps w:val="false"/>
        </w:rPr>
        <w:t>  </w:t>
      </w:r>
    </w:p>
    <w:tbl>
      <w:tblPr>
        <w:tblW w:w="4960" w:type="dxa"/>
        <w:jc w:val="left"/>
        <w:tblInd w:w="0" w:type="dxa"/>
        <w:tblCellMar>
          <w:top w:w="0" w:type="dxa"/>
          <w:left w:w="0" w:type="dxa"/>
          <w:bottom w:w="0" w:type="dxa"/>
          <w:right w:w="0" w:type="dxa"/>
        </w:tblCellMar>
      </w:tblPr>
      <w:tblGrid>
        <w:gridCol w:w="75"/>
        <w:gridCol w:w="245"/>
        <w:gridCol w:w="46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(b)</w:t>
            </w:r>
          </w:p>
        </w:tc>
        <w:tc>
          <w:tcPr>
            <w:tcW w:w="4640" w:type="dxa"/>
            <w:tcBorders/>
            <w:shd w:fill="auto" w:val="clear"/>
            <w:vAlign w:val="center"/>
          </w:tcPr>
          <w:p>
            <w:pPr>
              <w:pStyle w:val="TableContents"/>
              <w:spacing w:before="0" w:after="283"/>
              <w:jc w:val="both"/>
              <w:rPr>
                <w:rFonts w:ascii="Times New Roman;Times;Serif" w:hAnsi="Times New Roman;Times;Serif"/>
                <w:b/>
                <w:i/>
                <w:sz w:val="20"/>
              </w:rPr>
            </w:pPr>
            <w:r>
              <w:rPr>
                <w:rFonts w:ascii="Times New Roman;Times;Serif" w:hAnsi="Times New Roman;Times;Serif"/>
                <w:b/>
                <w:i/>
                <w:sz w:val="20"/>
              </w:rPr>
              <w:t>Changes in Internal Controls Over Financial Reporting</w:t>
            </w:r>
          </w:p>
        </w:tc>
      </w:tr>
    </w:tbl>
    <w:p>
      <w:pPr>
        <w:pStyle w:val="TextBody"/>
        <w:spacing w:before="0" w:after="0"/>
        <w:ind w:left="360" w:right="0" w:firstLine="979"/>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not identified any change in the Company’s internal control over financial reporting that occurred during the third quarter of 2020 that has materially affected, or is reasonably likely to materially affect, the Company’s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3" w:name="x_005"/>
      <w:bookmarkEnd w:id="13"/>
      <w:r>
        <w:rPr>
          <w:rFonts w:ascii="Times New Roman;Times;Serif" w:hAnsi="Times New Roman;Times;Serif"/>
          <w:b/>
          <w:i w:val="false"/>
          <w:caps w:val="false"/>
          <w:smallCaps w:val="false"/>
          <w:sz w:val="20"/>
        </w:rPr>
        <w:t>PART II. OTHER INFORMATION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4" w:name="x_006"/>
      <w:bookmarkEnd w:id="14"/>
      <w:r>
        <w:rPr>
          <w:rFonts w:ascii="Times New Roman;Times;Serif" w:hAnsi="Times New Roman;Times;Serif"/>
          <w:b/>
          <w:i w:val="false"/>
          <w:caps w:val="false"/>
          <w:smallCaps w:val="false"/>
          <w:sz w:val="20"/>
        </w:rPr>
        <w:t xml:space="preserve">Item 1. Legal Proceedings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5" w:name="x_007"/>
      <w:bookmarkEnd w:id="15"/>
      <w:r>
        <w:rPr>
          <w:rFonts w:ascii="Times New Roman;Times;Serif" w:hAnsi="Times New Roman;Times;Serif"/>
          <w:b/>
          <w:i w:val="false"/>
          <w:caps w:val="false"/>
          <w:smallCaps w:val="false"/>
          <w:sz w:val="20"/>
        </w:rPr>
        <w:t>Item 1A. Risk Factors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report, you should carefully consider the factors discussed in Part I, “Item 1A. Risk Factors” in our Annual Report on Form 10-K for the fiscal year ended December 31, 2019 (the “Annual Report on Form 10-K”),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nine months ended September 30, 2020, there have been no material changes from the risk factors set forth in our Annual Report on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outside of our control, including public health crises, could negatively affect our portfolio companies and our results of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in December 2019, a novel strain of coronavirus (also known as “COVID-19”) surfaced in China and has since spread and continues to spread to other countries, including the United States. This outbreak has led and for an unknown period of time will continue to lead to disruptions in local, regional, national and global markets and economies affected thereby, including a recession and a steep increase in unemployment in the United States. With respect to the U.S. credit markets (in particular for middle market loans), this outbreak has resulted in, and until fully resolved is likely to continue to result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pStyle w:val="TextBody"/>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several countries, as well as certain states in the United States, have begun to lift public health restrictions with the view to reopening their economies, recurring COVID-19 outbreaks have led to the re-introduction of such restrictions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Any potential impact to our results of operations will depend to a large extent on future developments and new information that could emerge regarding the duration, severity or potential worsening of the COVID-19 pandemic and the actions taken by authorities and other entities to contain the COVID-19 pandemic or treat its impact, all of which are beyond our control.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Quarterly Report on Form 10-Q, it is impossible to determine the scope of this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63</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our and our portfolio companies’ operating results.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operating in a period of capital markets disruption and economic uncertainty.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in the credit markets may impair our ability to secure debt financing.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to finance the growth of our investments on acceptable economic terms, or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the COVID-19 pandemic has resulted in, and until fully resolved is likely to continue to result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consummate credit facilities on commercially reasonable terms, our liquidity may be reduced significantly. If we are unable to repay amounts outstanding under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64</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is uncertainty surrounding potential legal, regulatory and policy changes by new presidential administrations in the United States that may directly affect financial institutions and the global economy.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presidential election will occur on November 3, 2020. Changes in federal policy, including tax policies, and at regulatory agencies occur over time through policy and personnel changes following elections, which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pending the results of the presidential election. Uncertainty surrounding future changes may adversely affect our operating environment and therefore our business, financial condition, results of operations and growth prospects.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relating to the LIBOR calculation process may adversely affect the value of our portfolio of LIBOR-indexed, floating-rate debt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 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It is unclear if after 2021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 In the event that the LIBOR Rate is no longer available or published on a current basis or no longer made available or used for determining the interest rate of loans, our administrative agent that manages our loans will generally select a comparable successor rate; provided that (i) to the extent a comparable or successor rate is approved by the administrative agent, the approved rate shall be applied in a manner consistent with market practice; and (ii) to the extent such market practice is not administratively feasible for the administrative agent, such approved rate shall be applied as otherwise reasonably determined by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our most recent Annual Report on Form 10-K and in this Quarterly Report on Form 10-Q,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Due to the COVID-19 pandemic or other disruptions in the economy, we may not be able to increase our dividends and may reduce or defer our dividends and choose to incur US federal excise tax in order preserve cash and maintain flexibility.</w:t>
      </w:r>
      <w:r>
        <w:rPr>
          <w:rFonts w:ascii="Times New Roman;Times;Serif" w:hAnsi="Times New Roman;Times;Serif"/>
          <w:b w:val="false"/>
          <w:i w:val="false"/>
          <w:caps w:val="false"/>
          <w:smallCaps w:val="false"/>
          <w:sz w:val="20"/>
        </w:rPr>
        <w:t xml:space="preserve">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4.0% U.S. federal excise tax on some or all of the distribution.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make distributions due to the impact of the COVID-19 pandemic on our net investment income.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“We may in the future choose to pay dividends in our own stock, in which case you may be required to pay tax in excess of the cash you receive.”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 the future choose to pay dividends in our own common stock, in which case you may be required to pay tax in excess of the cash you receive.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taxable dividends that are payable in part in our common stock. In accordance with certain applicable U.S. Department of Treasury regulations and published guidance issued by the Internal Revenue Service, a publicly offered RIC may treat a distribution of its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(which has been temporarily reduced to 10% for distributions declared on or after April 1, 2020, and on or before December 31, 2020)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recent COVID-19 pandemic, shares of BDCs have traded below their respective NAVs. If our shares of common stock trade at a discount from NAV, it could limit our ability to raise equity capital.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COVID-19 pandemic, the stocks of BDCs as an industry, including shares of our common stock, have traded below NAV, at or near historic lows as a result of concerns over liquidity, leverage restrictions and distribution requirements. If our common stock trades below its NAV,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NAV could decrease, and our level of distributions could be impacted.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data regarding our business, results of operations, financial condition and liquidity does not reflect the impact of the COVID-19 pandemic and related containment measures and therefore does not purport to be representative of our future performance.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Quarterly Report on Form 10-Q and our other reports filed with the SEC includes information regarding our business, results of operations, financial condition and liquidity as of dates and for periods before the impact of the COVID-19 pandemic and related containment measures (including quarantines and governmental orders requiring the closure of certain businesses, limiting travel, requiring that individuals stay at home or shelter in place and closing borders). The historical information included in this Quarterly Report on Form 10-Q and in our other reports filed with the SEC that is as of dates and for periods before the impact of the COVID-19 pandemic does not reflect the adverse impacts of the COVID-19 pandemic and related containment measures. Accordingly, investors are cautioned not to unduly rely on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6" w:name="x_008"/>
      <w:bookmarkEnd w:id="16"/>
      <w:r>
        <w:rPr>
          <w:rFonts w:ascii="Times New Roman;Times;Serif" w:hAnsi="Times New Roman;Times;Serif"/>
          <w:b/>
          <w:i w:val="false"/>
          <w:caps w:val="false"/>
          <w:smallCaps w:val="false"/>
          <w:sz w:val="20"/>
        </w:rPr>
        <w:t>Item 2. Unregistered Sales of Equity Securities and Use of Proceeds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7" w:name="x_009"/>
      <w:bookmarkEnd w:id="17"/>
      <w:r>
        <w:rPr>
          <w:rFonts w:ascii="Times New Roman;Times;Serif" w:hAnsi="Times New Roman;Times;Serif"/>
          <w:b/>
          <w:i w:val="false"/>
          <w:caps w:val="false"/>
          <w:smallCaps w:val="false"/>
          <w:sz w:val="20"/>
        </w:rPr>
        <w:t>Item 3. Defaults Upon Senior Securities</w:t>
      </w:r>
    </w:p>
    <w:p>
      <w:pPr>
        <w:pStyle w:val="TextBody"/>
        <w:spacing w:before="0" w:after="0"/>
        <w:ind w:left="0" w:right="0" w:firstLine="99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8" w:name="x_010"/>
      <w:bookmarkEnd w:id="18"/>
      <w:r>
        <w:rPr>
          <w:rFonts w:ascii="Times New Roman;Times;Serif" w:hAnsi="Times New Roman;Times;Serif"/>
          <w:b/>
          <w:i w:val="false"/>
          <w:caps w:val="false"/>
          <w:smallCaps w:val="false"/>
          <w:sz w:val="20"/>
        </w:rPr>
        <w:t>Item 4. Mine Safety Disclosures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979"/>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9" w:name="x_011"/>
      <w:bookmarkEnd w:id="19"/>
      <w:r>
        <w:rPr>
          <w:rFonts w:ascii="Times New Roman;Times;Serif" w:hAnsi="Times New Roman;Times;Serif"/>
          <w:b/>
          <w:i w:val="false"/>
          <w:caps w:val="false"/>
          <w:smallCaps w:val="false"/>
          <w:sz w:val="20"/>
        </w:rPr>
        <w:t>Item 5. Other Information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0" w:name="x_012"/>
      <w:bookmarkEnd w:id="20"/>
      <w:r>
        <w:rPr>
          <w:rFonts w:ascii="Times New Roman;Times;Serif" w:hAnsi="Times New Roman;Times;Serif"/>
          <w:b/>
          <w:i w:val="false"/>
          <w:caps w:val="false"/>
          <w:smallCaps w:val="false"/>
          <w:sz w:val="20"/>
        </w:rPr>
        <w:t>Item 6. Exhibits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 or hereby incorporated by reference to exhibits previously filed with the SEC:</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5"/>
        <w:gridCol w:w="60"/>
        <w:gridCol w:w="9420"/>
      </w:tblGrid>
      <w:tr>
        <w:trPr/>
        <w:tc>
          <w:tcPr>
            <w:tcW w:w="72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rPr/>
            </w:pPr>
            <w:r>
              <w:rPr/>
              <w:t> </w:t>
            </w:r>
          </w:p>
        </w:tc>
      </w:tr>
      <w:tr>
        <w:trPr/>
        <w:tc>
          <w:tcPr>
            <w:tcW w:w="72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Number</w:t>
            </w:r>
          </w:p>
        </w:tc>
        <w:tc>
          <w:tcPr>
            <w:tcW w:w="60" w:type="dxa"/>
            <w:tcBorders/>
            <w:shd w:fill="auto" w:val="clear"/>
            <w:vAlign w:val="center"/>
          </w:tcPr>
          <w:p>
            <w:pPr>
              <w:pStyle w:val="TableContents"/>
              <w:spacing w:before="0" w:after="283"/>
              <w:rPr/>
            </w:pPr>
            <w:r>
              <w:rPr/>
              <w:t> </w:t>
            </w:r>
          </w:p>
        </w:tc>
        <w:tc>
          <w:tcPr>
            <w:tcW w:w="942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shd w:fill="auto" w:val="clear"/>
            <w:vAlign w:val="center"/>
          </w:tcPr>
          <w:p>
            <w:pPr>
              <w:pStyle w:val="TableContents"/>
              <w:spacing w:before="0" w:after="283"/>
              <w:rPr/>
            </w:pPr>
            <w:hyperlink r:id="rId2">
              <w:r>
                <w:rPr>
                  <w:rStyle w:val="InternetLink"/>
                  <w:rFonts w:ascii="Times New Roman;Times;Serif" w:hAnsi="Times New Roman;Times;Serif"/>
                  <w:sz w:val="20"/>
                </w:rPr>
                <w:t>3.1</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3">
              <w:r>
                <w:rPr>
                  <w:rStyle w:val="InternetLink"/>
                  <w:rFonts w:ascii="Times New Roman;Times;Serif" w:hAnsi="Times New Roman;Times;Serif"/>
                  <w:sz w:val="20"/>
                </w:rPr>
                <w:t xml:space="preserve">Articles of Amendment and Restatement </w:t>
              </w:r>
            </w:hyperlink>
            <w:hyperlink r:id="rId4">
              <w:r>
                <w:rPr>
                  <w:rStyle w:val="InternetLink"/>
                  <w:rFonts w:ascii="Times New Roman;Times;Serif" w:hAnsi="Times New Roman;Times;Serif"/>
                  <w:position w:val="7"/>
                  <w:sz w:val="16"/>
                  <w:sz w:val="20"/>
                </w:rPr>
                <w:t>(1)</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5">
              <w:r>
                <w:rPr>
                  <w:rStyle w:val="InternetLink"/>
                  <w:rFonts w:ascii="Times New Roman;Times;Serif" w:hAnsi="Times New Roman;Times;Serif"/>
                  <w:sz w:val="20"/>
                </w:rPr>
                <w:t>3.2</w:t>
              </w:r>
            </w:hyperlink>
          </w:p>
        </w:tc>
        <w:tc>
          <w:tcPr>
            <w:tcW w:w="60" w:type="dxa"/>
            <w:tcBorders/>
            <w:shd w:fill="auto" w:val="clear"/>
            <w:vAlign w:val="center"/>
          </w:tcPr>
          <w:p>
            <w:pPr>
              <w:pStyle w:val="TableContents"/>
              <w:spacing w:before="0" w:after="283"/>
              <w:jc w:val="both"/>
              <w:rPr/>
            </w:pPr>
            <w:r>
              <w:rPr/>
              <w:t> </w:t>
            </w:r>
          </w:p>
        </w:tc>
        <w:tc>
          <w:tcPr>
            <w:tcW w:w="9420" w:type="dxa"/>
            <w:tcBorders/>
            <w:shd w:fill="auto" w:val="clear"/>
            <w:vAlign w:val="center"/>
          </w:tcPr>
          <w:p>
            <w:pPr>
              <w:pStyle w:val="TableContents"/>
              <w:spacing w:before="0" w:after="283"/>
              <w:jc w:val="both"/>
              <w:rPr/>
            </w:pPr>
            <w:hyperlink r:id="rId6">
              <w:r>
                <w:rPr>
                  <w:rStyle w:val="InternetLink"/>
                  <w:rFonts w:ascii="Times New Roman;Times;Serif" w:hAnsi="Times New Roman;Times;Serif"/>
                  <w:sz w:val="20"/>
                </w:rPr>
                <w:t xml:space="preserve">Articles of Amendment </w:t>
              </w:r>
            </w:hyperlink>
            <w:hyperlink r:id="rId7">
              <w:r>
                <w:rPr>
                  <w:rStyle w:val="InternetLink"/>
                  <w:rFonts w:ascii="Times New Roman;Times;Serif" w:hAnsi="Times New Roman;Times;Serif"/>
                  <w:position w:val="7"/>
                  <w:sz w:val="16"/>
                  <w:sz w:val="20"/>
                </w:rPr>
                <w:t>(4)</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8">
              <w:r>
                <w:rPr>
                  <w:rStyle w:val="InternetLink"/>
                  <w:rFonts w:ascii="Times New Roman;Times;Serif" w:hAnsi="Times New Roman;Times;Serif"/>
                  <w:sz w:val="20"/>
                </w:rPr>
                <w:t>3.3</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9">
              <w:r>
                <w:rPr>
                  <w:rStyle w:val="InternetLink"/>
                  <w:rFonts w:ascii="Times New Roman;Times;Serif" w:hAnsi="Times New Roman;Times;Serif"/>
                  <w:sz w:val="20"/>
                </w:rPr>
                <w:t xml:space="preserve">Certificate of Limited Partnership of CapitalSouth Partners Fund II Limited Partnership </w:t>
              </w:r>
            </w:hyperlink>
            <w:hyperlink r:id="rId10">
              <w:r>
                <w:rPr>
                  <w:rStyle w:val="InternetLink"/>
                  <w:rFonts w:ascii="Times New Roman;Times;Serif" w:hAnsi="Times New Roman;Times;Serif"/>
                  <w:position w:val="7"/>
                  <w:sz w:val="16"/>
                  <w:sz w:val="20"/>
                </w:rPr>
                <w:t>(2)</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11">
              <w:r>
                <w:rPr>
                  <w:rStyle w:val="InternetLink"/>
                  <w:rFonts w:ascii="Times New Roman;Times;Serif" w:hAnsi="Times New Roman;Times;Serif"/>
                  <w:sz w:val="20"/>
                </w:rPr>
                <w:t>3.4</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12">
              <w:r>
                <w:rPr>
                  <w:rStyle w:val="InternetLink"/>
                  <w:rFonts w:ascii="Times New Roman;Times;Serif" w:hAnsi="Times New Roman;Times;Serif"/>
                  <w:sz w:val="20"/>
                </w:rPr>
                <w:t xml:space="preserve">Certificate of Limited Partnership of CapitalSouth Partners SBIC Fund III, L.P. </w:t>
              </w:r>
            </w:hyperlink>
            <w:hyperlink r:id="rId13">
              <w:r>
                <w:rPr>
                  <w:rStyle w:val="InternetLink"/>
                  <w:rFonts w:ascii="Times New Roman;Times;Serif" w:hAnsi="Times New Roman;Times;Serif"/>
                  <w:position w:val="7"/>
                  <w:sz w:val="16"/>
                  <w:sz w:val="20"/>
                </w:rPr>
                <w:t>(2)</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14">
              <w:r>
                <w:rPr>
                  <w:rStyle w:val="InternetLink"/>
                  <w:rFonts w:ascii="Times New Roman;Times;Serif" w:hAnsi="Times New Roman;Times;Serif"/>
                  <w:sz w:val="20"/>
                </w:rPr>
                <w:t>3.5</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15">
              <w:r>
                <w:rPr>
                  <w:rStyle w:val="InternetLink"/>
                  <w:rFonts w:ascii="Times New Roman;Times;Serif" w:hAnsi="Times New Roman;Times;Serif"/>
                  <w:sz w:val="20"/>
                </w:rPr>
                <w:t xml:space="preserve">Bylaws </w:t>
              </w:r>
            </w:hyperlink>
            <w:hyperlink r:id="rId16">
              <w:r>
                <w:rPr>
                  <w:rStyle w:val="InternetLink"/>
                  <w:rFonts w:ascii="Times New Roman;Times;Serif" w:hAnsi="Times New Roman;Times;Serif"/>
                  <w:position w:val="7"/>
                  <w:sz w:val="16"/>
                  <w:sz w:val="20"/>
                </w:rPr>
                <w:t>(1)</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17">
              <w:r>
                <w:rPr>
                  <w:rStyle w:val="InternetLink"/>
                  <w:rFonts w:ascii="Times New Roman;Times;Serif" w:hAnsi="Times New Roman;Times;Serif"/>
                  <w:sz w:val="20"/>
                </w:rPr>
                <w:t>3.6</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18">
              <w:r>
                <w:rPr>
                  <w:rStyle w:val="InternetLink"/>
                  <w:rFonts w:ascii="Times New Roman;Times;Serif" w:hAnsi="Times New Roman;Times;Serif"/>
                  <w:sz w:val="20"/>
                </w:rPr>
                <w:t xml:space="preserve">Form of Amended and Restated Limited Partnership Agreement of CapitalSouth Partners Fund II Limited Partnership </w:t>
              </w:r>
            </w:hyperlink>
            <w:hyperlink r:id="rId19">
              <w:r>
                <w:rPr>
                  <w:rStyle w:val="InternetLink"/>
                  <w:rFonts w:ascii="Times New Roman;Times;Serif" w:hAnsi="Times New Roman;Times;Serif"/>
                  <w:position w:val="7"/>
                  <w:sz w:val="16"/>
                  <w:sz w:val="20"/>
                </w:rPr>
                <w:t>(3)</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20">
              <w:r>
                <w:rPr>
                  <w:rStyle w:val="InternetLink"/>
                  <w:rFonts w:ascii="Times New Roman;Times;Serif" w:hAnsi="Times New Roman;Times;Serif"/>
                  <w:sz w:val="20"/>
                </w:rPr>
                <w:t>3.7</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21">
              <w:r>
                <w:rPr>
                  <w:rStyle w:val="InternetLink"/>
                  <w:rFonts w:ascii="Times New Roman;Times;Serif" w:hAnsi="Times New Roman;Times;Serif"/>
                  <w:sz w:val="20"/>
                </w:rPr>
                <w:t xml:space="preserve">Form of Amended and Restated Agreement of Limited Partnership of CapitalSouth Partners SBIC Fund III, L.P. </w:t>
              </w:r>
            </w:hyperlink>
            <w:hyperlink r:id="rId22">
              <w:r>
                <w:rPr>
                  <w:rStyle w:val="InternetLink"/>
                  <w:rFonts w:ascii="Times New Roman;Times;Serif" w:hAnsi="Times New Roman;Times;Serif"/>
                  <w:position w:val="7"/>
                  <w:sz w:val="16"/>
                  <w:sz w:val="20"/>
                </w:rPr>
                <w:t>(3)</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23">
              <w:r>
                <w:rPr>
                  <w:rStyle w:val="InternetLink"/>
                  <w:rFonts w:ascii="Times New Roman;Times;Serif" w:hAnsi="Times New Roman;Times;Serif"/>
                  <w:sz w:val="20"/>
                </w:rPr>
                <w:t>4.1</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24">
              <w:r>
                <w:rPr>
                  <w:rStyle w:val="InternetLink"/>
                  <w:rFonts w:ascii="Times New Roman;Times;Serif" w:hAnsi="Times New Roman;Times;Serif"/>
                  <w:sz w:val="20"/>
                </w:rPr>
                <w:t xml:space="preserve">Form of Common Stock Certificate </w:t>
              </w:r>
            </w:hyperlink>
            <w:hyperlink r:id="rId25">
              <w:r>
                <w:rPr>
                  <w:rStyle w:val="InternetLink"/>
                  <w:rFonts w:ascii="Times New Roman;Times;Serif" w:hAnsi="Times New Roman;Times;Serif"/>
                  <w:position w:val="7"/>
                  <w:sz w:val="16"/>
                  <w:sz w:val="20"/>
                </w:rPr>
                <w:t>(1)</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26">
              <w:r>
                <w:rPr>
                  <w:rStyle w:val="InternetLink"/>
                  <w:rFonts w:ascii="Times New Roman;Times;Serif" w:hAnsi="Times New Roman;Times;Serif"/>
                  <w:sz w:val="20"/>
                </w:rPr>
                <w:t>10.1</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27">
              <w:r>
                <w:rPr>
                  <w:rStyle w:val="InternetLink"/>
                  <w:rFonts w:ascii="Times New Roman;Times;Serif" w:hAnsi="Times New Roman;Times;Serif"/>
                  <w:sz w:val="20"/>
                </w:rPr>
                <w:t xml:space="preserve">Revolving Credit and Security Agreement, dated as of October 30, 2020, among Capitala Business Lending, LLC, as the borrower, Capitala Investment Advisors, LLC, as the collateral manager, the lenders from time to time parties thereto, KeyBank National Association, as the administrative agent, and U.S. Bank National Association, as the custodian </w:t>
              </w:r>
            </w:hyperlink>
            <w:hyperlink r:id="rId28">
              <w:r>
                <w:rPr>
                  <w:rStyle w:val="InternetLink"/>
                  <w:rFonts w:ascii="Times New Roman;Times;Serif" w:hAnsi="Times New Roman;Times;Serif"/>
                  <w:position w:val="7"/>
                  <w:sz w:val="16"/>
                  <w:sz w:val="20"/>
                </w:rPr>
                <w:t>(5)</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r:id="rId29">
              <w:r>
                <w:rPr>
                  <w:rStyle w:val="InternetLink"/>
                  <w:rFonts w:ascii="Times New Roman;Times;Serif" w:hAnsi="Times New Roman;Times;Serif"/>
                  <w:sz w:val="20"/>
                </w:rPr>
                <w:t>10.2</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r:id="rId30">
              <w:r>
                <w:rPr>
                  <w:rStyle w:val="InternetLink"/>
                  <w:rFonts w:ascii="Times New Roman;Times;Serif" w:hAnsi="Times New Roman;Times;Serif"/>
                  <w:sz w:val="20"/>
                </w:rPr>
                <w:t xml:space="preserve">Purchase and Contribution Agreement, dated as of October 30, 2020, by and between Capitala Business Lending, LLC, as the purchaser, and Capitala Finance Corp., as the transferor </w:t>
              </w:r>
            </w:hyperlink>
            <w:hyperlink r:id="rId31">
              <w:r>
                <w:rPr>
                  <w:rStyle w:val="InternetLink"/>
                  <w:rFonts w:ascii="Times New Roman;Times;Serif" w:hAnsi="Times New Roman;Times;Serif"/>
                  <w:position w:val="7"/>
                  <w:sz w:val="16"/>
                  <w:sz w:val="20"/>
                </w:rPr>
                <w:t>(5)</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w:anchor="tm2034534d1_ex31-1.htm">
              <w:r>
                <w:rPr>
                  <w:rStyle w:val="InternetLink"/>
                  <w:rFonts w:ascii="Times New Roman;Times;Serif" w:hAnsi="Times New Roman;Times;Serif"/>
                  <w:sz w:val="20"/>
                </w:rPr>
                <w:t>31.1</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w:anchor="tm2034534d1_ex31-1.htm">
              <w:r>
                <w:rPr>
                  <w:rStyle w:val="InternetLink"/>
                  <w:rFonts w:ascii="Times New Roman;Times;Serif" w:hAnsi="Times New Roman;Times;Serif"/>
                  <w:sz w:val="20"/>
                </w:rPr>
                <w:t>Certification of Chief Executive Officer pursuant to Rule 13a-14 of the Securities Exchange Act of 1934, as adopted pursuant to Section 302 of the Sarbanes-Oxley Act of 2002 (filed herewith)</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w:anchor="tm2034534d1_ex31-2.htm">
              <w:r>
                <w:rPr>
                  <w:rStyle w:val="InternetLink"/>
                  <w:rFonts w:ascii="Times New Roman;Times;Serif" w:hAnsi="Times New Roman;Times;Serif"/>
                  <w:sz w:val="20"/>
                </w:rPr>
                <w:t>31.2</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w:anchor="tm2034534d1_ex31-2.htm">
              <w:r>
                <w:rPr>
                  <w:rStyle w:val="InternetLink"/>
                  <w:rFonts w:ascii="Times New Roman;Times;Serif" w:hAnsi="Times New Roman;Times;Serif"/>
                  <w:sz w:val="20"/>
                </w:rPr>
                <w:t>Certification of Chief Financial Officer pursuant to Rule 13a-14 of the Securities Exchange Act of 1934, as adopted pursuant to Section 302 of the Sarbanes-Oxley Act of 2002 (filed herewith)</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w:anchor="tm2034534d1_ex32-1.htm">
              <w:r>
                <w:rPr>
                  <w:rStyle w:val="InternetLink"/>
                  <w:rFonts w:ascii="Times New Roman;Times;Serif" w:hAnsi="Times New Roman;Times;Serif"/>
                  <w:sz w:val="20"/>
                </w:rPr>
                <w:t>32.1</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w:anchor="tm2034534d1_ex32-1.htm">
              <w:r>
                <w:rPr>
                  <w:rStyle w:val="InternetLink"/>
                  <w:rFonts w:ascii="Times New Roman;Times;Serif" w:hAnsi="Times New Roman;Times;Serif"/>
                  <w:sz w:val="20"/>
                </w:rPr>
                <w:t>Certification of Chief Executive Officer pursuant to 18 U.S.C. Section 1350, as adopted pursuant to section 906 of the Sarbanes-Oxley Act of 2002 (filed herewith)</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Pr>
            <w:hyperlink w:anchor="tm2034534d1_ex32-2.htm">
              <w:r>
                <w:rPr>
                  <w:rStyle w:val="InternetLink"/>
                  <w:rFonts w:ascii="Times New Roman;Times;Serif" w:hAnsi="Times New Roman;Times;Serif"/>
                  <w:sz w:val="20"/>
                </w:rPr>
                <w:t>32.2</w:t>
              </w:r>
            </w:hyperlink>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hyperlink w:anchor="tm2034534d1_ex32-2.htm">
              <w:r>
                <w:rPr>
                  <w:rStyle w:val="InternetLink"/>
                  <w:rFonts w:ascii="Times New Roman;Times;Serif" w:hAnsi="Times New Roman;Times;Serif"/>
                  <w:sz w:val="20"/>
                </w:rPr>
                <w:t>Certification of Chief Financial Officer pursuant to 18 U.S.C. Section 1350, as adopted pursuant to section 906 of the Sarbanes-Oxley Act of 2002 (filed herewith)</w:t>
              </w:r>
            </w:hyperlink>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Previously filed in connection with the Pre-Effective Amendment No. 1 to Capitala Finance Corp.’s registration statement on Form N-2 (File No. 333-188956) filed on September 9, 2013.</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Previously filed in connection with Pre-Effective Amendment No. 2 to Capitala Finance Corp.’s registration statement on Form N-2 (File No. 333-188956) filed on September 17, 2013.</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Previously filed in connection with Pre-Effective Amendment No. 5 to Capitala Finance Corp.’s registration statement on Form N-2 (File No. 333-188956) filed on September 24, 2013.</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Previously filed in connection with Capitala Finance Corp.'s report on Form 8-K on August 4, 2020.</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pPr>
            <w:r>
              <w:rPr/>
              <w:t> </w:t>
            </w:r>
          </w:p>
        </w:tc>
      </w:tr>
      <w:tr>
        <w:trPr/>
        <w:tc>
          <w:tcPr>
            <w:tcW w:w="725" w:type="dxa"/>
            <w:tcBorders/>
            <w:shd w:fill="auto" w:val="clear"/>
            <w:vAlign w:val="center"/>
          </w:tcPr>
          <w:p>
            <w:pPr>
              <w:pStyle w:val="TableContents"/>
              <w:spacing w:before="0" w:after="283"/>
              <w:rPr>
                <w:position w:val="7"/>
                <w:sz w:val="16"/>
                <w:sz w:val="20"/>
              </w:rPr>
            </w:pPr>
            <w:r>
              <w:rPr>
                <w:position w:val="7"/>
                <w:sz w:val="16"/>
                <w:sz w:val="20"/>
              </w:rPr>
              <w:t>(5)</w:t>
            </w:r>
          </w:p>
        </w:tc>
        <w:tc>
          <w:tcPr>
            <w:tcW w:w="60" w:type="dxa"/>
            <w:tcBorders/>
            <w:shd w:fill="auto" w:val="clear"/>
            <w:vAlign w:val="center"/>
          </w:tcPr>
          <w:p>
            <w:pPr>
              <w:pStyle w:val="TableContents"/>
              <w:spacing w:before="0" w:after="283"/>
              <w:rPr/>
            </w:pPr>
            <w:r>
              <w:rPr/>
              <w:t> </w:t>
            </w:r>
          </w:p>
        </w:tc>
        <w:tc>
          <w:tcPr>
            <w:tcW w:w="9420" w:type="dxa"/>
            <w:tcBorders/>
            <w:shd w:fill="auto" w:val="clear"/>
            <w:vAlign w:val="center"/>
          </w:tcPr>
          <w:p>
            <w:pPr>
              <w:pStyle w:val="TableContents"/>
              <w:spacing w:before="0" w:after="283"/>
              <w:jc w:val="both"/>
              <w:rPr>
                <w:sz w:val="20"/>
              </w:rPr>
            </w:pPr>
            <w:r>
              <w:rPr>
                <w:sz w:val="20"/>
              </w:rPr>
              <w:t>Previously filed in connection with Capitala Finance Corp.'s report on Form 8-K on November 3,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1" w:name="x_014"/>
      <w:bookmarkEnd w:id="21"/>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979"/>
        <w:rPr>
          <w:caps w:val="false"/>
          <w:smallCaps w:val="false"/>
        </w:rPr>
      </w:pPr>
      <w:r>
        <w:rPr>
          <w:caps w:val="false"/>
          <w:smallCaps w:val="false"/>
        </w:rPr>
        <w:t> </w:t>
      </w:r>
    </w:p>
    <w:tbl>
      <w:tblPr>
        <w:tblW w:w="4905" w:type="dxa"/>
        <w:jc w:val="left"/>
        <w:tblInd w:w="0" w:type="dxa"/>
        <w:tblCellMar>
          <w:top w:w="0" w:type="dxa"/>
          <w:left w:w="0" w:type="dxa"/>
          <w:bottom w:w="0" w:type="dxa"/>
          <w:right w:w="0" w:type="dxa"/>
        </w:tblCellMar>
      </w:tblPr>
      <w:tblGrid>
        <w:gridCol w:w="2015"/>
        <w:gridCol w:w="350"/>
        <w:gridCol w:w="2540"/>
      </w:tblGrid>
      <w:tr>
        <w:trPr/>
        <w:tc>
          <w:tcPr>
            <w:tcW w:w="2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November 3, 2020</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w:t>
            </w:r>
          </w:p>
        </w:tc>
        <w:tc>
          <w:tcPr>
            <w:tcW w:w="254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Joseph B. Alala III</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Joseph B. Alala III</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(Principal Executive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Capitala Finance Corp.</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November 3, 2020</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4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Stephen A. Arnall</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Stephen A. Arnall</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(Principal Financial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Capitala Finance Corp.</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November 3, 2020</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4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Kevin A. Koonts</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Kevin A. Koonts</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Accounting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(Principal Accounting Officer)</w:t>
            </w:r>
          </w:p>
        </w:tc>
      </w:tr>
      <w:tr>
        <w:trPr/>
        <w:tc>
          <w:tcPr>
            <w:tcW w:w="201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Capitala Finance Corp.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69</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22" w:name="tm2034534d1_ex31-1.htm"/>
      <w:bookmarkStart w:id="23" w:name="kstm2034534d1_ex311"/>
      <w:bookmarkEnd w:id="22"/>
      <w:bookmarkEnd w:id="23"/>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 OF THE SECURITIES EXCHANGE ACT OF 1934, AS ADOPTED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spacing w:before="0" w:after="0"/>
        <w:ind w:left="0" w:right="0" w:firstLine="720"/>
        <w:rPr>
          <w:caps w:val="false"/>
          <w:smallCaps w:val="false"/>
        </w:rPr>
      </w:pPr>
      <w:r>
        <w:rPr>
          <w:caps w:val="false"/>
          <w:smallCaps w:val="false"/>
        </w:rPr>
        <w:t> </w:t>
      </w:r>
    </w:p>
    <w:p>
      <w:pPr>
        <w:pStyle w:val="TextBody"/>
        <w:spacing w:before="0" w:after="0"/>
        <w:ind w:left="489" w:right="0" w:hanging="49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B. Alala III, certify that:</w:t>
      </w:r>
    </w:p>
    <w:p>
      <w:pPr>
        <w:pStyle w:val="TextBody"/>
        <w:spacing w:before="0" w:after="0"/>
        <w:ind w:left="489" w:right="0" w:hanging="490"/>
        <w:rPr>
          <w:caps w:val="false"/>
          <w:smallCaps w:val="false"/>
        </w:rPr>
      </w:pPr>
      <w:r>
        <w:rPr>
          <w:caps w:val="false"/>
          <w:smallCaps w:val="false"/>
        </w:rPr>
        <w:t> </w:t>
      </w:r>
    </w:p>
    <w:tbl>
      <w:tblPr>
        <w:tblW w:w="6670" w:type="dxa"/>
        <w:jc w:val="left"/>
        <w:tblInd w:w="0" w:type="dxa"/>
        <w:tblCellMar>
          <w:top w:w="0" w:type="dxa"/>
          <w:left w:w="0" w:type="dxa"/>
          <w:bottom w:w="0" w:type="dxa"/>
          <w:right w:w="0" w:type="dxa"/>
        </w:tblCellMar>
      </w:tblPr>
      <w:tblGrid>
        <w:gridCol w:w="75"/>
        <w:gridCol w:w="170"/>
        <w:gridCol w:w="64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Capitala Finance Corp.;</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2"/>
        <w:gridCol w:w="9988"/>
      </w:tblGrid>
      <w:tr>
        <w:trPr/>
        <w:tc>
          <w:tcPr>
            <w:tcW w:w="75"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3"/>
        <w:gridCol w:w="9987"/>
      </w:tblGrid>
      <w:tr>
        <w:trPr/>
        <w:tc>
          <w:tcPr>
            <w:tcW w:w="75"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8"/>
        <w:gridCol w:w="9992"/>
      </w:tblGrid>
      <w:tr>
        <w:trPr/>
        <w:tc>
          <w:tcPr>
            <w:tcW w:w="7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1"/>
        <w:gridCol w:w="9939"/>
      </w:tblGrid>
      <w:tr>
        <w:trPr/>
        <w:tc>
          <w:tcPr>
            <w:tcW w:w="75" w:type="dxa"/>
            <w:tcBorders/>
            <w:shd w:fill="auto" w:val="clear"/>
            <w:vAlign w:val="center"/>
          </w:tcPr>
          <w:p>
            <w:pPr>
              <w:pStyle w:val="TableContents"/>
              <w:spacing w:before="0" w:after="283"/>
              <w:jc w:val="both"/>
              <w:rPr/>
            </w:pPr>
            <w:r>
              <w:rPr/>
              <w:t> </w:t>
            </w:r>
          </w:p>
        </w:tc>
        <w:tc>
          <w:tcPr>
            <w:tcW w:w="1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4"/>
        <w:gridCol w:w="9926"/>
      </w:tblGrid>
      <w:tr>
        <w:trPr/>
        <w:tc>
          <w:tcPr>
            <w:tcW w:w="75" w:type="dxa"/>
            <w:tcBorders/>
            <w:shd w:fill="auto" w:val="clear"/>
            <w:vAlign w:val="center"/>
          </w:tcPr>
          <w:p>
            <w:pPr>
              <w:pStyle w:val="TableContents"/>
              <w:spacing w:before="0" w:after="283"/>
              <w:jc w:val="both"/>
              <w:rPr/>
            </w:pPr>
            <w:r>
              <w:rPr/>
              <w:t> </w:t>
            </w:r>
          </w:p>
        </w:tc>
        <w:tc>
          <w:tcPr>
            <w:tcW w:w="20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jc w:val="both"/>
              <w:rPr/>
            </w:pPr>
            <w:r>
              <w:rPr/>
              <w:t> </w:t>
            </w:r>
          </w:p>
        </w:tc>
        <w:tc>
          <w:tcPr>
            <w:tcW w:w="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4"/>
        <w:gridCol w:w="9926"/>
      </w:tblGrid>
      <w:tr>
        <w:trPr/>
        <w:tc>
          <w:tcPr>
            <w:tcW w:w="75" w:type="dxa"/>
            <w:tcBorders/>
            <w:shd w:fill="auto" w:val="clear"/>
            <w:vAlign w:val="center"/>
          </w:tcPr>
          <w:p>
            <w:pPr>
              <w:pStyle w:val="TableContents"/>
              <w:spacing w:before="0" w:after="283"/>
              <w:jc w:val="both"/>
              <w:rPr/>
            </w:pPr>
            <w:r>
              <w:rPr/>
              <w:t> </w:t>
            </w:r>
          </w:p>
        </w:tc>
        <w:tc>
          <w:tcPr>
            <w:tcW w:w="20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3"/>
        <w:gridCol w:w="9987"/>
      </w:tblGrid>
      <w:tr>
        <w:trPr/>
        <w:tc>
          <w:tcPr>
            <w:tcW w:w="75"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jc w:val="both"/>
              <w:rPr/>
            </w:pPr>
            <w:r>
              <w:rPr/>
              <w:t> </w:t>
            </w:r>
          </w:p>
        </w:tc>
        <w:tc>
          <w:tcPr>
            <w:tcW w:w="19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7"/>
        <w:gridCol w:w="9903"/>
      </w:tblGrid>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489" w:right="0" w:hanging="4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2020</w:t>
      </w:r>
    </w:p>
    <w:p>
      <w:pPr>
        <w:pStyle w:val="TextBody"/>
        <w:spacing w:before="0" w:after="0"/>
        <w:ind w:left="0" w:right="0" w:firstLine="720"/>
        <w:rPr>
          <w:caps w:val="false"/>
          <w:smallCaps w:val="false"/>
        </w:rPr>
      </w:pPr>
      <w:r>
        <w:rPr>
          <w:caps w:val="false"/>
          <w:smallCaps w:val="false"/>
        </w:rPr>
        <w:t> </w:t>
      </w:r>
    </w:p>
    <w:tbl>
      <w:tblPr>
        <w:tblW w:w="2465" w:type="dxa"/>
        <w:jc w:val="left"/>
        <w:tblInd w:w="0" w:type="dxa"/>
        <w:tblCellMar>
          <w:top w:w="0" w:type="dxa"/>
          <w:left w:w="0" w:type="dxa"/>
          <w:bottom w:w="0" w:type="dxa"/>
          <w:right w:w="0" w:type="dxa"/>
        </w:tblCellMar>
      </w:tblPr>
      <w:tblGrid>
        <w:gridCol w:w="75"/>
        <w:gridCol w:w="2390"/>
      </w:tblGrid>
      <w:tr>
        <w:trPr/>
        <w:tc>
          <w:tcPr>
            <w:tcW w:w="75" w:type="dxa"/>
            <w:tcBorders/>
            <w:shd w:fill="auto" w:val="clear"/>
            <w:vAlign w:val="center"/>
          </w:tcPr>
          <w:p>
            <w:pPr>
              <w:pStyle w:val="TableContents"/>
              <w:spacing w:before="0" w:after="283"/>
              <w:rPr/>
            </w:pPr>
            <w:r>
              <w:rPr/>
              <w:t> </w:t>
            </w:r>
          </w:p>
        </w:tc>
        <w:tc>
          <w:tcPr>
            <w:tcW w:w="239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B. Alala III</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B. Alala III</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Finance Corp.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24" w:name="tm2034534d1_ex31-2.htm"/>
      <w:bookmarkStart w:id="25" w:name="kstm2034534d1_ex312"/>
      <w:bookmarkEnd w:id="24"/>
      <w:bookmarkEnd w:id="25"/>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 OF THE SECURITIES EXCHANGE ACT OF 1934, AS ADOPTED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489" w:right="0" w:hanging="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A. Arnall, certify that:</w:t>
      </w:r>
    </w:p>
    <w:p>
      <w:pPr>
        <w:pStyle w:val="TextBody"/>
        <w:spacing w:before="0" w:after="0"/>
        <w:ind w:left="489" w:right="0" w:hanging="490"/>
        <w:jc w:val="both"/>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185"/>
        <w:gridCol w:w="6425"/>
      </w:tblGrid>
      <w:tr>
        <w:trPr/>
        <w:tc>
          <w:tcPr>
            <w:tcW w:w="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4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Capitala Finance Corp.;</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1"/>
        <w:gridCol w:w="9939"/>
      </w:tblGrid>
      <w:tr>
        <w:trPr/>
        <w:tc>
          <w:tcPr>
            <w:tcW w:w="75" w:type="dxa"/>
            <w:tcBorders/>
            <w:shd w:fill="auto" w:val="clear"/>
            <w:vAlign w:val="center"/>
          </w:tcPr>
          <w:p>
            <w:pPr>
              <w:pStyle w:val="TableContents"/>
              <w:spacing w:before="0" w:after="283"/>
              <w:jc w:val="both"/>
              <w:rPr/>
            </w:pPr>
            <w:r>
              <w:rPr/>
              <w:t> </w:t>
            </w:r>
          </w:p>
        </w:tc>
        <w:tc>
          <w:tcPr>
            <w:tcW w:w="1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4"/>
        <w:gridCol w:w="9926"/>
      </w:tblGrid>
      <w:tr>
        <w:trPr/>
        <w:tc>
          <w:tcPr>
            <w:tcW w:w="75" w:type="dxa"/>
            <w:tcBorders/>
            <w:shd w:fill="auto" w:val="clear"/>
            <w:vAlign w:val="center"/>
          </w:tcPr>
          <w:p>
            <w:pPr>
              <w:pStyle w:val="TableContents"/>
              <w:spacing w:before="0" w:after="283"/>
              <w:jc w:val="both"/>
              <w:rPr/>
            </w:pPr>
            <w:r>
              <w:rPr/>
              <w:t> </w:t>
            </w:r>
          </w:p>
        </w:tc>
        <w:tc>
          <w:tcPr>
            <w:tcW w:w="20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jc w:val="both"/>
              <w:rPr/>
            </w:pPr>
            <w:r>
              <w:rPr/>
              <w:t> </w:t>
            </w:r>
          </w:p>
        </w:tc>
        <w:tc>
          <w:tcPr>
            <w:tcW w:w="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04"/>
        <w:gridCol w:w="9926"/>
      </w:tblGrid>
      <w:tr>
        <w:trPr/>
        <w:tc>
          <w:tcPr>
            <w:tcW w:w="75" w:type="dxa"/>
            <w:tcBorders/>
            <w:shd w:fill="auto" w:val="clear"/>
            <w:vAlign w:val="center"/>
          </w:tcPr>
          <w:p>
            <w:pPr>
              <w:pStyle w:val="TableContents"/>
              <w:spacing w:before="0" w:after="283"/>
              <w:jc w:val="both"/>
              <w:rPr/>
            </w:pPr>
            <w:r>
              <w:rPr/>
              <w:t> </w:t>
            </w:r>
          </w:p>
        </w:tc>
        <w:tc>
          <w:tcPr>
            <w:tcW w:w="20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jc w:val="both"/>
              <w:rPr/>
            </w:pPr>
            <w:r>
              <w:rPr/>
              <w:t> </w:t>
            </w:r>
          </w:p>
        </w:tc>
        <w:tc>
          <w:tcPr>
            <w:tcW w:w="19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7"/>
        <w:gridCol w:w="9903"/>
      </w:tblGrid>
      <w:tr>
        <w:trPr/>
        <w:tc>
          <w:tcPr>
            <w:tcW w:w="75" w:type="dxa"/>
            <w:tcBorders/>
            <w:shd w:fill="auto" w:val="clear"/>
            <w:vAlign w:val="center"/>
          </w:tcPr>
          <w:p>
            <w:pPr>
              <w:pStyle w:val="TableContents"/>
              <w:spacing w:before="0" w:after="283"/>
              <w:jc w:val="both"/>
              <w:rPr/>
            </w:pPr>
            <w:r>
              <w:rPr/>
              <w:t> </w:t>
            </w:r>
          </w:p>
        </w:tc>
        <w:tc>
          <w:tcPr>
            <w:tcW w:w="22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1800" w:right="0" w:hanging="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2020</w:t>
      </w:r>
    </w:p>
    <w:p>
      <w:pPr>
        <w:pStyle w:val="TextBody"/>
        <w:spacing w:before="0" w:after="0"/>
        <w:ind w:left="0" w:right="0" w:hanging="0"/>
        <w:rPr>
          <w:caps w:val="false"/>
          <w:smallCaps w:val="false"/>
        </w:rPr>
      </w:pPr>
      <w:r>
        <w:rPr>
          <w:caps w:val="false"/>
          <w:smallCaps w:val="false"/>
        </w:rPr>
        <w:t> </w:t>
      </w:r>
    </w:p>
    <w:tbl>
      <w:tblPr>
        <w:tblW w:w="2480" w:type="dxa"/>
        <w:jc w:val="left"/>
        <w:tblInd w:w="0" w:type="dxa"/>
        <w:tblCellMar>
          <w:top w:w="0" w:type="dxa"/>
          <w:left w:w="0" w:type="dxa"/>
          <w:bottom w:w="0" w:type="dxa"/>
          <w:right w:w="0" w:type="dxa"/>
        </w:tblCellMar>
      </w:tblPr>
      <w:tblGrid>
        <w:gridCol w:w="75"/>
        <w:gridCol w:w="2405"/>
      </w:tblGrid>
      <w:tr>
        <w:trPr/>
        <w:tc>
          <w:tcPr>
            <w:tcW w:w="75" w:type="dxa"/>
            <w:tcBorders/>
            <w:shd w:fill="auto" w:val="clear"/>
            <w:vAlign w:val="center"/>
          </w:tcPr>
          <w:p>
            <w:pPr>
              <w:pStyle w:val="TableContents"/>
              <w:spacing w:before="0" w:after="283"/>
              <w:rPr/>
            </w:pPr>
            <w:r>
              <w:rPr/>
              <w:t> </w:t>
            </w:r>
          </w:p>
        </w:tc>
        <w:tc>
          <w:tcPr>
            <w:tcW w:w="240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A. Arnall</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A. Arnall</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Finance Corp.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caps w:val="false"/>
          <w:smallCaps w:val="false"/>
        </w:rPr>
      </w:pPr>
      <w:bookmarkStart w:id="26" w:name="tm2034534d1_ex32-1.htm"/>
      <w:bookmarkStart w:id="27" w:name="kstm2034534d1_ex321"/>
      <w:bookmarkEnd w:id="26"/>
      <w:bookmarkEnd w:id="27"/>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18 U.S.C. SECTION 1350, AS ADOPTED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spacing w:before="0" w:after="0"/>
        <w:ind w:left="0" w:right="0" w:firstLine="490"/>
        <w:jc w:val="center"/>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B. Alala III, Chief Executive Officer, in connection with the Quarterly Report of Capitala Finance Corp. (the “Company”) on Form 10-Q for the quarterly period ended September 30, 2020, as filed with the U.S. Securities and Exchange Commission on the date hereof (the “Quarterly Report”), certify, pursuant to Section 906 of the Sarbanes-Oxley Act of 2002, that:</w:t>
      </w:r>
    </w:p>
    <w:p>
      <w:pPr>
        <w:pStyle w:val="TextBody"/>
        <w:spacing w:before="0" w:after="0"/>
        <w:ind w:left="0" w:right="0" w:firstLine="49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3"/>
        <w:gridCol w:w="9967"/>
      </w:tblGrid>
      <w:tr>
        <w:trPr/>
        <w:tc>
          <w:tcPr>
            <w:tcW w:w="75" w:type="dxa"/>
            <w:tcBorders/>
            <w:shd w:fill="auto" w:val="clear"/>
            <w:vAlign w:val="center"/>
          </w:tcPr>
          <w:p>
            <w:pPr>
              <w:pStyle w:val="TableContents"/>
              <w:spacing w:before="0" w:after="283"/>
              <w:jc w:val="both"/>
              <w:rPr/>
            </w:pPr>
            <w:r>
              <w:rPr/>
              <w:t> </w:t>
            </w:r>
          </w:p>
        </w:tc>
        <w:tc>
          <w:tcPr>
            <w:tcW w:w="16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bl>
    <w:p>
      <w:pPr>
        <w:pStyle w:val="TextBody"/>
        <w:spacing w:before="0" w:after="0"/>
        <w:ind w:left="1591" w:right="0" w:hanging="49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59"/>
        <w:gridCol w:w="9971"/>
      </w:tblGrid>
      <w:tr>
        <w:trPr/>
        <w:tc>
          <w:tcPr>
            <w:tcW w:w="75" w:type="dxa"/>
            <w:tcBorders/>
            <w:shd w:fill="auto" w:val="clear"/>
            <w:vAlign w:val="center"/>
          </w:tcPr>
          <w:p>
            <w:pPr>
              <w:pStyle w:val="TableContents"/>
              <w:spacing w:before="0" w:after="283"/>
              <w:jc w:val="both"/>
              <w:rPr/>
            </w:pPr>
            <w:r>
              <w:rPr/>
              <w:t> </w:t>
            </w:r>
          </w:p>
        </w:tc>
        <w:tc>
          <w:tcPr>
            <w:tcW w:w="15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spacing w:before="0" w:after="0"/>
        <w:ind w:left="1591" w:right="0" w:hanging="49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2020</w:t>
      </w:r>
    </w:p>
    <w:p>
      <w:pPr>
        <w:pStyle w:val="TextBody"/>
        <w:spacing w:before="0" w:after="0"/>
        <w:ind w:left="0" w:right="0" w:firstLine="720"/>
        <w:rPr>
          <w:caps w:val="false"/>
          <w:smallCaps w:val="false"/>
        </w:rPr>
      </w:pPr>
      <w:r>
        <w:rPr>
          <w:caps w:val="false"/>
          <w:smallCaps w:val="false"/>
        </w:rPr>
        <w:t> </w:t>
      </w:r>
    </w:p>
    <w:tbl>
      <w:tblPr>
        <w:tblW w:w="2465" w:type="dxa"/>
        <w:jc w:val="left"/>
        <w:tblInd w:w="0" w:type="dxa"/>
        <w:tblCellMar>
          <w:top w:w="0" w:type="dxa"/>
          <w:left w:w="0" w:type="dxa"/>
          <w:bottom w:w="0" w:type="dxa"/>
          <w:right w:w="0" w:type="dxa"/>
        </w:tblCellMar>
      </w:tblPr>
      <w:tblGrid>
        <w:gridCol w:w="75"/>
        <w:gridCol w:w="2390"/>
      </w:tblGrid>
      <w:tr>
        <w:trPr/>
        <w:tc>
          <w:tcPr>
            <w:tcW w:w="75" w:type="dxa"/>
            <w:tcBorders/>
            <w:shd w:fill="auto" w:val="clear"/>
            <w:vAlign w:val="center"/>
          </w:tcPr>
          <w:p>
            <w:pPr>
              <w:pStyle w:val="TableContents"/>
              <w:spacing w:before="0" w:after="283"/>
              <w:rPr/>
            </w:pPr>
            <w:r>
              <w:rPr/>
              <w:t> </w:t>
            </w:r>
          </w:p>
        </w:tc>
        <w:tc>
          <w:tcPr>
            <w:tcW w:w="239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B. Alala III</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B. Alala III</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75"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Finance Corp.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28" w:name="tm2034534d1_ex32-2.htm"/>
      <w:bookmarkStart w:id="29" w:name="kstm2034534d1_ex322"/>
      <w:bookmarkEnd w:id="28"/>
      <w:bookmarkEnd w:id="29"/>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spacing w:before="0" w:after="0"/>
        <w:ind w:left="0" w:right="0" w:firstLine="490"/>
        <w:jc w:val="center"/>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A. Arnall, Chief Financial Officer, in connection with the Quarterly Report of Capitala Finance Corp. (the “Company”) on Form 10-Q for the quarterly period ended September 30, 2020, as filed with the U.S. Securities and Exchange Commission on the date hereof (the “Quarterly Report”), certify, pursuant to Section 906 of the Sarbanes-Oxley Act of 2002, that:</w:t>
      </w:r>
    </w:p>
    <w:p>
      <w:pPr>
        <w:pStyle w:val="TextBody"/>
        <w:spacing w:before="0" w:after="0"/>
        <w:ind w:left="0" w:right="0" w:firstLine="49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3"/>
        <w:gridCol w:w="9967"/>
      </w:tblGrid>
      <w:tr>
        <w:trPr/>
        <w:tc>
          <w:tcPr>
            <w:tcW w:w="75"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bl>
    <w:p>
      <w:pPr>
        <w:pStyle w:val="TextBody"/>
        <w:spacing w:before="0" w:after="0"/>
        <w:ind w:left="1591" w:right="0" w:hanging="49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59"/>
        <w:gridCol w:w="9971"/>
      </w:tblGrid>
      <w:tr>
        <w:trPr/>
        <w:tc>
          <w:tcPr>
            <w:tcW w:w="75" w:type="dxa"/>
            <w:tcBorders/>
            <w:shd w:fill="auto" w:val="clear"/>
            <w:vAlign w:val="center"/>
          </w:tcPr>
          <w:p>
            <w:pPr>
              <w:pStyle w:val="TableContents"/>
              <w:spacing w:before="0" w:after="283"/>
              <w:jc w:val="both"/>
              <w:rPr/>
            </w:pPr>
            <w:r>
              <w:rPr/>
              <w:t> </w:t>
            </w:r>
          </w:p>
        </w:tc>
        <w:tc>
          <w:tcPr>
            <w:tcW w:w="15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3, 2020</w:t>
      </w:r>
    </w:p>
    <w:p>
      <w:pPr>
        <w:pStyle w:val="TextBody"/>
        <w:spacing w:before="0" w:after="0"/>
        <w:ind w:left="0" w:right="0" w:firstLine="720"/>
        <w:rPr>
          <w:caps w:val="false"/>
          <w:smallCaps w:val="false"/>
        </w:rPr>
      </w:pPr>
      <w:r>
        <w:rPr>
          <w:caps w:val="false"/>
          <w:smallCaps w:val="false"/>
        </w:rPr>
        <w:t> </w:t>
      </w:r>
    </w:p>
    <w:tbl>
      <w:tblPr>
        <w:tblW w:w="2480" w:type="dxa"/>
        <w:jc w:val="left"/>
        <w:tblInd w:w="0" w:type="dxa"/>
        <w:tblCellMar>
          <w:top w:w="0" w:type="dxa"/>
          <w:left w:w="0" w:type="dxa"/>
          <w:bottom w:w="0" w:type="dxa"/>
          <w:right w:w="0" w:type="dxa"/>
        </w:tblCellMar>
      </w:tblPr>
      <w:tblGrid>
        <w:gridCol w:w="75"/>
        <w:gridCol w:w="2405"/>
      </w:tblGrid>
      <w:tr>
        <w:trPr/>
        <w:tc>
          <w:tcPr>
            <w:tcW w:w="75" w:type="dxa"/>
            <w:tcBorders/>
            <w:shd w:fill="auto" w:val="clear"/>
            <w:vAlign w:val="center"/>
          </w:tcPr>
          <w:p>
            <w:pPr>
              <w:pStyle w:val="TableContents"/>
              <w:spacing w:before="0" w:after="283"/>
              <w:rPr/>
            </w:pPr>
            <w:r>
              <w:rPr/>
              <w:t> </w:t>
            </w:r>
          </w:p>
        </w:tc>
        <w:tc>
          <w:tcPr>
            <w:tcW w:w="240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A. Arnall</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A. Arnall</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75"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 Finance Corp.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21483/000119312513361263/d505298dex99a1.htm" TargetMode="External"/><Relationship Id="rId3" Type="http://schemas.openxmlformats.org/officeDocument/2006/relationships/hyperlink" Target="http://www.sec.gov/Archives/edgar/data/1221483/000119312513361263/d505298dex99a1.htm" TargetMode="External"/><Relationship Id="rId4" Type="http://schemas.openxmlformats.org/officeDocument/2006/relationships/hyperlink" Target="http://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www.sec.gov/Archives/edgar/data/1221483/000119312513368161/d505298dex99a2.htm" TargetMode="External"/><Relationship Id="rId9" Type="http://schemas.openxmlformats.org/officeDocument/2006/relationships/hyperlink" Target="http://www.sec.gov/Archives/edgar/data/1221483/000119312513368161/d505298dex99a2.htm" TargetMode="External"/><Relationship Id="rId10" Type="http://schemas.openxmlformats.org/officeDocument/2006/relationships/hyperlink" Target="http://www.sec.gov/Archives/edgar/data/1221483/000119312513368161/d505298dex99a2.htm" TargetMode="External"/><Relationship Id="rId11" Type="http://schemas.openxmlformats.org/officeDocument/2006/relationships/hyperlink" Target="http://www.sec.gov/Archives/edgar/data/1221483/000119312513368161/d505298dex99a3.htm" TargetMode="External"/><Relationship Id="rId12" Type="http://schemas.openxmlformats.org/officeDocument/2006/relationships/hyperlink" Target="http://www.sec.gov/Archives/edgar/data/1221483/000119312513368161/d505298dex99a3.htm" TargetMode="External"/><Relationship Id="rId13" Type="http://schemas.openxmlformats.org/officeDocument/2006/relationships/hyperlink" Target="http://www.sec.gov/Archives/edgar/data/1221483/000119312513368161/d505298dex99a3.htm" TargetMode="External"/><Relationship Id="rId14" Type="http://schemas.openxmlformats.org/officeDocument/2006/relationships/hyperlink" Target="http://www.sec.gov/Archives/edgar/data/1221483/000119312513361263/d505298dex99b1.htm" TargetMode="External"/><Relationship Id="rId15" Type="http://schemas.openxmlformats.org/officeDocument/2006/relationships/hyperlink" Target="http://www.sec.gov/Archives/edgar/data/1221483/000119312513361263/d505298dex99b1.htm" TargetMode="External"/><Relationship Id="rId16" Type="http://schemas.openxmlformats.org/officeDocument/2006/relationships/hyperlink" Target="http://www.sec.gov/Archives/edgar/data/1221483/000119312513361263/d505298dex99b1.htm" TargetMode="External"/><Relationship Id="rId17" Type="http://schemas.openxmlformats.org/officeDocument/2006/relationships/hyperlink" Target="http://www.sec.gov/Archives/edgar/data/1571329/000119312513376445/d505298dex99b2.htm" TargetMode="External"/><Relationship Id="rId18" Type="http://schemas.openxmlformats.org/officeDocument/2006/relationships/hyperlink" Target="http://www.sec.gov/Archives/edgar/data/1571329/000119312513376445/d505298dex99b2.htm" TargetMode="External"/><Relationship Id="rId19" Type="http://schemas.openxmlformats.org/officeDocument/2006/relationships/hyperlink" Target="http://www.sec.gov/Archives/edgar/data/1571329/000119312513376445/d505298dex99b2.htm" TargetMode="External"/><Relationship Id="rId20" Type="http://schemas.openxmlformats.org/officeDocument/2006/relationships/hyperlink" Target="http://www.sec.gov/Archives/edgar/data/1571329/000119312513376445/d505298dex99b3.htm" TargetMode="External"/><Relationship Id="rId21" Type="http://schemas.openxmlformats.org/officeDocument/2006/relationships/hyperlink" Target="http://www.sec.gov/Archives/edgar/data/1571329/000119312513376445/d505298dex99b3.htm" TargetMode="External"/><Relationship Id="rId22" Type="http://schemas.openxmlformats.org/officeDocument/2006/relationships/hyperlink" Target="http://www.sec.gov/Archives/edgar/data/1571329/000119312513376445/d505298dex99b3.htm" TargetMode="External"/><Relationship Id="rId23" Type="http://schemas.openxmlformats.org/officeDocument/2006/relationships/hyperlink" Target="http://www.sec.gov/Archives/edgar/data/1221483/000119312513361263/d505298dex99d1.htm" TargetMode="External"/><Relationship Id="rId24" Type="http://schemas.openxmlformats.org/officeDocument/2006/relationships/hyperlink" Target="http://www.sec.gov/Archives/edgar/data/1221483/000119312513361263/d505298dex99d1.htm" TargetMode="External"/><Relationship Id="rId25" Type="http://schemas.openxmlformats.org/officeDocument/2006/relationships/hyperlink" Target="http://www.sec.gov/Archives/edgar/data/1221483/000119312513361263/d505298dex99d1.htm" TargetMode="External"/><Relationship Id="rId26" Type="http://schemas.openxmlformats.org/officeDocument/2006/relationships/hyperlink" Target="https://www.sec.gov/Archives/edgar/data/1571329/000110465920120973/tm2034828d1_ex10-1.htm" TargetMode="External"/><Relationship Id="rId27" Type="http://schemas.openxmlformats.org/officeDocument/2006/relationships/hyperlink" Target="https://www.sec.gov/Archives/edgar/data/1571329/000110465920120973/tm2034828d1_ex10-1.htm" TargetMode="External"/><Relationship Id="rId28" Type="http://schemas.openxmlformats.org/officeDocument/2006/relationships/hyperlink" Target="https://www.sec.gov/Archives/edgar/data/1571329/000110465920120973/tm2034828d1_ex10-1.htm" TargetMode="External"/><Relationship Id="rId29" Type="http://schemas.openxmlformats.org/officeDocument/2006/relationships/hyperlink" Target="https://www.sec.gov/Archives/edgar/data/1571329/000110465920120973/tm2034828d1_ex10-2.htm" TargetMode="External"/><Relationship Id="rId30" Type="http://schemas.openxmlformats.org/officeDocument/2006/relationships/hyperlink" Target="https://www.sec.gov/Archives/edgar/data/1571329/000110465920120973/tm2034828d1_ex10-2.htm" TargetMode="External"/><Relationship Id="rId31" Type="http://schemas.openxmlformats.org/officeDocument/2006/relationships/hyperlink" Target="https://www.sec.gov/Archives/edgar/data/1571329/000110465920120973/tm2034828d1_ex10-2.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46347</Words>
  <CharactersWithSpaces>305551</CharactersWithSpaces>
  <Paragraphs>26339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