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729" w:right="239" w:bottom="1440" w:gutter="0" w:footer="0" w:header="0"/>
        </w:sectPr>
      </w:pPr>
    </w:p>
    <w:p>
      <w:pPr>
        <w:spacing w:after="0" w:line="200" w:lineRule="exact"/>
        <w:rPr>
          <w:sz w:val="24"/>
          <w:szCs w:val="24"/>
          <w:color w:val="auto"/>
        </w:rPr>
      </w:pPr>
    </w:p>
    <w:p>
      <w:pPr>
        <w:spacing w:after="0" w:line="264" w:lineRule="exact"/>
        <w:rPr>
          <w:sz w:val="24"/>
          <w:szCs w:val="24"/>
          <w:color w:val="auto"/>
        </w:rPr>
      </w:pPr>
    </w:p>
    <w:p>
      <w:pPr>
        <w:ind w:left="620"/>
        <w:spacing w:after="0"/>
        <w:rPr>
          <w:sz w:val="20"/>
          <w:szCs w:val="20"/>
          <w:color w:val="auto"/>
        </w:rPr>
      </w:pPr>
      <w:r>
        <w:rPr>
          <w:rFonts w:ascii="Arial" w:cs="Arial" w:eastAsia="Arial" w:hAnsi="Arial"/>
          <w:sz w:val="15"/>
          <w:szCs w:val="15"/>
          <w:b w:val="1"/>
          <w:bCs w:val="1"/>
          <w:color w:val="auto"/>
        </w:rPr>
        <w:t>Commission</w:t>
      </w:r>
    </w:p>
    <w:p>
      <w:pPr>
        <w:spacing w:after="0" w:line="62" w:lineRule="exact"/>
        <w:rPr>
          <w:sz w:val="24"/>
          <w:szCs w:val="24"/>
          <w:color w:val="auto"/>
        </w:rPr>
      </w:pPr>
    </w:p>
    <w:p>
      <w:pPr>
        <w:ind w:left="60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right="780" w:firstLine="341"/>
        <w:spacing w:after="0" w:line="309" w:lineRule="auto"/>
        <w:rPr>
          <w:sz w:val="20"/>
          <w:szCs w:val="20"/>
          <w:color w:val="auto"/>
        </w:rPr>
      </w:pPr>
      <w:r>
        <w:rPr>
          <w:rFonts w:ascii="Arial" w:cs="Arial" w:eastAsia="Arial" w:hAnsi="Arial"/>
          <w:sz w:val="15"/>
          <w:szCs w:val="15"/>
          <w:b w:val="1"/>
          <w:bCs w:val="1"/>
          <w:color w:val="auto"/>
        </w:rPr>
        <w:t>Exact name of registrant as specified in its charter, address of principal executive office, telephone number and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I.R.S. Employer</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Identification Number</w:t>
      </w:r>
    </w:p>
    <w:p>
      <w:pPr>
        <w:spacing w:after="0" w:line="32" w:lineRule="exact"/>
        <w:rPr>
          <w:sz w:val="24"/>
          <w:szCs w:val="24"/>
          <w:color w:val="auto"/>
        </w:rPr>
      </w:pPr>
    </w:p>
    <w:p>
      <w:pPr>
        <w:sectPr>
          <w:pgSz w:w="11900" w:h="16838" w:orient="portrait"/>
          <w:cols w:equalWidth="0" w:num="3">
            <w:col w:w="2640" w:space="720"/>
            <w:col w:w="5340" w:space="720"/>
            <w:col w:w="2000"/>
          </w:cols>
          <w:pgMar w:left="240" w:top="729" w:right="239" w:bottom="1440" w:gutter="0" w:footer="0" w:header="0"/>
          <w:type w:val="continuous"/>
        </w:sectPr>
      </w:pPr>
    </w:p>
    <w:p>
      <w:pPr>
        <w:ind w:left="700"/>
        <w:spacing w:after="0"/>
        <w:tabs>
          <w:tab w:leader="none" w:pos="4380" w:val="left"/>
          <w:tab w:leader="none" w:pos="9820" w:val="left"/>
        </w:tabs>
        <w:rPr>
          <w:sz w:val="20"/>
          <w:szCs w:val="20"/>
          <w:color w:val="auto"/>
        </w:rPr>
      </w:pPr>
      <w:r>
        <w:rPr>
          <w:rFonts w:ascii="Arial" w:cs="Arial" w:eastAsia="Arial" w:hAnsi="Arial"/>
          <w:sz w:val="36"/>
          <w:szCs w:val="36"/>
          <w:b w:val="1"/>
          <w:bCs w:val="1"/>
          <w:color w:val="auto"/>
          <w:vertAlign w:val="superscript"/>
        </w:rPr>
        <w:t>814-01022</w:t>
      </w:r>
      <w:r>
        <w:rPr>
          <w:sz w:val="20"/>
          <w:szCs w:val="20"/>
          <w:color w:val="auto"/>
        </w:rPr>
        <w:tab/>
      </w:r>
      <w:r>
        <w:rPr>
          <w:rFonts w:ascii="Arial" w:cs="Arial" w:eastAsia="Arial" w:hAnsi="Arial"/>
          <w:sz w:val="25"/>
          <w:szCs w:val="25"/>
          <w:b w:val="1"/>
          <w:bCs w:val="1"/>
          <w:color w:val="auto"/>
        </w:rPr>
        <w:t>Capitala Finance Corp.</w:t>
      </w:r>
      <w:r>
        <w:rPr>
          <w:sz w:val="20"/>
          <w:szCs w:val="20"/>
          <w:color w:val="auto"/>
        </w:rPr>
        <w:tab/>
      </w:r>
      <w:r>
        <w:rPr>
          <w:rFonts w:ascii="Arial" w:cs="Arial" w:eastAsia="Arial" w:hAnsi="Arial"/>
          <w:sz w:val="24"/>
          <w:szCs w:val="24"/>
          <w:b w:val="1"/>
          <w:bCs w:val="1"/>
          <w:color w:val="auto"/>
          <w:vertAlign w:val="superscript"/>
        </w:rPr>
        <w:t>90-0945675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8"/>
          <w:szCs w:val="18"/>
          <w:b w:val="1"/>
          <w:bCs w:val="1"/>
          <w:color w:val="auto"/>
        </w:rPr>
        <w:t>4201 Congress St., Suite 360</w:t>
      </w:r>
    </w:p>
    <w:p>
      <w:pPr>
        <w:spacing w:after="0" w:line="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Charlotte, North Carolina 28209</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Telephone: (704) 376-5502</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State of Incorporation: Maryland</w:t>
      </w:r>
    </w:p>
    <w:p>
      <w:pPr>
        <w:spacing w:after="0" w:line="21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2880"/>
        <w:spacing w:after="0" w:line="207" w:lineRule="exact"/>
        <w:tabs>
          <w:tab w:leader="none" w:pos="5700" w:val="left"/>
          <w:tab w:leader="none" w:pos="79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14" w:lineRule="exact"/>
        <w:rPr>
          <w:sz w:val="24"/>
          <w:szCs w:val="24"/>
          <w:color w:val="auto"/>
        </w:rPr>
      </w:pPr>
    </w:p>
    <w:p>
      <w:pPr>
        <w:ind w:left="2880"/>
        <w:spacing w:after="0" w:line="207" w:lineRule="exact"/>
        <w:tabs>
          <w:tab w:leader="none" w:pos="5700" w:val="left"/>
          <w:tab w:leader="none" w:pos="79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80" w:type="dxa"/>
            <w:vAlign w:val="bottom"/>
            <w:gridSpan w:val="2"/>
          </w:tcPr>
          <w:p>
            <w:pPr>
              <w:spacing w:after="0"/>
              <w:rPr>
                <w:sz w:val="20"/>
                <w:szCs w:val="20"/>
                <w:color w:val="auto"/>
              </w:rPr>
            </w:pPr>
            <w:r>
              <w:rPr>
                <w:rFonts w:ascii="Arial" w:cs="Arial" w:eastAsia="Arial" w:hAnsi="Arial"/>
                <w:sz w:val="18"/>
                <w:szCs w:val="18"/>
                <w:color w:val="auto"/>
              </w:rPr>
              <w:t>Capitala Finance Corp.</w:t>
            </w:r>
          </w:p>
        </w:tc>
        <w:tc>
          <w:tcPr>
            <w:tcW w:w="2480" w:type="dxa"/>
            <w:vAlign w:val="bottom"/>
            <w:gridSpan w:val="3"/>
          </w:tcPr>
          <w:p>
            <w:pPr>
              <w:ind w:left="820"/>
              <w:spacing w:after="0"/>
              <w:rPr>
                <w:sz w:val="20"/>
                <w:szCs w:val="20"/>
                <w:color w:val="auto"/>
              </w:rPr>
            </w:pPr>
            <w:r>
              <w:rPr>
                <w:rFonts w:ascii="Arial" w:cs="Arial" w:eastAsia="Arial" w:hAnsi="Arial"/>
                <w:sz w:val="18"/>
                <w:szCs w:val="18"/>
                <w:color w:val="auto"/>
                <w:w w:val="92"/>
              </w:rPr>
              <w:t>Large accelerated filer</w:t>
            </w:r>
          </w:p>
        </w:tc>
        <w:tc>
          <w:tcPr>
            <w:tcW w:w="3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2"/>
          </w:tcPr>
          <w:p>
            <w:pPr>
              <w:ind w:left="24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60"/>
              <w:spacing w:after="0"/>
              <w:rPr>
                <w:sz w:val="20"/>
                <w:szCs w:val="20"/>
                <w:color w:val="auto"/>
              </w:rPr>
            </w:pPr>
            <w:r>
              <w:rPr>
                <w:rFonts w:ascii="Arial" w:cs="Arial" w:eastAsia="Arial" w:hAnsi="Arial"/>
                <w:sz w:val="18"/>
                <w:szCs w:val="18"/>
                <w:color w:val="auto"/>
              </w:rPr>
              <w:t>x</w:t>
            </w:r>
          </w:p>
        </w:tc>
      </w:tr>
      <w:tr>
        <w:trPr>
          <w:trHeight w:val="432"/>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80" w:type="dxa"/>
            <w:vAlign w:val="bottom"/>
            <w:gridSpan w:val="3"/>
          </w:tcPr>
          <w:p>
            <w:pPr>
              <w:ind w:left="820"/>
              <w:spacing w:after="0"/>
              <w:rPr>
                <w:sz w:val="20"/>
                <w:szCs w:val="20"/>
                <w:color w:val="auto"/>
              </w:rPr>
            </w:pPr>
            <w:r>
              <w:rPr>
                <w:rFonts w:ascii="Arial" w:cs="Arial" w:eastAsia="Arial" w:hAnsi="Arial"/>
                <w:sz w:val="18"/>
                <w:szCs w:val="18"/>
                <w:color w:val="auto"/>
                <w:w w:val="98"/>
              </w:rPr>
              <w:t>Non-accelerated filer</w:t>
            </w:r>
          </w:p>
        </w:tc>
        <w:tc>
          <w:tcPr>
            <w:tcW w:w="3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2"/>
          </w:tcPr>
          <w:p>
            <w:pPr>
              <w:ind w:left="240"/>
              <w:spacing w:after="0"/>
              <w:rPr>
                <w:sz w:val="20"/>
                <w:szCs w:val="20"/>
                <w:color w:val="auto"/>
              </w:rPr>
            </w:pPr>
            <w:r>
              <w:rPr>
                <w:rFonts w:ascii="Arial" w:cs="Arial" w:eastAsia="Arial" w:hAnsi="Arial"/>
                <w:sz w:val="18"/>
                <w:szCs w:val="18"/>
                <w:color w:val="auto"/>
                <w:w w:val="97"/>
              </w:rPr>
              <w:t>Smaller reporting company</w:t>
            </w:r>
          </w:p>
        </w:tc>
        <w:tc>
          <w:tcPr>
            <w:tcW w:w="18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2"/>
          </w:tcPr>
          <w:p>
            <w:pPr>
              <w:ind w:left="240"/>
              <w:spacing w:after="0"/>
              <w:rPr>
                <w:sz w:val="20"/>
                <w:szCs w:val="20"/>
                <w:color w:val="auto"/>
              </w:rPr>
            </w:pPr>
            <w:r>
              <w:rPr>
                <w:rFonts w:ascii="Arial" w:cs="Arial" w:eastAsia="Arial" w:hAnsi="Arial"/>
                <w:sz w:val="18"/>
                <w:szCs w:val="18"/>
                <w:color w:val="auto"/>
                <w:w w:val="98"/>
              </w:rPr>
              <w:t>Emerging growth company</w:t>
            </w:r>
          </w:p>
        </w:tc>
        <w:tc>
          <w:tcPr>
            <w:tcW w:w="18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20" w:type="dxa"/>
            <w:vAlign w:val="bottom"/>
          </w:tcPr>
          <w:p>
            <w:pPr>
              <w:spacing w:after="0"/>
              <w:rPr>
                <w:sz w:val="24"/>
                <w:szCs w:val="24"/>
                <w:color w:val="auto"/>
              </w:rPr>
            </w:pPr>
          </w:p>
        </w:tc>
        <w:tc>
          <w:tcPr>
            <w:tcW w:w="11400" w:type="dxa"/>
            <w:vAlign w:val="bottom"/>
            <w:gridSpan w:val="10"/>
          </w:tcPr>
          <w:p>
            <w:pPr>
              <w:ind w:left="64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r>
      <w:tr>
        <w:trPr>
          <w:trHeight w:val="283"/>
        </w:trPr>
        <w:tc>
          <w:tcPr>
            <w:tcW w:w="8240" w:type="dxa"/>
            <w:vAlign w:val="bottom"/>
            <w:gridSpan w:val="9"/>
          </w:tcPr>
          <w:p>
            <w:pPr>
              <w:spacing w:after="0"/>
              <w:rPr>
                <w:sz w:val="20"/>
                <w:szCs w:val="20"/>
                <w:color w:val="auto"/>
              </w:rPr>
            </w:pPr>
            <w:r>
              <w:rPr>
                <w:rFonts w:ascii="Arial" w:cs="Arial" w:eastAsia="Arial" w:hAnsi="Arial"/>
                <w:sz w:val="18"/>
                <w:szCs w:val="18"/>
                <w:color w:val="auto"/>
                <w:w w:val="96"/>
              </w:rPr>
              <w:t>new or revised financial accounting standards provided pursuant to Section 7(a)(2)(B) of the Securities Act.</w:t>
            </w:r>
          </w:p>
        </w:tc>
        <w:tc>
          <w:tcPr>
            <w:tcW w:w="1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86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9540" w:type="dxa"/>
            <w:vAlign w:val="bottom"/>
            <w:gridSpan w:val="9"/>
          </w:tcPr>
          <w:p>
            <w:pPr>
              <w:ind w:left="640"/>
              <w:spacing w:after="0"/>
              <w:rPr>
                <w:sz w:val="20"/>
                <w:szCs w:val="20"/>
                <w:color w:val="auto"/>
              </w:rPr>
            </w:pPr>
            <w:r>
              <w:rPr>
                <w:rFonts w:ascii="Arial" w:cs="Arial" w:eastAsia="Arial" w:hAnsi="Arial"/>
                <w:sz w:val="18"/>
                <w:szCs w:val="18"/>
                <w:color w:val="auto"/>
                <w:w w:val="98"/>
              </w:rPr>
              <w:t>Indicate by check mark whether the registrant is a shell company (as defined in Rule 12b-2 of the Exchange Act).</w:t>
            </w:r>
          </w:p>
        </w:tc>
        <w:tc>
          <w:tcPr>
            <w:tcW w:w="1860" w:type="dxa"/>
            <w:vAlign w:val="bottom"/>
          </w:tcPr>
          <w:p>
            <w:pPr>
              <w:spacing w:after="0"/>
              <w:rPr>
                <w:sz w:val="24"/>
                <w:szCs w:val="24"/>
                <w:color w:val="auto"/>
              </w:rPr>
            </w:pPr>
          </w:p>
        </w:tc>
      </w:tr>
      <w:tr>
        <w:trPr>
          <w:trHeight w:val="452"/>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80" w:type="dxa"/>
            <w:vAlign w:val="bottom"/>
            <w:gridSpan w:val="3"/>
          </w:tcPr>
          <w:p>
            <w:pPr>
              <w:ind w:left="600"/>
              <w:spacing w:after="0"/>
              <w:rPr>
                <w:sz w:val="20"/>
                <w:szCs w:val="20"/>
                <w:color w:val="auto"/>
              </w:rPr>
            </w:pPr>
            <w:r>
              <w:rPr>
                <w:rFonts w:ascii="Arial" w:cs="Arial" w:eastAsia="Arial" w:hAnsi="Arial"/>
                <w:sz w:val="18"/>
                <w:szCs w:val="18"/>
                <w:color w:val="auto"/>
              </w:rPr>
              <w:t>Capitala Finance Corp.</w:t>
            </w:r>
          </w:p>
        </w:tc>
        <w:tc>
          <w:tcPr>
            <w:tcW w:w="340" w:type="dxa"/>
            <w:vAlign w:val="bottom"/>
          </w:tcPr>
          <w:p>
            <w:pPr>
              <w:spacing w:after="0"/>
              <w:rPr>
                <w:sz w:val="24"/>
                <w:szCs w:val="24"/>
                <w:color w:val="auto"/>
              </w:rPr>
            </w:pPr>
          </w:p>
        </w:tc>
        <w:tc>
          <w:tcPr>
            <w:tcW w:w="210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040" w:type="dxa"/>
            <w:vAlign w:val="bottom"/>
          </w:tcPr>
          <w:p>
            <w:pPr>
              <w:ind w:left="800"/>
              <w:spacing w:after="0"/>
              <w:rPr>
                <w:sz w:val="20"/>
                <w:szCs w:val="20"/>
                <w:color w:val="auto"/>
              </w:rPr>
            </w:pPr>
            <w:r>
              <w:rPr>
                <w:rFonts w:ascii="Arial" w:cs="Arial" w:eastAsia="Arial" w:hAnsi="Arial"/>
                <w:sz w:val="18"/>
                <w:szCs w:val="18"/>
                <w:color w:val="auto"/>
                <w:w w:val="95"/>
              </w:rPr>
              <w:t>No</w:t>
            </w:r>
          </w:p>
        </w:tc>
        <w:tc>
          <w:tcPr>
            <w:tcW w:w="13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86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960" w:type="dxa"/>
            <w:vAlign w:val="bottom"/>
            <w:gridSpan w:val="7"/>
          </w:tcPr>
          <w:p>
            <w:pPr>
              <w:ind w:left="1360"/>
              <w:spacing w:after="0"/>
              <w:rPr>
                <w:sz w:val="20"/>
                <w:szCs w:val="20"/>
                <w:color w:val="auto"/>
              </w:rPr>
            </w:pPr>
            <w:r>
              <w:rPr>
                <w:rFonts w:ascii="Arial" w:cs="Arial" w:eastAsia="Arial" w:hAnsi="Arial"/>
                <w:sz w:val="18"/>
                <w:szCs w:val="18"/>
                <w:color w:val="auto"/>
              </w:rPr>
              <w:t>Securities registered pursuant to Section 12(b) of the Act:</w:t>
            </w:r>
          </w:p>
        </w:tc>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7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Title of Each Class</w:t>
            </w:r>
          </w:p>
        </w:tc>
        <w:tc>
          <w:tcPr>
            <w:tcW w:w="340" w:type="dxa"/>
            <w:vAlign w:val="bottom"/>
          </w:tcPr>
          <w:p>
            <w:pPr>
              <w:spacing w:after="0"/>
              <w:rPr>
                <w:sz w:val="24"/>
                <w:szCs w:val="24"/>
                <w:color w:val="auto"/>
              </w:rPr>
            </w:pPr>
          </w:p>
        </w:tc>
        <w:tc>
          <w:tcPr>
            <w:tcW w:w="21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Trading symbol(s)</w:t>
            </w:r>
          </w:p>
        </w:tc>
        <w:tc>
          <w:tcPr>
            <w:tcW w:w="4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191"/>
        </w:trPr>
        <w:tc>
          <w:tcPr>
            <w:tcW w:w="20" w:type="dxa"/>
            <w:vAlign w:val="bottom"/>
          </w:tcPr>
          <w:p>
            <w:pPr>
              <w:spacing w:after="0"/>
              <w:rPr>
                <w:sz w:val="16"/>
                <w:szCs w:val="16"/>
                <w:color w:val="auto"/>
              </w:rPr>
            </w:pPr>
          </w:p>
        </w:tc>
        <w:tc>
          <w:tcPr>
            <w:tcW w:w="45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jc w:val="center"/>
              <w:ind w:right="310"/>
              <w:spacing w:after="0" w:line="191" w:lineRule="exact"/>
              <w:rPr>
                <w:sz w:val="20"/>
                <w:szCs w:val="20"/>
                <w:color w:val="auto"/>
              </w:rPr>
            </w:pPr>
            <w:r>
              <w:rPr>
                <w:rFonts w:ascii="Arial" w:cs="Arial" w:eastAsia="Arial" w:hAnsi="Arial"/>
                <w:sz w:val="18"/>
                <w:szCs w:val="18"/>
                <w:b w:val="1"/>
                <w:bCs w:val="1"/>
                <w:color w:val="auto"/>
                <w:w w:val="97"/>
              </w:rPr>
              <w:t>CPTA</w:t>
            </w:r>
          </w:p>
        </w:tc>
        <w:tc>
          <w:tcPr>
            <w:tcW w:w="100" w:type="dxa"/>
            <w:vAlign w:val="bottom"/>
          </w:tcPr>
          <w:p>
            <w:pPr>
              <w:spacing w:after="0"/>
              <w:rPr>
                <w:sz w:val="16"/>
                <w:szCs w:val="16"/>
                <w:color w:val="auto"/>
              </w:rPr>
            </w:pPr>
          </w:p>
        </w:tc>
        <w:tc>
          <w:tcPr>
            <w:tcW w:w="4220" w:type="dxa"/>
            <w:vAlign w:val="bottom"/>
            <w:tcBorders>
              <w:top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r>
      <w:tr>
        <w:trPr>
          <w:trHeight w:val="216"/>
        </w:trPr>
        <w:tc>
          <w:tcPr>
            <w:tcW w:w="20" w:type="dxa"/>
            <w:vAlign w:val="bottom"/>
          </w:tcPr>
          <w:p>
            <w:pPr>
              <w:spacing w:after="0"/>
              <w:rPr>
                <w:sz w:val="18"/>
                <w:szCs w:val="18"/>
                <w:color w:val="auto"/>
              </w:rPr>
            </w:pPr>
          </w:p>
        </w:tc>
        <w:tc>
          <w:tcPr>
            <w:tcW w:w="47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5.75% Convertible Notes due 2022</w:t>
            </w:r>
          </w:p>
        </w:tc>
        <w:tc>
          <w:tcPr>
            <w:tcW w:w="340" w:type="dxa"/>
            <w:vAlign w:val="bottom"/>
          </w:tcPr>
          <w:p>
            <w:pPr>
              <w:spacing w:after="0"/>
              <w:rPr>
                <w:sz w:val="18"/>
                <w:szCs w:val="18"/>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CPTAG</w:t>
            </w:r>
          </w:p>
        </w:tc>
        <w:tc>
          <w:tcPr>
            <w:tcW w:w="1040" w:type="dxa"/>
            <w:vAlign w:val="bottom"/>
          </w:tcPr>
          <w:p>
            <w:pPr>
              <w:spacing w:after="0"/>
              <w:rPr>
                <w:sz w:val="18"/>
                <w:szCs w:val="18"/>
                <w:color w:val="auto"/>
              </w:rPr>
            </w:pPr>
          </w:p>
        </w:tc>
        <w:tc>
          <w:tcPr>
            <w:tcW w:w="3180" w:type="dxa"/>
            <w:vAlign w:val="bottom"/>
            <w:gridSpan w:val="2"/>
          </w:tcPr>
          <w:p>
            <w:pPr>
              <w:jc w:val="center"/>
              <w:ind w:right="930"/>
              <w:spacing w:after="0"/>
              <w:rPr>
                <w:sz w:val="20"/>
                <w:szCs w:val="20"/>
                <w:color w:val="auto"/>
              </w:rPr>
            </w:pPr>
            <w:r>
              <w:rPr>
                <w:rFonts w:ascii="Arial" w:cs="Arial" w:eastAsia="Arial" w:hAnsi="Arial"/>
                <w:sz w:val="18"/>
                <w:szCs w:val="18"/>
                <w:b w:val="1"/>
                <w:bCs w:val="1"/>
                <w:color w:val="auto"/>
                <w:w w:val="97"/>
              </w:rPr>
              <w:t>NASDAQ Capital Market</w:t>
            </w:r>
          </w:p>
        </w:tc>
      </w:tr>
      <w:tr>
        <w:trPr>
          <w:trHeight w:val="234"/>
        </w:trPr>
        <w:tc>
          <w:tcPr>
            <w:tcW w:w="20" w:type="dxa"/>
            <w:vAlign w:val="bottom"/>
          </w:tcPr>
          <w:p>
            <w:pPr>
              <w:spacing w:after="0"/>
              <w:rPr>
                <w:sz w:val="20"/>
                <w:szCs w:val="20"/>
                <w:color w:val="auto"/>
              </w:rPr>
            </w:pPr>
          </w:p>
        </w:tc>
        <w:tc>
          <w:tcPr>
            <w:tcW w:w="47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6.00% Notes due 2022</w:t>
            </w:r>
          </w:p>
        </w:tc>
        <w:tc>
          <w:tcPr>
            <w:tcW w:w="340" w:type="dxa"/>
            <w:vAlign w:val="bottom"/>
          </w:tcPr>
          <w:p>
            <w:pPr>
              <w:spacing w:after="0"/>
              <w:rPr>
                <w:sz w:val="20"/>
                <w:szCs w:val="20"/>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9"/>
              </w:rPr>
              <w:t>CPTAL</w:t>
            </w:r>
          </w:p>
        </w:tc>
        <w:tc>
          <w:tcPr>
            <w:tcW w:w="4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number of shares of Capitala Finance Corp.’s common stock, $0.01 par value, outstanding as of May 3, 2019 was 16,095,622.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gridSpan w:val="10"/>
          </w:tcPr>
          <w:p>
            <w:pPr>
              <w:ind w:left="11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March 31, 2019 (unaudited) and December 31, 2018</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March 31, 2019 and 2018 (unaudited)</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Consolidated Statements of Changes in Net Assets for the three months ended March 31, 2019 and 2018 (unaudited)</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March 31, 2019 and 2018 (unaudited)</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March 31, 2019 (unaudited) and December 31, 2018</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Notes to Consolidated Financial Statements as of March 31, 2019 (unaudited)</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Item 2.</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3.</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Quantitative and Qualitative Disclosures About Market Risk</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83</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Item 4.</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Controls and Procedures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84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II.</w:t>
              </w:r>
            </w:hyperlink>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OTHER INFORMATION</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85</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Item 1.</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Legal Proceedings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85</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Item 1A.</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Risk Factors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85</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Item 2.</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Unregistered Sales of Equity Securities and Use of Proceeds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86</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Item 3.</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Defaults Upon Senior Securities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86</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Item 4.</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Mine Safety Disclosures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86</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Item 5.</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Other Information</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86</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Item 6.</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Exhibits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87</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88</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600" w:type="dxa"/>
            <w:vAlign w:val="bottom"/>
            <w:tcBorders>
              <w:top w:val="single" w:sz="8" w:color="CCEEFF"/>
              <w:bottom w:val="single" w:sz="8" w:color="auto"/>
            </w:tcBorders>
            <w:gridSpan w:val="12"/>
          </w:tcPr>
          <w:p>
            <w:pPr>
              <w:ind w:left="4500"/>
              <w:spacing w:after="0"/>
              <w:rPr>
                <w:sz w:val="20"/>
                <w:szCs w:val="20"/>
                <w:color w:val="auto"/>
              </w:rPr>
            </w:pPr>
            <w:r>
              <w:rPr>
                <w:rFonts w:ascii="Arial" w:cs="Arial" w:eastAsia="Arial" w:hAnsi="Arial"/>
                <w:sz w:val="18"/>
                <w:szCs w:val="18"/>
                <w:color w:val="auto"/>
              </w:rPr>
              <w:t>2</w:t>
            </w:r>
          </w:p>
        </w:tc>
        <w:tc>
          <w:tcPr>
            <w:tcW w:w="86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tcPr>
          <w:p>
            <w:pPr>
              <w:jc w:val="center"/>
              <w:ind w:left="3150"/>
              <w:spacing w:after="0"/>
              <w:rPr>
                <w:sz w:val="20"/>
                <w:szCs w:val="20"/>
                <w:color w:val="auto"/>
              </w:rPr>
            </w:pPr>
            <w:r>
              <w:rPr>
                <w:rFonts w:ascii="Arial" w:cs="Arial" w:eastAsia="Arial" w:hAnsi="Arial"/>
                <w:sz w:val="18"/>
                <w:szCs w:val="18"/>
                <w:b w:val="1"/>
                <w:bCs w:val="1"/>
                <w:color w:val="auto"/>
                <w:w w:val="92"/>
              </w:rPr>
              <w:t>Capitala Finance Corp.</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84"/>
              </w:rPr>
              <w:t>As of</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March 31, 2019   December 31,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 (amortized cost of $271,596 and $280,114, respectively)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284,364</w:t>
            </w:r>
          </w:p>
        </w:tc>
        <w:tc>
          <w:tcPr>
            <w:tcW w:w="7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Affiliate investments (amortized cost of $82,413 and $72,300, respectively)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102,784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92,939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 (amortized cost of $70,929 and $67,556, respectively)</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68,242</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Total investments at fair value (amortized cost of $424,938 and $419,970, respectively)</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455,390</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Interest and dividend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Deferred tax asset,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488,478</w:t>
            </w:r>
          </w:p>
        </w:tc>
        <w:tc>
          <w:tcPr>
            <w:tcW w:w="20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493,165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(net of deferred financing cost of $1,404 and $1,688, respectively)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148,596</w:t>
            </w:r>
          </w:p>
        </w:tc>
        <w:tc>
          <w:tcPr>
            <w:tcW w:w="7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2022 Notes (net of deferred financing cost of $1,855 and $1,987, respectively)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73,145</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 (net of deferred financing cost of $1,175 and $1,259, respectively)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Credit Facility (net of deferred financing cost of $949 and $983, respectively)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24,051</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Interest and financing fees payable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1,423</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301,744</w:t>
            </w:r>
          </w:p>
        </w:tc>
        <w:tc>
          <w:tcPr>
            <w:tcW w:w="2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Commitments and contingencies (Note 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 value $.01, 100,000,000 common shares authorized, 16,084,143 and 16,051,547 common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respectively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7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242,012</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241,757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distributable loss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(55,439)</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net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186,734</w:t>
            </w:r>
          </w:p>
        </w:tc>
        <w:tc>
          <w:tcPr>
            <w:tcW w:w="2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488,478</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7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tcPr>
          <w:p>
            <w:pPr>
              <w:jc w:val="center"/>
              <w:ind w:left="31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tcBorders>
              <w:bottom w:val="single" w:sz="8" w:color="auto"/>
            </w:tcBorders>
          </w:tcPr>
          <w:p>
            <w:pPr>
              <w:jc w:val="center"/>
              <w:ind w:left="3130"/>
              <w:spacing w:after="0"/>
              <w:rPr>
                <w:sz w:val="20"/>
                <w:szCs w:val="20"/>
                <w:color w:val="auto"/>
              </w:rPr>
            </w:pPr>
            <w:r>
              <w:rPr>
                <w:rFonts w:ascii="Arial" w:cs="Arial" w:eastAsia="Arial" w:hAnsi="Arial"/>
                <w:sz w:val="18"/>
                <w:szCs w:val="18"/>
                <w:color w:val="auto"/>
                <w:w w:val="99"/>
              </w:rPr>
              <w:t>3</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40" w:type="dxa"/>
            <w:vAlign w:val="bottom"/>
          </w:tcPr>
          <w:p>
            <w:pPr>
              <w:jc w:val="center"/>
              <w:ind w:left="3150"/>
              <w:spacing w:after="0"/>
              <w:rPr>
                <w:sz w:val="20"/>
                <w:szCs w:val="20"/>
                <w:color w:val="auto"/>
              </w:rPr>
            </w:pPr>
            <w:r>
              <w:rPr>
                <w:rFonts w:ascii="Arial" w:cs="Arial" w:eastAsia="Arial" w:hAnsi="Arial"/>
                <w:sz w:val="18"/>
                <w:szCs w:val="18"/>
                <w:b w:val="1"/>
                <w:bCs w:val="1"/>
                <w:color w:val="auto"/>
                <w:w w:val="92"/>
              </w:rPr>
              <w:t>Capitala Finance Corp.</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40" w:type="dxa"/>
            <w:vAlign w:val="bottom"/>
          </w:tcPr>
          <w:p>
            <w:pPr>
              <w:jc w:val="center"/>
              <w:ind w:left="315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jc w:val="center"/>
              <w:ind w:left="313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3160" w:type="dxa"/>
            <w:vAlign w:val="bottom"/>
            <w:gridSpan w:val="6"/>
          </w:tcPr>
          <w:p>
            <w:pPr>
              <w:spacing w:after="0"/>
              <w:rPr>
                <w:sz w:val="20"/>
                <w:szCs w:val="20"/>
                <w:color w:val="auto"/>
              </w:rPr>
            </w:pPr>
            <w:r>
              <w:rPr>
                <w:rFonts w:ascii="Arial" w:cs="Arial" w:eastAsia="Arial" w:hAnsi="Arial"/>
                <w:sz w:val="18"/>
                <w:szCs w:val="18"/>
                <w:b w:val="1"/>
                <w:bCs w:val="1"/>
                <w:color w:val="auto"/>
                <w:w w:val="94"/>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2,399</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 and fee income</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10,408</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payment-in-kind interest and dividend income</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Dividend income: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dividend income</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investment income</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12,684</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4,413</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Base management fee</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2,118</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984</w:t>
            </w:r>
          </w:p>
        </w:tc>
        <w:tc>
          <w:tcPr>
            <w:tcW w:w="3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4,135</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(3,909)</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Net realized loss on investments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6,039</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3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(4,276)</w:t>
            </w: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unrealized appreciation (depreciation) on investments</w:t>
            </w: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Net realized and unrealized loss on investments</w:t>
            </w:r>
          </w:p>
        </w:tc>
        <w:tc>
          <w:tcPr>
            <w:tcW w:w="3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(4,352)</w:t>
            </w: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net realized and unrealized loss on investments, net of taxes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40" w:type="dxa"/>
            <w:vAlign w:val="bottom"/>
          </w:tcPr>
          <w:p>
            <w:pPr>
              <w:spacing w:after="0" w:line="201" w:lineRule="exact"/>
              <w:rPr>
                <w:sz w:val="20"/>
                <w:szCs w:val="20"/>
                <w:color w:val="auto"/>
              </w:rPr>
            </w:pPr>
            <w:r>
              <w:rPr>
                <w:rFonts w:ascii="Arial" w:cs="Arial" w:eastAsia="Arial" w:hAnsi="Arial"/>
                <w:sz w:val="18"/>
                <w:szCs w:val="18"/>
                <w:color w:val="auto"/>
              </w:rPr>
              <w:t>NET INCREASE (DECREASE) IN NET ASSETS PER SHARE RESULTING FROM OPERATIONS –</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16,062,906</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15,959,215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DISTRIBUTIONS PAID PER SHARE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240" w:type="dxa"/>
            <w:vAlign w:val="bottom"/>
          </w:tcPr>
          <w:p>
            <w:pPr>
              <w:ind w:left="3480"/>
              <w:spacing w:after="0"/>
              <w:rPr>
                <w:sz w:val="20"/>
                <w:szCs w:val="20"/>
                <w:color w:val="auto"/>
              </w:rPr>
            </w:pPr>
            <w:r>
              <w:rPr>
                <w:rFonts w:ascii="Arial" w:cs="Arial" w:eastAsia="Arial" w:hAnsi="Arial"/>
                <w:sz w:val="18"/>
                <w:szCs w:val="18"/>
                <w:color w:val="auto"/>
                <w:w w:val="95"/>
              </w:rPr>
              <w:t>See accompanying notes to consolidated financial statements.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8240" w:type="dxa"/>
            <w:vAlign w:val="bottom"/>
            <w:tcBorders>
              <w:bottom w:val="single" w:sz="8" w:color="auto"/>
            </w:tcBorders>
          </w:tcPr>
          <w:p>
            <w:pPr>
              <w:ind w:left="5640"/>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089"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20" w:type="dxa"/>
            <w:vAlign w:val="bottom"/>
            <w:gridSpan w:val="6"/>
          </w:tcPr>
          <w:p>
            <w:pPr>
              <w:ind w:left="80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Additional Paid</w:t>
            </w:r>
          </w:p>
        </w:tc>
        <w:tc>
          <w:tcPr>
            <w:tcW w:w="100" w:type="dxa"/>
            <w:vAlign w:val="bottom"/>
          </w:tcPr>
          <w:p>
            <w:pPr>
              <w:spacing w:after="0"/>
              <w:rPr>
                <w:sz w:val="20"/>
                <w:szCs w:val="20"/>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Total Distributable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Number of 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Par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in Capital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Earnings (Loss)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15,951,231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4,438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loss on investments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Net unrealized depreciation on investments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provision</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Distributions to Shareholders: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Stock issued under dividend reinvestment plan</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Distributions declared</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(3,988)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15,974,218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16,051,547</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241,757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(51,274)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4,135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loss on investments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Net unrealized appreciation on investments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1,495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Distributions to Shareholders: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Stock issued under dividend reinvestment plan</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Distributions declared</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(4,014)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16,084,143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40" w:type="dxa"/>
            <w:vAlign w:val="bottom"/>
          </w:tcPr>
          <w:p>
            <w:pPr>
              <w:ind w:left="4840"/>
              <w:spacing w:after="0"/>
              <w:rPr>
                <w:sz w:val="20"/>
                <w:szCs w:val="20"/>
                <w:color w:val="auto"/>
              </w:rPr>
            </w:pPr>
            <w:r>
              <w:rPr>
                <w:rFonts w:ascii="Arial" w:cs="Arial" w:eastAsia="Arial" w:hAnsi="Arial"/>
                <w:sz w:val="18"/>
                <w:szCs w:val="18"/>
                <w:b w:val="1"/>
                <w:bCs w:val="1"/>
                <w:color w:val="auto"/>
              </w:rPr>
              <w:t>Capitala Finance Corp.</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40" w:type="dxa"/>
            <w:vAlign w:val="bottom"/>
          </w:tcPr>
          <w:p>
            <w:pPr>
              <w:ind w:left="4220"/>
              <w:spacing w:after="0"/>
              <w:rPr>
                <w:sz w:val="20"/>
                <w:szCs w:val="20"/>
                <w:color w:val="auto"/>
              </w:rPr>
            </w:pPr>
            <w:r>
              <w:rPr>
                <w:rFonts w:ascii="Arial" w:cs="Arial" w:eastAsia="Arial" w:hAnsi="Arial"/>
                <w:sz w:val="18"/>
                <w:szCs w:val="18"/>
                <w:b w:val="1"/>
                <w:bCs w:val="1"/>
                <w:color w:val="auto"/>
              </w:rPr>
              <w:t>Consolidated Statements of Cash Flows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5140"/>
              <w:spacing w:after="0" w:line="202" w:lineRule="exact"/>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ind w:left="5240"/>
              <w:spacing w:after="0"/>
              <w:rPr>
                <w:sz w:val="20"/>
                <w:szCs w:val="20"/>
                <w:color w:val="auto"/>
              </w:rPr>
            </w:pPr>
            <w:r>
              <w:rPr>
                <w:rFonts w:ascii="Arial" w:cs="Arial" w:eastAsia="Arial" w:hAnsi="Arial"/>
                <w:sz w:val="18"/>
                <w:szCs w:val="18"/>
                <w:b w:val="1"/>
                <w:bCs w:val="1"/>
                <w:color w:val="auto"/>
              </w:rPr>
              <w:t>(unaudited)</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3160" w:type="dxa"/>
            <w:vAlign w:val="bottom"/>
            <w:gridSpan w:val="6"/>
          </w:tcPr>
          <w:p>
            <w:pPr>
              <w:spacing w:after="0"/>
              <w:rPr>
                <w:sz w:val="20"/>
                <w:szCs w:val="20"/>
                <w:color w:val="auto"/>
              </w:rPr>
            </w:pPr>
            <w:r>
              <w:rPr>
                <w:rFonts w:ascii="Arial" w:cs="Arial" w:eastAsia="Arial" w:hAnsi="Arial"/>
                <w:sz w:val="18"/>
                <w:szCs w:val="18"/>
                <w:b w:val="1"/>
                <w:bCs w:val="1"/>
                <w:color w:val="auto"/>
                <w:w w:val="94"/>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Net increase (decrease) in net assets resulting from operations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Adjustments to reconcile net increase (decrease) in net assets resulting from operations to net cash used in</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Purchase of investments</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(21,128)</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and sales of investments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11,492</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Net realized loss on investments</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5,847</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unrealized (appreciation) depreciation on investments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Payment-in-kind interest and dividends</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original issue discount on investments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Amortization of deferred financing fees</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616</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provision (benefit)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and dividend receivable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Due from related parties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Management and incentive fees payable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Interest and financing fees payable</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(1,640)</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Trade settlement payable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Paydowns on SBA debentures</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(15,700)</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Credit Facility</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Payments to Credit Facility</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paid to shareholders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(3,759)</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Deferred financing fees paid</w:t>
            </w:r>
          </w:p>
        </w:tc>
        <w:tc>
          <w:tcPr>
            <w:tcW w:w="3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ind w:right="3220"/>
        <w:spacing w:after="0" w:line="295" w:lineRule="auto"/>
        <w:rPr>
          <w:sz w:val="20"/>
          <w:szCs w:val="20"/>
          <w:color w:val="auto"/>
        </w:rPr>
      </w:pPr>
      <w:r>
        <w:rPr>
          <w:rFonts w:ascii="Arial" w:cs="Arial" w:eastAsia="Arial" w:hAnsi="Arial"/>
          <w:sz w:val="17"/>
          <w:szCs w:val="17"/>
          <w:color w:val="auto"/>
        </w:rPr>
        <w:t>NET DECREASE IN CASH AND CASH EQUIVALENTS CASH AND CASH EQUIVALENTS, beginning of period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(10,825)</w:t>
            </w:r>
          </w:p>
        </w:tc>
        <w:tc>
          <w:tcPr>
            <w:tcW w:w="5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(5,501)</w:t>
            </w:r>
          </w:p>
        </w:tc>
      </w:tr>
      <w:tr>
        <w:trPr>
          <w:trHeight w:val="230"/>
        </w:trPr>
        <w:tc>
          <w:tcPr>
            <w:tcW w:w="46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39,295</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31,221</w:t>
            </w:r>
          </w:p>
        </w:tc>
        <w:tc>
          <w:tcPr>
            <w:tcW w:w="60" w:type="dxa"/>
            <w:vAlign w:val="bottom"/>
          </w:tcPr>
          <w:p>
            <w:pPr>
              <w:spacing w:after="0"/>
              <w:rPr>
                <w:sz w:val="20"/>
                <w:szCs w:val="20"/>
                <w:color w:val="auto"/>
              </w:rPr>
            </w:pPr>
          </w:p>
        </w:tc>
      </w:tr>
      <w:tr>
        <w:trPr>
          <w:trHeight w:val="223"/>
        </w:trPr>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28,470</w:t>
            </w: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25,720</w:t>
            </w:r>
          </w:p>
        </w:tc>
        <w:tc>
          <w:tcPr>
            <w:tcW w:w="60" w:type="dxa"/>
            <w:vAlign w:val="bottom"/>
          </w:tcPr>
          <w:p>
            <w:pPr>
              <w:spacing w:after="0"/>
              <w:rPr>
                <w:sz w:val="19"/>
                <w:szCs w:val="19"/>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316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8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5,059</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TRANSACTIONS</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paid through dividend reinvestment plan share issuances</w:t>
            </w:r>
          </w:p>
        </w:tc>
        <w:tc>
          <w:tcPr>
            <w:tcW w:w="8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 xml:space="preserve">Portfolio Company, Country </w:t>
            </w:r>
            <w:r>
              <w:rPr>
                <w:rFonts w:ascii="Arial" w:cs="Arial" w:eastAsia="Arial" w:hAnsi="Arial"/>
                <w:sz w:val="23"/>
                <w:szCs w:val="23"/>
                <w:b w:val="1"/>
                <w:bCs w:val="1"/>
                <w:color w:val="auto"/>
                <w:w w:val="88"/>
                <w:vertAlign w:val="superscript"/>
              </w:rPr>
              <w:t>(1)</w:t>
            </w:r>
            <w:r>
              <w:rPr>
                <w:rFonts w:ascii="Arial" w:cs="Arial" w:eastAsia="Arial" w:hAnsi="Arial"/>
                <w:sz w:val="23"/>
                <w:szCs w:val="23"/>
                <w:b w:val="1"/>
                <w:bCs w:val="1"/>
                <w:u w:val="single" w:color="auto"/>
                <w:color w:val="auto"/>
                <w:w w:val="88"/>
                <w:vertAlign w:val="superscript"/>
              </w:rPr>
              <w:t>,</w:t>
            </w:r>
            <w:r>
              <w:rPr>
                <w:rFonts w:ascii="Arial" w:cs="Arial" w:eastAsia="Arial" w:hAnsi="Arial"/>
                <w:sz w:val="14"/>
                <w:szCs w:val="14"/>
                <w:b w:val="1"/>
                <w:bCs w:val="1"/>
                <w:color w:val="auto"/>
                <w:w w:val="88"/>
              </w:rPr>
              <w:t xml:space="preserve"> </w:t>
            </w:r>
            <w:r>
              <w:rPr>
                <w:rFonts w:ascii="Arial" w:cs="Arial" w:eastAsia="Arial" w:hAnsi="Arial"/>
                <w:sz w:val="23"/>
                <w:szCs w:val="23"/>
                <w:b w:val="1"/>
                <w:bCs w:val="1"/>
                <w:color w:val="auto"/>
                <w:w w:val="88"/>
                <w:vertAlign w:val="superscript"/>
              </w:rPr>
              <w:t>(2), (3), (4), (5)</w:t>
            </w:r>
          </w:p>
        </w:tc>
        <w:tc>
          <w:tcPr>
            <w:tcW w:w="1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324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Non-control/non-affiliated investments -</w:t>
            </w: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152.3%</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Non-control/non-affiliated investments -</w:t>
            </w: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United States</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3 Bridge Solutions,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IT Consulting</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(11.5% Cash (1 month LIBOR +</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9.0%, 1.0% Floor), Due 12/4/22)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13,954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13,954</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 Bridge Solutions,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IT Consulting</w:t>
            </w:r>
          </w:p>
        </w:tc>
        <w:tc>
          <w:tcPr>
            <w:tcW w:w="3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Preferred Units (965 units, 8.0% PIK) </w:t>
            </w:r>
            <w:r>
              <w:rPr>
                <w:rFonts w:ascii="Arial" w:cs="Arial" w:eastAsia="Arial" w:hAnsi="Arial"/>
                <w:sz w:val="21"/>
                <w:szCs w:val="21"/>
                <w:color w:val="auto"/>
                <w:vertAlign w:val="superscript"/>
              </w:rPr>
              <w:t>(6)</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1,070</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 Bridge Solutions,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IT Consulting</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Membership Units (39,000 units)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15,034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15,184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 Solutions,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First Lien Debt (9.5% Cash (1 month LIBOR + 7.0%,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Floor), Due 12/18/22)</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Alternative Biomedical Solutions,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Healthcare</w:t>
            </w:r>
          </w:p>
        </w:tc>
        <w:tc>
          <w:tcPr>
            <w:tcW w:w="3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First Lien Debt (12.5% Cash, Due 12/18/22) </w:t>
            </w:r>
            <w:r>
              <w:rPr>
                <w:rFonts w:ascii="Arial" w:cs="Arial" w:eastAsia="Arial" w:hAnsi="Arial"/>
                <w:sz w:val="21"/>
                <w:szCs w:val="21"/>
                <w:color w:val="auto"/>
                <w:vertAlign w:val="superscript"/>
              </w:rPr>
              <w:t>(7)</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Alternative Biomedical Solutions,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Healthcare</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Membership Units (20,092 units)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13,918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American Clinical Solutions, LLC</w:t>
            </w:r>
          </w:p>
        </w:tc>
        <w:tc>
          <w:tcPr>
            <w:tcW w:w="14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Healthcare</w:t>
            </w:r>
          </w:p>
        </w:tc>
        <w:tc>
          <w:tcPr>
            <w:tcW w:w="32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(10.5% Cash, 2.0% PIK, Due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line="211" w:lineRule="exact"/>
              <w:rPr>
                <w:sz w:val="20"/>
                <w:szCs w:val="20"/>
                <w:color w:val="auto"/>
              </w:rPr>
            </w:pPr>
            <w:r>
              <w:rPr>
                <w:rFonts w:ascii="Arial" w:cs="Arial" w:eastAsia="Arial" w:hAnsi="Arial"/>
                <w:sz w:val="14"/>
                <w:szCs w:val="14"/>
                <w:color w:val="auto"/>
              </w:rPr>
              <w:t xml:space="preserve">6/11/20) </w:t>
            </w:r>
            <w:r>
              <w:rPr>
                <w:rFonts w:ascii="Arial" w:cs="Arial" w:eastAsia="Arial" w:hAnsi="Arial"/>
                <w:sz w:val="23"/>
                <w:szCs w:val="23"/>
                <w:color w:val="auto"/>
                <w:vertAlign w:val="superscript"/>
              </w:rPr>
              <w:t>(8)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9,340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8,918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8,918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AmeriMark Direct,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 Products</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 Lien Debt (12.8% Cash, Due 9/8/21)</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18,050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17,808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17,994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1">
            <w:col w:w="11420"/>
          </w:cols>
          <w:pgMar w:left="240" w:top="931" w:right="239" w:bottom="1440" w:gutter="0" w:footer="0" w:header="0"/>
        </w:sectPr>
      </w:pPr>
    </w:p>
    <w:tbl>
      <w:tblPr>
        <w:tblLayout w:type="fixed"/>
        <w:tblInd w:w="0" w:type="dxa"/>
        <w:tblCellMar>
          <w:top w:w="0" w:type="dxa"/>
          <w:left w:w="0" w:type="dxa"/>
          <w:bottom w:w="0" w:type="dxa"/>
          <w:right w:w="0" w:type="dxa"/>
        </w:tblCellMar>
      </w:tblPr>
      <w:tr>
        <w:trPr>
          <w:trHeight w:val="323"/>
        </w:trPr>
        <w:tc>
          <w:tcPr>
            <w:tcW w:w="2400" w:type="dxa"/>
            <w:vAlign w:val="bottom"/>
          </w:tcPr>
          <w:p>
            <w:pPr>
              <w:spacing w:after="0"/>
              <w:rPr>
                <w:sz w:val="20"/>
                <w:szCs w:val="20"/>
                <w:color w:val="auto"/>
              </w:rPr>
            </w:pPr>
            <w:r>
              <w:rPr>
                <w:rFonts w:ascii="Arial" w:cs="Arial" w:eastAsia="Arial" w:hAnsi="Arial"/>
                <w:sz w:val="14"/>
                <w:szCs w:val="14"/>
                <w:color w:val="auto"/>
              </w:rPr>
              <w:t>BigMouth, Inc.</w:t>
            </w:r>
          </w:p>
        </w:tc>
        <w:tc>
          <w:tcPr>
            <w:tcW w:w="1760" w:type="dxa"/>
            <w:vAlign w:val="bottom"/>
          </w:tcPr>
          <w:p>
            <w:pPr>
              <w:ind w:left="440"/>
              <w:spacing w:after="0"/>
              <w:rPr>
                <w:sz w:val="20"/>
                <w:szCs w:val="20"/>
                <w:color w:val="auto"/>
              </w:rPr>
            </w:pPr>
            <w:r>
              <w:rPr>
                <w:rFonts w:ascii="Arial" w:cs="Arial" w:eastAsia="Arial" w:hAnsi="Arial"/>
                <w:sz w:val="14"/>
                <w:szCs w:val="14"/>
                <w:color w:val="auto"/>
              </w:rPr>
              <w:t>Consumer Products</w:t>
            </w:r>
          </w:p>
        </w:tc>
        <w:tc>
          <w:tcPr>
            <w:tcW w:w="3100" w:type="dxa"/>
            <w:vAlign w:val="bottom"/>
          </w:tcPr>
          <w:p>
            <w:pPr>
              <w:ind w:left="120"/>
              <w:spacing w:after="0"/>
              <w:rPr>
                <w:sz w:val="20"/>
                <w:szCs w:val="20"/>
                <w:color w:val="auto"/>
              </w:rPr>
            </w:pPr>
            <w:r>
              <w:rPr>
                <w:rFonts w:ascii="Arial" w:cs="Arial" w:eastAsia="Arial" w:hAnsi="Arial"/>
                <w:sz w:val="14"/>
                <w:szCs w:val="14"/>
                <w:color w:val="auto"/>
              </w:rPr>
              <w:t xml:space="preserve">First Lien Debt (14.5% Cash, Due 11/14/21) </w:t>
            </w:r>
            <w:r>
              <w:rPr>
                <w:rFonts w:ascii="Arial" w:cs="Arial" w:eastAsia="Arial" w:hAnsi="Arial"/>
                <w:sz w:val="23"/>
                <w:szCs w:val="23"/>
                <w:color w:val="auto"/>
                <w:vertAlign w:val="superscript"/>
              </w:rPr>
              <w:t>(7)</w:t>
            </w:r>
          </w:p>
        </w:tc>
      </w:tr>
      <w:tr>
        <w:trPr>
          <w:trHeight w:val="197"/>
        </w:trPr>
        <w:tc>
          <w:tcPr>
            <w:tcW w:w="2400" w:type="dxa"/>
            <w:vAlign w:val="bottom"/>
          </w:tcPr>
          <w:p>
            <w:pPr>
              <w:spacing w:after="0"/>
              <w:rPr>
                <w:sz w:val="20"/>
                <w:szCs w:val="20"/>
                <w:color w:val="auto"/>
              </w:rPr>
            </w:pPr>
            <w:r>
              <w:rPr>
                <w:rFonts w:ascii="Arial" w:cs="Arial" w:eastAsia="Arial" w:hAnsi="Arial"/>
                <w:sz w:val="14"/>
                <w:szCs w:val="14"/>
                <w:color w:val="auto"/>
              </w:rPr>
              <w:t>BigMouth, Inc.</w:t>
            </w:r>
          </w:p>
        </w:tc>
        <w:tc>
          <w:tcPr>
            <w:tcW w:w="1760" w:type="dxa"/>
            <w:vAlign w:val="bottom"/>
          </w:tcPr>
          <w:p>
            <w:pPr>
              <w:ind w:left="440"/>
              <w:spacing w:after="0"/>
              <w:rPr>
                <w:sz w:val="20"/>
                <w:szCs w:val="20"/>
                <w:color w:val="auto"/>
              </w:rPr>
            </w:pPr>
            <w:r>
              <w:rPr>
                <w:rFonts w:ascii="Arial" w:cs="Arial" w:eastAsia="Arial" w:hAnsi="Arial"/>
                <w:sz w:val="14"/>
                <w:szCs w:val="14"/>
                <w:color w:val="auto"/>
              </w:rPr>
              <w:t>Consumer Products</w:t>
            </w:r>
          </w:p>
        </w:tc>
        <w:tc>
          <w:tcPr>
            <w:tcW w:w="3100" w:type="dxa"/>
            <w:vAlign w:val="bottom"/>
          </w:tcPr>
          <w:p>
            <w:pPr>
              <w:ind w:left="120"/>
              <w:spacing w:after="0"/>
              <w:rPr>
                <w:sz w:val="20"/>
                <w:szCs w:val="20"/>
                <w:color w:val="auto"/>
              </w:rPr>
            </w:pPr>
            <w:r>
              <w:rPr>
                <w:rFonts w:ascii="Arial" w:cs="Arial" w:eastAsia="Arial" w:hAnsi="Arial"/>
                <w:sz w:val="14"/>
                <w:szCs w:val="14"/>
                <w:color w:val="auto"/>
              </w:rPr>
              <w:t>Series A Preferred Stock (350,000 shares)</w:t>
            </w:r>
          </w:p>
        </w:tc>
      </w:tr>
      <w:tr>
        <w:trPr>
          <w:trHeight w:val="615"/>
        </w:trPr>
        <w:tc>
          <w:tcPr>
            <w:tcW w:w="2400" w:type="dxa"/>
            <w:vAlign w:val="bottom"/>
          </w:tcPr>
          <w:p>
            <w:pPr>
              <w:spacing w:after="0"/>
              <w:rPr>
                <w:sz w:val="20"/>
                <w:szCs w:val="20"/>
                <w:color w:val="auto"/>
              </w:rPr>
            </w:pPr>
            <w:r>
              <w:rPr>
                <w:rFonts w:ascii="Arial" w:cs="Arial" w:eastAsia="Arial" w:hAnsi="Arial"/>
                <w:sz w:val="14"/>
                <w:szCs w:val="14"/>
                <w:color w:val="auto"/>
              </w:rPr>
              <w:t>Bluestem Brands, Inc.</w:t>
            </w:r>
          </w:p>
        </w:tc>
        <w:tc>
          <w:tcPr>
            <w:tcW w:w="1760" w:type="dxa"/>
            <w:vAlign w:val="bottom"/>
          </w:tcPr>
          <w:p>
            <w:pPr>
              <w:ind w:left="440"/>
              <w:spacing w:after="0"/>
              <w:rPr>
                <w:sz w:val="20"/>
                <w:szCs w:val="20"/>
                <w:color w:val="auto"/>
              </w:rPr>
            </w:pPr>
            <w:r>
              <w:rPr>
                <w:rFonts w:ascii="Arial" w:cs="Arial" w:eastAsia="Arial" w:hAnsi="Arial"/>
                <w:sz w:val="14"/>
                <w:szCs w:val="14"/>
                <w:color w:val="auto"/>
              </w:rPr>
              <w:t>Online Merchandise</w:t>
            </w:r>
          </w:p>
        </w:tc>
        <w:tc>
          <w:tcPr>
            <w:tcW w:w="3100" w:type="dxa"/>
            <w:vAlign w:val="bottom"/>
          </w:tcPr>
          <w:p>
            <w:pPr>
              <w:ind w:left="120"/>
              <w:spacing w:after="0"/>
              <w:rPr>
                <w:sz w:val="20"/>
                <w:szCs w:val="20"/>
                <w:color w:val="auto"/>
              </w:rPr>
            </w:pPr>
            <w:r>
              <w:rPr>
                <w:rFonts w:ascii="Arial" w:cs="Arial" w:eastAsia="Arial" w:hAnsi="Arial"/>
                <w:sz w:val="14"/>
                <w:szCs w:val="14"/>
                <w:color w:val="auto"/>
              </w:rPr>
              <w:t>First Lien Debt (10.0% Cash (1 month LIBOR +</w:t>
            </w:r>
          </w:p>
        </w:tc>
      </w:tr>
      <w:tr>
        <w:trPr>
          <w:trHeight w:val="182"/>
        </w:trPr>
        <w:tc>
          <w:tcPr>
            <w:tcW w:w="2400" w:type="dxa"/>
            <w:vAlign w:val="bottom"/>
          </w:tcPr>
          <w:p>
            <w:pPr>
              <w:spacing w:after="0"/>
              <w:rPr>
                <w:sz w:val="15"/>
                <w:szCs w:val="15"/>
                <w:color w:val="auto"/>
              </w:rPr>
            </w:pPr>
          </w:p>
        </w:tc>
        <w:tc>
          <w:tcPr>
            <w:tcW w:w="1760" w:type="dxa"/>
            <w:vAlign w:val="bottom"/>
          </w:tcPr>
          <w:p>
            <w:pPr>
              <w:ind w:left="440"/>
              <w:spacing w:after="0"/>
              <w:rPr>
                <w:sz w:val="20"/>
                <w:szCs w:val="20"/>
                <w:color w:val="auto"/>
              </w:rPr>
            </w:pPr>
            <w:r>
              <w:rPr>
                <w:rFonts w:ascii="Arial" w:cs="Arial" w:eastAsia="Arial" w:hAnsi="Arial"/>
                <w:sz w:val="14"/>
                <w:szCs w:val="14"/>
                <w:color w:val="auto"/>
              </w:rPr>
              <w:t>Retailer</w:t>
            </w:r>
          </w:p>
        </w:tc>
        <w:tc>
          <w:tcPr>
            <w:tcW w:w="3100" w:type="dxa"/>
            <w:vAlign w:val="bottom"/>
          </w:tcPr>
          <w:p>
            <w:pPr>
              <w:ind w:left="120"/>
              <w:spacing w:after="0"/>
              <w:rPr>
                <w:sz w:val="20"/>
                <w:szCs w:val="20"/>
                <w:color w:val="auto"/>
              </w:rPr>
            </w:pPr>
            <w:r>
              <w:rPr>
                <w:rFonts w:ascii="Arial" w:cs="Arial" w:eastAsia="Arial" w:hAnsi="Arial"/>
                <w:sz w:val="14"/>
                <w:szCs w:val="14"/>
                <w:color w:val="auto"/>
              </w:rPr>
              <w:t>7.5%, 1.0% Floor), Due 11/7/20)</w:t>
            </w:r>
          </w:p>
        </w:tc>
      </w:tr>
      <w:tr>
        <w:trPr>
          <w:trHeight w:val="615"/>
        </w:trPr>
        <w:tc>
          <w:tcPr>
            <w:tcW w:w="2400" w:type="dxa"/>
            <w:vAlign w:val="bottom"/>
          </w:tcPr>
          <w:p>
            <w:pPr>
              <w:spacing w:after="0"/>
              <w:rPr>
                <w:sz w:val="20"/>
                <w:szCs w:val="20"/>
                <w:color w:val="auto"/>
              </w:rPr>
            </w:pPr>
            <w:r>
              <w:rPr>
                <w:rFonts w:ascii="Arial" w:cs="Arial" w:eastAsia="Arial" w:hAnsi="Arial"/>
                <w:sz w:val="14"/>
                <w:szCs w:val="14"/>
                <w:color w:val="auto"/>
              </w:rPr>
              <w:t>Burke America Parts Group, LLC</w:t>
            </w:r>
          </w:p>
        </w:tc>
        <w:tc>
          <w:tcPr>
            <w:tcW w:w="1760" w:type="dxa"/>
            <w:vAlign w:val="bottom"/>
          </w:tcPr>
          <w:p>
            <w:pPr>
              <w:ind w:left="440"/>
              <w:spacing w:after="0"/>
              <w:rPr>
                <w:sz w:val="20"/>
                <w:szCs w:val="20"/>
                <w:color w:val="auto"/>
              </w:rPr>
            </w:pPr>
            <w:r>
              <w:rPr>
                <w:rFonts w:ascii="Arial" w:cs="Arial" w:eastAsia="Arial" w:hAnsi="Arial"/>
                <w:sz w:val="14"/>
                <w:szCs w:val="14"/>
                <w:color w:val="auto"/>
              </w:rPr>
              <w:t>Home Repair Parts</w:t>
            </w:r>
          </w:p>
        </w:tc>
        <w:tc>
          <w:tcPr>
            <w:tcW w:w="3100" w:type="dxa"/>
            <w:vAlign w:val="bottom"/>
          </w:tcPr>
          <w:p>
            <w:pPr>
              <w:spacing w:after="0"/>
              <w:rPr>
                <w:sz w:val="24"/>
                <w:szCs w:val="24"/>
                <w:color w:val="auto"/>
              </w:rPr>
            </w:pPr>
          </w:p>
        </w:tc>
      </w:tr>
      <w:tr>
        <w:trPr>
          <w:trHeight w:val="182"/>
        </w:trPr>
        <w:tc>
          <w:tcPr>
            <w:tcW w:w="2400" w:type="dxa"/>
            <w:vAlign w:val="bottom"/>
          </w:tcPr>
          <w:p>
            <w:pPr>
              <w:spacing w:after="0"/>
              <w:rPr>
                <w:sz w:val="15"/>
                <w:szCs w:val="15"/>
                <w:color w:val="auto"/>
              </w:rPr>
            </w:pPr>
          </w:p>
        </w:tc>
        <w:tc>
          <w:tcPr>
            <w:tcW w:w="1760" w:type="dxa"/>
            <w:vAlign w:val="bottom"/>
          </w:tcPr>
          <w:p>
            <w:pPr>
              <w:ind w:left="440"/>
              <w:spacing w:after="0"/>
              <w:rPr>
                <w:sz w:val="20"/>
                <w:szCs w:val="20"/>
                <w:color w:val="auto"/>
              </w:rPr>
            </w:pPr>
            <w:r>
              <w:rPr>
                <w:rFonts w:ascii="Arial" w:cs="Arial" w:eastAsia="Arial" w:hAnsi="Arial"/>
                <w:sz w:val="14"/>
                <w:szCs w:val="14"/>
                <w:color w:val="auto"/>
              </w:rPr>
              <w:t>Manufacturer</w:t>
            </w:r>
          </w:p>
        </w:tc>
        <w:tc>
          <w:tcPr>
            <w:tcW w:w="3100" w:type="dxa"/>
            <w:vAlign w:val="bottom"/>
          </w:tcPr>
          <w:p>
            <w:pPr>
              <w:ind w:left="120"/>
              <w:spacing w:after="0"/>
              <w:rPr>
                <w:sz w:val="20"/>
                <w:szCs w:val="20"/>
                <w:color w:val="auto"/>
              </w:rPr>
            </w:pPr>
            <w:r>
              <w:rPr>
                <w:rFonts w:ascii="Arial" w:cs="Arial" w:eastAsia="Arial" w:hAnsi="Arial"/>
                <w:sz w:val="14"/>
                <w:szCs w:val="14"/>
                <w:color w:val="auto"/>
              </w:rPr>
              <w:t>Membership Units (14 units)</w:t>
            </w:r>
          </w:p>
        </w:tc>
      </w:tr>
      <w:tr>
        <w:trPr>
          <w:trHeight w:val="615"/>
        </w:trPr>
        <w:tc>
          <w:tcPr>
            <w:tcW w:w="2400" w:type="dxa"/>
            <w:vAlign w:val="bottom"/>
          </w:tcPr>
          <w:p>
            <w:pPr>
              <w:spacing w:after="0"/>
              <w:rPr>
                <w:sz w:val="20"/>
                <w:szCs w:val="20"/>
                <w:color w:val="auto"/>
              </w:rPr>
            </w:pPr>
            <w:r>
              <w:rPr>
                <w:rFonts w:ascii="Arial" w:cs="Arial" w:eastAsia="Arial" w:hAnsi="Arial"/>
                <w:sz w:val="14"/>
                <w:szCs w:val="14"/>
                <w:color w:val="auto"/>
              </w:rPr>
              <w:t>California Pizza Kitchen, Inc.</w:t>
            </w:r>
          </w:p>
        </w:tc>
        <w:tc>
          <w:tcPr>
            <w:tcW w:w="1760" w:type="dxa"/>
            <w:vAlign w:val="bottom"/>
          </w:tcPr>
          <w:p>
            <w:pPr>
              <w:ind w:left="440"/>
              <w:spacing w:after="0"/>
              <w:rPr>
                <w:sz w:val="20"/>
                <w:szCs w:val="20"/>
                <w:color w:val="auto"/>
              </w:rPr>
            </w:pPr>
            <w:r>
              <w:rPr>
                <w:rFonts w:ascii="Arial" w:cs="Arial" w:eastAsia="Arial" w:hAnsi="Arial"/>
                <w:sz w:val="14"/>
                <w:szCs w:val="14"/>
                <w:color w:val="auto"/>
              </w:rPr>
              <w:t>Restaurant</w:t>
            </w:r>
          </w:p>
        </w:tc>
        <w:tc>
          <w:tcPr>
            <w:tcW w:w="3100" w:type="dxa"/>
            <w:vAlign w:val="bottom"/>
          </w:tcPr>
          <w:p>
            <w:pPr>
              <w:ind w:left="120"/>
              <w:spacing w:after="0"/>
              <w:rPr>
                <w:sz w:val="20"/>
                <w:szCs w:val="20"/>
                <w:color w:val="auto"/>
              </w:rPr>
            </w:pPr>
            <w:r>
              <w:rPr>
                <w:rFonts w:ascii="Arial" w:cs="Arial" w:eastAsia="Arial" w:hAnsi="Arial"/>
                <w:sz w:val="14"/>
                <w:szCs w:val="14"/>
                <w:color w:val="auto"/>
                <w:w w:val="94"/>
              </w:rPr>
              <w:t>Second Lien Debt (12.5% Cash (1 month LIBOR +</w:t>
            </w:r>
          </w:p>
        </w:tc>
      </w:tr>
      <w:tr>
        <w:trPr>
          <w:trHeight w:val="182"/>
        </w:trPr>
        <w:tc>
          <w:tcPr>
            <w:tcW w:w="2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10.0%, 1.0% Floor), Due 8/23/23)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-1835785</wp:posOffset>
            </wp:positionV>
            <wp:extent cx="724662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-1621155</wp:posOffset>
            </wp:positionV>
            <wp:extent cx="724662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-1415415</wp:posOffset>
            </wp:positionV>
            <wp:extent cx="72466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-1209675</wp:posOffset>
            </wp:positionV>
            <wp:extent cx="724662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-909320</wp:posOffset>
            </wp:positionV>
            <wp:extent cx="72466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-703580</wp:posOffset>
            </wp:positionV>
            <wp:extent cx="724662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148"/>
              <w:spacing w:after="0"/>
              <w:rPr>
                <w:sz w:val="20"/>
                <w:szCs w:val="20"/>
                <w:color w:val="auto"/>
              </w:rPr>
            </w:pPr>
            <w:r>
              <w:rPr>
                <w:rFonts w:ascii="Arial" w:cs="Arial" w:eastAsia="Arial" w:hAnsi="Arial"/>
                <w:sz w:val="14"/>
                <w:szCs w:val="14"/>
                <w:color w:val="auto"/>
                <w:w w:val="85"/>
              </w:rPr>
              <w:t>8,920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8,920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8,920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4.8%</w:t>
            </w:r>
          </w:p>
        </w:tc>
      </w:tr>
      <w:tr>
        <w:trPr>
          <w:trHeight w:val="296"/>
        </w:trPr>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411</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218</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9,331</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9,138</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4.9%</w:t>
            </w:r>
          </w:p>
        </w:tc>
      </w:tr>
      <w:tr>
        <w:trPr>
          <w:trHeight w:val="20"/>
        </w:trPr>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40" w:type="dxa"/>
            <w:vAlign w:val="bottom"/>
          </w:tcPr>
          <w:p>
            <w:pPr>
              <w:jc w:val="right"/>
              <w:ind w:right="148"/>
              <w:spacing w:after="0"/>
              <w:rPr>
                <w:sz w:val="20"/>
                <w:szCs w:val="20"/>
                <w:color w:val="auto"/>
              </w:rPr>
            </w:pPr>
            <w:r>
              <w:rPr>
                <w:rFonts w:ascii="Arial" w:cs="Arial" w:eastAsia="Arial" w:hAnsi="Arial"/>
                <w:sz w:val="14"/>
                <w:szCs w:val="14"/>
                <w:color w:val="auto"/>
                <w:w w:val="85"/>
              </w:rPr>
              <w:t>3,717</w:t>
            </w:r>
          </w:p>
        </w:tc>
        <w:tc>
          <w:tcPr>
            <w:tcW w:w="780" w:type="dxa"/>
            <w:vAlign w:val="bottom"/>
          </w:tcPr>
          <w:p>
            <w:pPr>
              <w:jc w:val="right"/>
              <w:spacing w:after="0"/>
              <w:rPr>
                <w:sz w:val="20"/>
                <w:szCs w:val="20"/>
                <w:color w:val="auto"/>
              </w:rPr>
            </w:pPr>
            <w:r>
              <w:rPr>
                <w:rFonts w:ascii="Arial" w:cs="Arial" w:eastAsia="Arial" w:hAnsi="Arial"/>
                <w:sz w:val="14"/>
                <w:szCs w:val="14"/>
                <w:color w:val="auto"/>
              </w:rPr>
              <w:t>3,710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3,467</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3,710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3,467</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2,287</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2,287</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40" w:type="dxa"/>
            <w:vAlign w:val="bottom"/>
          </w:tcPr>
          <w:p>
            <w:pPr>
              <w:jc w:val="right"/>
              <w:ind w:right="148"/>
              <w:spacing w:after="0"/>
              <w:rPr>
                <w:sz w:val="20"/>
                <w:szCs w:val="20"/>
                <w:color w:val="auto"/>
              </w:rPr>
            </w:pPr>
            <w:r>
              <w:rPr>
                <w:rFonts w:ascii="Arial" w:cs="Arial" w:eastAsia="Arial" w:hAnsi="Arial"/>
                <w:sz w:val="14"/>
                <w:szCs w:val="14"/>
                <w:color w:val="auto"/>
                <w:w w:val="85"/>
              </w:rPr>
              <w:t>5,000</w:t>
            </w:r>
          </w:p>
        </w:tc>
        <w:tc>
          <w:tcPr>
            <w:tcW w:w="780" w:type="dxa"/>
            <w:vAlign w:val="bottom"/>
          </w:tcPr>
          <w:p>
            <w:pPr>
              <w:jc w:val="right"/>
              <w:spacing w:after="0"/>
              <w:rPr>
                <w:sz w:val="20"/>
                <w:szCs w:val="20"/>
                <w:color w:val="auto"/>
              </w:rPr>
            </w:pPr>
            <w:r>
              <w:rPr>
                <w:rFonts w:ascii="Arial" w:cs="Arial" w:eastAsia="Arial" w:hAnsi="Arial"/>
                <w:sz w:val="14"/>
                <w:szCs w:val="14"/>
                <w:color w:val="auto"/>
              </w:rPr>
              <w:t>4,908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4,800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4,908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4,800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2">
            <w:col w:w="7260" w:space="720"/>
            <w:col w:w="3440"/>
          </w:cols>
          <w:pgMar w:left="240" w:top="93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Chicken Soup for the Soul, LLC</w:t>
            </w:r>
          </w:p>
        </w:tc>
        <w:tc>
          <w:tcPr>
            <w:tcW w:w="1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Multi-platform Media</w:t>
            </w:r>
          </w:p>
        </w:tc>
        <w:tc>
          <w:tcPr>
            <w:tcW w:w="3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9"/>
        </w:trPr>
        <w:tc>
          <w:tcPr>
            <w:tcW w:w="2360" w:type="dxa"/>
            <w:vAlign w:val="bottom"/>
            <w:shd w:val="clear" w:color="auto" w:fill="CCEEFF"/>
          </w:tcPr>
          <w:p>
            <w:pPr>
              <w:spacing w:after="0"/>
              <w:rPr>
                <w:sz w:val="12"/>
                <w:szCs w:val="12"/>
                <w:color w:val="auto"/>
              </w:rPr>
            </w:pPr>
          </w:p>
        </w:tc>
        <w:tc>
          <w:tcPr>
            <w:tcW w:w="184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and Consumer</w:t>
            </w:r>
          </w:p>
        </w:tc>
        <w:tc>
          <w:tcPr>
            <w:tcW w:w="3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First Lien Debt (11.0% Cash (1 month LIBOR +</w:t>
            </w:r>
          </w:p>
        </w:tc>
        <w:tc>
          <w:tcPr>
            <w:tcW w:w="10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81"/>
        </w:trPr>
        <w:tc>
          <w:tcPr>
            <w:tcW w:w="2360" w:type="dxa"/>
            <w:vAlign w:val="bottom"/>
            <w:shd w:val="clear" w:color="auto" w:fill="CCEEFF"/>
          </w:tcPr>
          <w:p>
            <w:pPr>
              <w:spacing w:after="0"/>
              <w:rPr>
                <w:sz w:val="15"/>
                <w:szCs w:val="15"/>
                <w:color w:val="auto"/>
              </w:rPr>
            </w:pPr>
          </w:p>
        </w:tc>
        <w:tc>
          <w:tcPr>
            <w:tcW w:w="1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Products</w:t>
            </w:r>
          </w:p>
        </w:tc>
        <w:tc>
          <w:tcPr>
            <w:tcW w:w="3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8.5%, 1.5% Floor), Due 12/13/20)</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42"/>
        </w:trPr>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23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2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 xml:space="preserve">Portfolio Company, Country </w:t>
            </w:r>
            <w:r>
              <w:rPr>
                <w:rFonts w:ascii="Arial" w:cs="Arial" w:eastAsia="Arial" w:hAnsi="Arial"/>
                <w:sz w:val="23"/>
                <w:szCs w:val="23"/>
                <w:b w:val="1"/>
                <w:bCs w:val="1"/>
                <w:color w:val="auto"/>
                <w:w w:val="88"/>
                <w:vertAlign w:val="superscript"/>
              </w:rPr>
              <w:t>(1)</w:t>
            </w:r>
            <w:r>
              <w:rPr>
                <w:rFonts w:ascii="Arial" w:cs="Arial" w:eastAsia="Arial" w:hAnsi="Arial"/>
                <w:sz w:val="23"/>
                <w:szCs w:val="23"/>
                <w:b w:val="1"/>
                <w:bCs w:val="1"/>
                <w:u w:val="single" w:color="auto"/>
                <w:color w:val="auto"/>
                <w:w w:val="88"/>
                <w:vertAlign w:val="superscript"/>
              </w:rPr>
              <w:t>,</w:t>
            </w:r>
            <w:r>
              <w:rPr>
                <w:rFonts w:ascii="Arial" w:cs="Arial" w:eastAsia="Arial" w:hAnsi="Arial"/>
                <w:sz w:val="14"/>
                <w:szCs w:val="14"/>
                <w:b w:val="1"/>
                <w:bCs w:val="1"/>
                <w:color w:val="auto"/>
                <w:w w:val="88"/>
              </w:rPr>
              <w:t xml:space="preserve"> </w:t>
            </w:r>
            <w:r>
              <w:rPr>
                <w:rFonts w:ascii="Arial" w:cs="Arial" w:eastAsia="Arial" w:hAnsi="Arial"/>
                <w:sz w:val="23"/>
                <w:szCs w:val="23"/>
                <w:b w:val="1"/>
                <w:bCs w:val="1"/>
                <w:color w:val="auto"/>
                <w:w w:val="88"/>
                <w:vertAlign w:val="superscript"/>
              </w:rPr>
              <w:t>(2), (3), (4), (5)</w:t>
            </w:r>
          </w:p>
        </w:tc>
        <w:tc>
          <w:tcPr>
            <w:tcW w:w="1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324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CIS Secure Computing, Inc.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Government Services</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(11.0% Cash (1 month LIBOR +</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8.5%, 1.0% Floor), 1.0% PIK, Due 9/14/22)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10,454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10,454</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CIS Secure Computing, Inc.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Government Services</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(46,163 shares)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1,643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11,454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Sales &amp; Marketing</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 (9.0% Cash, 2.0% PIK, Due</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w:t>
            </w: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11/29/21)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19,036</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19,036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Sales &amp; Marketing</w:t>
            </w:r>
          </w:p>
        </w:tc>
        <w:tc>
          <w:tcPr>
            <w:tcW w:w="3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(15,750 shares)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20,611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Currency Capital, LLC</w:t>
            </w:r>
          </w:p>
        </w:tc>
        <w:tc>
          <w:tcPr>
            <w:tcW w:w="14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Financial Services</w:t>
            </w:r>
          </w:p>
        </w:tc>
        <w:tc>
          <w:tcPr>
            <w:tcW w:w="32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(14.5% Cash (1 month LIBOR +</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4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12.0%, 0.5% Floor), 2.0% PIK, Due 1/2/20) </w:t>
            </w:r>
            <w:r>
              <w:rPr>
                <w:rFonts w:ascii="Arial" w:cs="Arial" w:eastAsia="Arial" w:hAnsi="Arial"/>
                <w:sz w:val="22"/>
                <w:szCs w:val="22"/>
                <w:color w:val="auto"/>
                <w:vertAlign w:val="superscript"/>
              </w:rPr>
              <w:t>(9)</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16,659</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16,659</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Currency Capital,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Services</w:t>
            </w: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Class A Preferred Units (2,000,000 units) </w:t>
            </w:r>
            <w:r>
              <w:rPr>
                <w:rFonts w:ascii="Arial" w:cs="Arial" w:eastAsia="Arial" w:hAnsi="Arial"/>
                <w:sz w:val="23"/>
                <w:szCs w:val="23"/>
                <w:color w:val="auto"/>
                <w:vertAlign w:val="superscript"/>
              </w:rPr>
              <w:t>(9)</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18,659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Food Product</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First Lien Debt (8.4% Cash (3 month LIBOR + 5.8%,</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Floor), Due 4/3/20)</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6,153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Food Product</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Debt (12.6% Cash (3 month LIBOR +</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 1.0% Floor), Due 10/3/21)</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11,826</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11,313</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17,979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17,328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Electronic Machine</w:t>
            </w:r>
          </w:p>
        </w:tc>
        <w:tc>
          <w:tcPr>
            <w:tcW w:w="32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First Lien Debt (9.2% Cash, Due 12/20/23) </w:t>
            </w:r>
            <w:r>
              <w:rPr>
                <w:rFonts w:ascii="Arial" w:cs="Arial" w:eastAsia="Arial" w:hAnsi="Arial"/>
                <w:sz w:val="23"/>
                <w:szCs w:val="23"/>
                <w:color w:val="auto"/>
                <w:vertAlign w:val="superscript"/>
              </w:rPr>
              <w:t>(7)(10)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Repair</w:t>
            </w:r>
          </w:p>
        </w:tc>
        <w:tc>
          <w:tcPr>
            <w:tcW w:w="3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5,985</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5,985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Electronic Machine</w:t>
            </w:r>
          </w:p>
        </w:tc>
        <w:tc>
          <w:tcPr>
            <w:tcW w:w="3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Repair</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Membership Units (181,818 units)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6,167</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Installs,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Logistics</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First Lien Debt (9.5% Cash (1 month LIBOR + 7.0%,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1.8% Floor), Due 6/20/23)</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2,984</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2,984</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Sign Lessor Corp.</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Advertising &amp;</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First Lien Debt (9.5% Cash (1 month LIBOR + 7.0%,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Marketing Services</w:t>
            </w:r>
          </w:p>
        </w:tc>
        <w:tc>
          <w:tcPr>
            <w:tcW w:w="324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 xml:space="preserve">1.0% Floor), Due 12/22/22) </w:t>
            </w:r>
            <w:r>
              <w:rPr>
                <w:rFonts w:ascii="Arial" w:cs="Arial" w:eastAsia="Arial" w:hAnsi="Arial"/>
                <w:sz w:val="23"/>
                <w:szCs w:val="23"/>
                <w:color w:val="auto"/>
                <w:vertAlign w:val="superscript"/>
              </w:rPr>
              <w:t>(11)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Sign Lessor Corp.</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Advertising &amp;</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First Lien Debt (9.5% Cash (1 month LIBOR + 7.0%,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Marketing Services</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Floor), Due 12/22/22)</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4,179</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4,179</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4,179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Nth Degree, Inc.</w:t>
            </w:r>
          </w:p>
        </w:tc>
        <w:tc>
          <w:tcPr>
            <w:tcW w:w="14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Business Services</w:t>
            </w:r>
          </w:p>
        </w:tc>
        <w:tc>
          <w:tcPr>
            <w:tcW w:w="32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First Lien Debt (14.0% Cash (1 month LIBOR +</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4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11.5%, 1.0% Floor), 2.0% PIK, Due 3/29/23) </w:t>
            </w:r>
            <w:r>
              <w:rPr>
                <w:rFonts w:ascii="Arial" w:cs="Arial" w:eastAsia="Arial" w:hAnsi="Arial"/>
                <w:sz w:val="22"/>
                <w:szCs w:val="22"/>
                <w:color w:val="auto"/>
                <w:vertAlign w:val="superscript"/>
              </w:rPr>
              <w:t>(12)</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7,236</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7,236</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Nth Degree, Inc.</w:t>
            </w:r>
          </w:p>
        </w:tc>
        <w:tc>
          <w:tcPr>
            <w:tcW w:w="14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Business Services</w:t>
            </w:r>
          </w:p>
        </w:tc>
        <w:tc>
          <w:tcPr>
            <w:tcW w:w="32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Preferred Stock (2,400 Units, 10.0% PIK dividend)</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3,324</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 xml:space="preserve">Portfolio Company, Country </w:t>
            </w:r>
            <w:r>
              <w:rPr>
                <w:rFonts w:ascii="Arial" w:cs="Arial" w:eastAsia="Arial" w:hAnsi="Arial"/>
                <w:sz w:val="23"/>
                <w:szCs w:val="23"/>
                <w:b w:val="1"/>
                <w:bCs w:val="1"/>
                <w:color w:val="auto"/>
                <w:w w:val="88"/>
                <w:vertAlign w:val="superscript"/>
              </w:rPr>
              <w:t>(1)</w:t>
            </w:r>
            <w:r>
              <w:rPr>
                <w:rFonts w:ascii="Arial" w:cs="Arial" w:eastAsia="Arial" w:hAnsi="Arial"/>
                <w:sz w:val="23"/>
                <w:szCs w:val="23"/>
                <w:b w:val="1"/>
                <w:bCs w:val="1"/>
                <w:u w:val="single" w:color="auto"/>
                <w:color w:val="auto"/>
                <w:w w:val="88"/>
                <w:vertAlign w:val="superscript"/>
              </w:rPr>
              <w:t>,</w:t>
            </w:r>
            <w:r>
              <w:rPr>
                <w:rFonts w:ascii="Arial" w:cs="Arial" w:eastAsia="Arial" w:hAnsi="Arial"/>
                <w:sz w:val="14"/>
                <w:szCs w:val="14"/>
                <w:b w:val="1"/>
                <w:bCs w:val="1"/>
                <w:color w:val="auto"/>
                <w:w w:val="88"/>
              </w:rPr>
              <w:t xml:space="preserve"> </w:t>
            </w:r>
            <w:r>
              <w:rPr>
                <w:rFonts w:ascii="Arial" w:cs="Arial" w:eastAsia="Arial" w:hAnsi="Arial"/>
                <w:sz w:val="23"/>
                <w:szCs w:val="23"/>
                <w:b w:val="1"/>
                <w:bCs w:val="1"/>
                <w:color w:val="auto"/>
                <w:w w:val="88"/>
                <w:vertAlign w:val="superscript"/>
              </w:rPr>
              <w:t>(2), (3), (4), (5)</w:t>
            </w:r>
          </w:p>
        </w:tc>
        <w:tc>
          <w:tcPr>
            <w:tcW w:w="13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320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Seitel, Inc.</w:t>
            </w: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Data Services</w:t>
            </w:r>
          </w:p>
        </w:tc>
        <w:tc>
          <w:tcPr>
            <w:tcW w:w="33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(10.9% Cash (3 month LIBOR +</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8.3%, 1.0% Floor), Due 3/15/23)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Sequoia Healthcare Management, LLC</w:t>
            </w: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33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(13.0% Cash (1 month LIBOR +</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Management</w:t>
            </w: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 1.8% Floor), Due 8/21/23)</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13,485</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13,485</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13,424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13,485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13,424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Sunset Digital Holdings, LLC</w:t>
            </w: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Telecommunications</w:t>
            </w:r>
          </w:p>
        </w:tc>
        <w:tc>
          <w:tcPr>
            <w:tcW w:w="33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(9.7% Cash (1 month LIBOR +</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7.3%, 1.5% Floor), Due 8/2/19)</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18,000</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Sur La Table, Inc.</w:t>
            </w: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Retail</w:t>
            </w: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First Lien Debt (12.0% Cash, Due 7/28/20)</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14,853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14,853</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891" w:right="239" w:bottom="1440" w:gutter="0" w:footer="0" w:header="0"/>
        </w:sectPr>
      </w:pPr>
    </w:p>
    <w:p>
      <w:pPr>
        <w:spacing w:after="0"/>
        <w:tabs>
          <w:tab w:leader="none" w:pos="2820" w:val="left"/>
        </w:tabs>
        <w:rPr>
          <w:sz w:val="20"/>
          <w:szCs w:val="20"/>
          <w:color w:val="auto"/>
        </w:rPr>
      </w:pPr>
      <w:r>
        <w:rPr>
          <w:rFonts w:ascii="Arial" w:cs="Arial" w:eastAsia="Arial" w:hAnsi="Arial"/>
          <w:sz w:val="14"/>
          <w:szCs w:val="14"/>
          <w:color w:val="auto"/>
        </w:rPr>
        <w:t>Taylor Precision Products, Inc.</w:t>
      </w:r>
      <w:r>
        <w:rPr>
          <w:sz w:val="20"/>
          <w:szCs w:val="20"/>
          <w:color w:val="auto"/>
        </w:rPr>
        <w:tab/>
      </w:r>
      <w:r>
        <w:rPr>
          <w:rFonts w:ascii="Arial" w:cs="Arial" w:eastAsia="Arial" w:hAnsi="Arial"/>
          <w:sz w:val="13"/>
          <w:szCs w:val="13"/>
          <w:color w:val="auto"/>
        </w:rPr>
        <w:t>Household Product</w:t>
      </w:r>
    </w:p>
    <w:p>
      <w:pPr>
        <w:ind w:left="2840"/>
        <w:spacing w:after="0"/>
        <w:rPr>
          <w:sz w:val="20"/>
          <w:szCs w:val="20"/>
          <w:color w:val="auto"/>
        </w:rPr>
      </w:pPr>
      <w:r>
        <w:rPr>
          <w:rFonts w:ascii="Arial" w:cs="Arial" w:eastAsia="Arial" w:hAnsi="Arial"/>
          <w:sz w:val="14"/>
          <w:szCs w:val="14"/>
          <w:color w:val="auto"/>
        </w:rPr>
        <w:t>Manufacturer</w:t>
      </w:r>
    </w:p>
    <w:p>
      <w:pPr>
        <w:spacing w:after="0" w:line="200" w:lineRule="exact"/>
        <w:rPr>
          <w:sz w:val="20"/>
          <w:szCs w:val="20"/>
          <w:color w:val="auto"/>
        </w:rPr>
      </w:pPr>
    </w:p>
    <w:p>
      <w:pPr>
        <w:spacing w:after="0" w:line="275"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U.S. BioTek Laboratories, LLC</w:t>
      </w:r>
      <w:r>
        <w:rPr>
          <w:sz w:val="20"/>
          <w:szCs w:val="20"/>
          <w:color w:val="auto"/>
        </w:rPr>
        <w:tab/>
      </w:r>
      <w:r>
        <w:rPr>
          <w:rFonts w:ascii="Arial" w:cs="Arial" w:eastAsia="Arial" w:hAnsi="Arial"/>
          <w:sz w:val="12"/>
          <w:szCs w:val="12"/>
          <w:color w:val="auto"/>
        </w:rPr>
        <w:t>Testing laboratories</w:t>
      </w:r>
    </w:p>
    <w:p>
      <w:pPr>
        <w:spacing w:after="0" w:line="177"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U.S. BioTek Laboratories, LLC</w:t>
      </w:r>
      <w:r>
        <w:rPr>
          <w:sz w:val="20"/>
          <w:szCs w:val="20"/>
          <w:color w:val="auto"/>
        </w:rPr>
        <w:tab/>
      </w:r>
      <w:r>
        <w:rPr>
          <w:rFonts w:ascii="Arial" w:cs="Arial" w:eastAsia="Arial" w:hAnsi="Arial"/>
          <w:sz w:val="12"/>
          <w:szCs w:val="12"/>
          <w:color w:val="auto"/>
        </w:rPr>
        <w:t>Testing laboratories</w:t>
      </w:r>
    </w:p>
    <w:p>
      <w:pPr>
        <w:spacing w:after="0" w:line="177"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U.S. BioTek Laboratories, LLC</w:t>
      </w:r>
      <w:r>
        <w:rPr>
          <w:sz w:val="20"/>
          <w:szCs w:val="20"/>
          <w:color w:val="auto"/>
        </w:rPr>
        <w:tab/>
      </w:r>
      <w:r>
        <w:rPr>
          <w:rFonts w:ascii="Arial" w:cs="Arial" w:eastAsia="Arial" w:hAnsi="Arial"/>
          <w:sz w:val="12"/>
          <w:szCs w:val="12"/>
          <w:color w:val="auto"/>
        </w:rPr>
        <w:t>Testing laboratories</w:t>
      </w:r>
    </w:p>
    <w:p>
      <w:pPr>
        <w:spacing w:after="0" w:line="200" w:lineRule="exact"/>
        <w:rPr>
          <w:sz w:val="20"/>
          <w:szCs w:val="20"/>
          <w:color w:val="auto"/>
        </w:rPr>
      </w:pPr>
    </w:p>
    <w:p>
      <w:pPr>
        <w:spacing w:after="0" w:line="287"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U.S. Well Services, Inc.</w:t>
      </w:r>
      <w:r>
        <w:rPr>
          <w:sz w:val="20"/>
          <w:szCs w:val="20"/>
          <w:color w:val="auto"/>
        </w:rPr>
        <w:tab/>
      </w:r>
      <w:r>
        <w:rPr>
          <w:rFonts w:ascii="Arial" w:cs="Arial" w:eastAsia="Arial" w:hAnsi="Arial"/>
          <w:sz w:val="13"/>
          <w:szCs w:val="13"/>
          <w:color w:val="auto"/>
        </w:rPr>
        <w:t>Oil &amp; Gas Services</w:t>
      </w:r>
    </w:p>
    <w:p>
      <w:pPr>
        <w:spacing w:after="0" w:line="177"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U.S. Well Services, Inc.</w:t>
      </w:r>
      <w:r>
        <w:rPr>
          <w:sz w:val="20"/>
          <w:szCs w:val="20"/>
          <w:color w:val="auto"/>
        </w:rPr>
        <w:tab/>
      </w:r>
      <w:r>
        <w:rPr>
          <w:rFonts w:ascii="Arial" w:cs="Arial" w:eastAsia="Arial" w:hAnsi="Arial"/>
          <w:sz w:val="13"/>
          <w:szCs w:val="13"/>
          <w:color w:val="auto"/>
        </w:rPr>
        <w:t>Oil &amp; Gas Services</w:t>
      </w:r>
    </w:p>
    <w:p>
      <w:pPr>
        <w:spacing w:after="0" w:line="200" w:lineRule="exact"/>
        <w:rPr>
          <w:sz w:val="20"/>
          <w:szCs w:val="20"/>
          <w:color w:val="auto"/>
        </w:rPr>
      </w:pPr>
    </w:p>
    <w:p>
      <w:pPr>
        <w:spacing w:after="0" w:line="327"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Vology, Inc.</w:t>
      </w:r>
      <w:r>
        <w:rPr>
          <w:sz w:val="20"/>
          <w:szCs w:val="20"/>
          <w:color w:val="auto"/>
        </w:rPr>
        <w:tab/>
      </w:r>
      <w:r>
        <w:rPr>
          <w:rFonts w:ascii="Arial" w:cs="Arial" w:eastAsia="Arial" w:hAnsi="Arial"/>
          <w:sz w:val="13"/>
          <w:szCs w:val="13"/>
          <w:color w:val="auto"/>
        </w:rPr>
        <w:t>Information</w:t>
      </w:r>
    </w:p>
    <w:p>
      <w:pPr>
        <w:ind w:left="2840"/>
        <w:spacing w:after="0"/>
        <w:rPr>
          <w:sz w:val="20"/>
          <w:szCs w:val="20"/>
          <w:color w:val="auto"/>
        </w:rPr>
      </w:pPr>
      <w:r>
        <w:rPr>
          <w:rFonts w:ascii="Arial" w:cs="Arial" w:eastAsia="Arial" w:hAnsi="Arial"/>
          <w:sz w:val="14"/>
          <w:szCs w:val="14"/>
          <w:color w:val="auto"/>
        </w:rPr>
        <w:t>Technology</w:t>
      </w:r>
    </w:p>
    <w:p>
      <w:pPr>
        <w:spacing w:after="0" w:line="200" w:lineRule="exact"/>
        <w:rPr>
          <w:sz w:val="20"/>
          <w:szCs w:val="20"/>
          <w:color w:val="auto"/>
        </w:rPr>
      </w:pPr>
    </w:p>
    <w:p>
      <w:pPr>
        <w:spacing w:after="0" w:line="275"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Xirgo Technologies, LLC</w:t>
      </w:r>
      <w:r>
        <w:rPr>
          <w:sz w:val="20"/>
          <w:szCs w:val="20"/>
          <w:color w:val="auto"/>
        </w:rPr>
        <w:tab/>
      </w:r>
      <w:r>
        <w:rPr>
          <w:rFonts w:ascii="Arial" w:cs="Arial" w:eastAsia="Arial" w:hAnsi="Arial"/>
          <w:sz w:val="13"/>
          <w:szCs w:val="13"/>
          <w:color w:val="auto"/>
        </w:rPr>
        <w:t>Information</w:t>
      </w:r>
    </w:p>
    <w:p>
      <w:pPr>
        <w:ind w:left="2840"/>
        <w:spacing w:after="0"/>
        <w:rPr>
          <w:sz w:val="20"/>
          <w:szCs w:val="20"/>
          <w:color w:val="auto"/>
        </w:rPr>
      </w:pPr>
      <w:r>
        <w:rPr>
          <w:rFonts w:ascii="Arial" w:cs="Arial" w:eastAsia="Arial" w:hAnsi="Arial"/>
          <w:sz w:val="14"/>
          <w:szCs w:val="14"/>
          <w:color w:val="auto"/>
        </w:rPr>
        <w:t>Technology</w:t>
      </w:r>
    </w:p>
    <w:p>
      <w:pPr>
        <w:spacing w:after="0" w:line="124"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Xirgo Technologies, LLC</w:t>
      </w:r>
      <w:r>
        <w:rPr>
          <w:sz w:val="20"/>
          <w:szCs w:val="20"/>
          <w:color w:val="auto"/>
        </w:rPr>
        <w:tab/>
      </w:r>
      <w:r>
        <w:rPr>
          <w:rFonts w:ascii="Arial" w:cs="Arial" w:eastAsia="Arial" w:hAnsi="Arial"/>
          <w:sz w:val="13"/>
          <w:szCs w:val="13"/>
          <w:color w:val="auto"/>
        </w:rPr>
        <w:t>Information</w:t>
      </w:r>
    </w:p>
    <w:p>
      <w:pPr>
        <w:ind w:left="284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3300" w:type="dxa"/>
            <w:vAlign w:val="bottom"/>
          </w:tcPr>
          <w:p>
            <w:pPr>
              <w:spacing w:after="0"/>
              <w:rPr>
                <w:sz w:val="20"/>
                <w:szCs w:val="20"/>
                <w:color w:val="auto"/>
              </w:rPr>
            </w:pPr>
            <w:r>
              <w:rPr>
                <w:rFonts w:ascii="Arial" w:cs="Arial" w:eastAsia="Arial" w:hAnsi="Arial"/>
                <w:sz w:val="14"/>
                <w:szCs w:val="14"/>
                <w:color w:val="auto"/>
              </w:rPr>
              <w:t>Series C Preferred Stock (379 shares)</w:t>
            </w:r>
          </w:p>
        </w:tc>
        <w:tc>
          <w:tcPr>
            <w:tcW w:w="9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758</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758</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758</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4"/>
                <w:szCs w:val="14"/>
                <w:color w:val="auto"/>
              </w:rPr>
              <w:t xml:space="preserve">First Lien Debt (9.9% Cash, Due 12/14/23) </w:t>
            </w:r>
            <w:r>
              <w:rPr>
                <w:rFonts w:ascii="Arial" w:cs="Arial" w:eastAsia="Arial" w:hAnsi="Arial"/>
                <w:sz w:val="23"/>
                <w:szCs w:val="23"/>
                <w:color w:val="auto"/>
                <w:vertAlign w:val="superscript"/>
              </w:rPr>
              <w:t>(7)(13)</w:t>
            </w: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00" w:type="dxa"/>
            <w:vAlign w:val="bottom"/>
            <w:vMerge w:val="continue"/>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6,983</w:t>
            </w:r>
          </w:p>
        </w:tc>
        <w:tc>
          <w:tcPr>
            <w:tcW w:w="780" w:type="dxa"/>
            <w:vAlign w:val="bottom"/>
          </w:tcPr>
          <w:p>
            <w:pPr>
              <w:jc w:val="right"/>
              <w:spacing w:after="0"/>
              <w:rPr>
                <w:sz w:val="20"/>
                <w:szCs w:val="20"/>
                <w:color w:val="auto"/>
              </w:rPr>
            </w:pPr>
            <w:r>
              <w:rPr>
                <w:rFonts w:ascii="Arial" w:cs="Arial" w:eastAsia="Arial" w:hAnsi="Arial"/>
                <w:sz w:val="14"/>
                <w:szCs w:val="14"/>
                <w:color w:val="auto"/>
              </w:rPr>
              <w:t>6,983</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6,983</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338"/>
        </w:trPr>
        <w:tc>
          <w:tcPr>
            <w:tcW w:w="3300" w:type="dxa"/>
            <w:vAlign w:val="bottom"/>
          </w:tcPr>
          <w:p>
            <w:pPr>
              <w:spacing w:after="0"/>
              <w:rPr>
                <w:sz w:val="20"/>
                <w:szCs w:val="20"/>
                <w:color w:val="auto"/>
              </w:rPr>
            </w:pPr>
            <w:r>
              <w:rPr>
                <w:rFonts w:ascii="Arial" w:cs="Arial" w:eastAsia="Arial" w:hAnsi="Arial"/>
                <w:sz w:val="14"/>
                <w:szCs w:val="14"/>
                <w:color w:val="auto"/>
              </w:rPr>
              <w:t xml:space="preserve">Class A Preferred Units (500 Units, 10.0% PIK) </w:t>
            </w:r>
            <w:r>
              <w:rPr>
                <w:rFonts w:ascii="Arial" w:cs="Arial" w:eastAsia="Arial" w:hAnsi="Arial"/>
                <w:sz w:val="23"/>
                <w:szCs w:val="23"/>
                <w:color w:val="auto"/>
                <w:vertAlign w:val="superscript"/>
              </w:rPr>
              <w:t>(6)</w:t>
            </w:r>
          </w:p>
        </w:tc>
        <w:tc>
          <w:tcPr>
            <w:tcW w:w="9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514</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509</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5"/>
        </w:trPr>
        <w:tc>
          <w:tcPr>
            <w:tcW w:w="3300" w:type="dxa"/>
            <w:vAlign w:val="bottom"/>
          </w:tcPr>
          <w:p>
            <w:pPr>
              <w:spacing w:after="0"/>
              <w:rPr>
                <w:sz w:val="20"/>
                <w:szCs w:val="20"/>
                <w:color w:val="auto"/>
              </w:rPr>
            </w:pPr>
            <w:r>
              <w:rPr>
                <w:rFonts w:ascii="Arial" w:cs="Arial" w:eastAsia="Arial" w:hAnsi="Arial"/>
                <w:sz w:val="14"/>
                <w:szCs w:val="14"/>
                <w:color w:val="auto"/>
              </w:rPr>
              <w:t>Class C Units (500 Units)</w:t>
            </w:r>
          </w:p>
        </w:tc>
        <w:tc>
          <w:tcPr>
            <w:tcW w:w="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7,498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7,492</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4"/>
                <w:szCs w:val="14"/>
                <w:color w:val="auto"/>
              </w:rPr>
              <w:t xml:space="preserve">Class A Common Stock (77,073 shares) </w:t>
            </w:r>
            <w:r>
              <w:rPr>
                <w:rFonts w:ascii="Arial" w:cs="Arial" w:eastAsia="Arial" w:hAnsi="Arial"/>
                <w:sz w:val="23"/>
                <w:szCs w:val="23"/>
                <w:color w:val="auto"/>
                <w:vertAlign w:val="superscript"/>
              </w:rPr>
              <w:t>(9)(14)</w:t>
            </w: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771</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36"/>
        </w:trPr>
        <w:tc>
          <w:tcPr>
            <w:tcW w:w="3300" w:type="dxa"/>
            <w:vAlign w:val="bottom"/>
          </w:tcPr>
          <w:p>
            <w:pPr>
              <w:spacing w:after="0" w:line="236" w:lineRule="exact"/>
              <w:rPr>
                <w:sz w:val="20"/>
                <w:szCs w:val="20"/>
                <w:color w:val="auto"/>
              </w:rPr>
            </w:pPr>
            <w:r>
              <w:rPr>
                <w:rFonts w:ascii="Arial" w:cs="Arial" w:eastAsia="Arial" w:hAnsi="Arial"/>
                <w:sz w:val="14"/>
                <w:szCs w:val="14"/>
                <w:color w:val="auto"/>
              </w:rPr>
              <w:t xml:space="preserve">Class B Common Stock (1,125,426 shares) </w:t>
            </w:r>
            <w:r>
              <w:rPr>
                <w:rFonts w:ascii="Arial" w:cs="Arial" w:eastAsia="Arial" w:hAnsi="Arial"/>
                <w:sz w:val="23"/>
                <w:szCs w:val="23"/>
                <w:color w:val="auto"/>
                <w:vertAlign w:val="superscript"/>
              </w:rPr>
              <w:t>(9)(14)</w:t>
            </w:r>
          </w:p>
        </w:tc>
        <w:tc>
          <w:tcPr>
            <w:tcW w:w="9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6,701</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8,981</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7,472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9,596</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2"/>
        </w:trPr>
        <w:tc>
          <w:tcPr>
            <w:tcW w:w="3300" w:type="dxa"/>
            <w:vAlign w:val="bottom"/>
          </w:tcPr>
          <w:p>
            <w:pPr>
              <w:spacing w:after="0"/>
              <w:rPr>
                <w:sz w:val="20"/>
                <w:szCs w:val="20"/>
                <w:color w:val="auto"/>
              </w:rPr>
            </w:pPr>
            <w:r>
              <w:rPr>
                <w:rFonts w:ascii="Arial" w:cs="Arial" w:eastAsia="Arial" w:hAnsi="Arial"/>
                <w:sz w:val="14"/>
                <w:szCs w:val="14"/>
                <w:color w:val="auto"/>
              </w:rPr>
              <w:t>Subordinated Debt (15.0% Cash (1 month LIBOR +</w:t>
            </w:r>
          </w:p>
        </w:tc>
        <w:tc>
          <w:tcPr>
            <w:tcW w:w="90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3300" w:type="dxa"/>
            <w:vAlign w:val="bottom"/>
          </w:tcPr>
          <w:p>
            <w:pPr>
              <w:spacing w:after="0"/>
              <w:rPr>
                <w:sz w:val="20"/>
                <w:szCs w:val="20"/>
                <w:color w:val="auto"/>
              </w:rPr>
            </w:pPr>
            <w:r>
              <w:rPr>
                <w:rFonts w:ascii="Arial" w:cs="Arial" w:eastAsia="Arial" w:hAnsi="Arial"/>
                <w:sz w:val="14"/>
                <w:szCs w:val="14"/>
                <w:color w:val="auto"/>
              </w:rPr>
              <w:t>14.0%, 1.0% Ceiling), 4.0% PIK, Due 6/30/20)</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8,808</w:t>
            </w:r>
          </w:p>
        </w:tc>
        <w:tc>
          <w:tcPr>
            <w:tcW w:w="780" w:type="dxa"/>
            <w:vAlign w:val="bottom"/>
          </w:tcPr>
          <w:p>
            <w:pPr>
              <w:jc w:val="right"/>
              <w:spacing w:after="0"/>
              <w:rPr>
                <w:sz w:val="20"/>
                <w:szCs w:val="20"/>
                <w:color w:val="auto"/>
              </w:rPr>
            </w:pPr>
            <w:r>
              <w:rPr>
                <w:rFonts w:ascii="Arial" w:cs="Arial" w:eastAsia="Arial" w:hAnsi="Arial"/>
                <w:sz w:val="14"/>
                <w:szCs w:val="14"/>
                <w:color w:val="auto"/>
              </w:rPr>
              <w:t>8,808</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8,730</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8,808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8,730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3300" w:type="dxa"/>
            <w:vAlign w:val="bottom"/>
          </w:tcPr>
          <w:p>
            <w:pPr>
              <w:spacing w:after="0"/>
              <w:rPr>
                <w:sz w:val="20"/>
                <w:szCs w:val="20"/>
                <w:color w:val="auto"/>
              </w:rPr>
            </w:pPr>
            <w:r>
              <w:rPr>
                <w:rFonts w:ascii="Arial" w:cs="Arial" w:eastAsia="Arial" w:hAnsi="Arial"/>
                <w:sz w:val="14"/>
                <w:szCs w:val="14"/>
                <w:color w:val="auto"/>
              </w:rPr>
              <w:t>Subordinated Debt (11.5% Cash, Due 3/1/22)</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15,750</w:t>
            </w:r>
          </w:p>
        </w:tc>
        <w:tc>
          <w:tcPr>
            <w:tcW w:w="780" w:type="dxa"/>
            <w:vAlign w:val="bottom"/>
          </w:tcPr>
          <w:p>
            <w:pPr>
              <w:jc w:val="right"/>
              <w:spacing w:after="0"/>
              <w:rPr>
                <w:sz w:val="20"/>
                <w:szCs w:val="20"/>
                <w:color w:val="auto"/>
              </w:rPr>
            </w:pPr>
            <w:r>
              <w:rPr>
                <w:rFonts w:ascii="Arial" w:cs="Arial" w:eastAsia="Arial" w:hAnsi="Arial"/>
                <w:sz w:val="14"/>
                <w:szCs w:val="14"/>
                <w:color w:val="auto"/>
              </w:rPr>
              <w:t>15,750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15,750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449"/>
        </w:trPr>
        <w:tc>
          <w:tcPr>
            <w:tcW w:w="3300" w:type="dxa"/>
            <w:vAlign w:val="bottom"/>
          </w:tcPr>
          <w:p>
            <w:pPr>
              <w:spacing w:after="0"/>
              <w:rPr>
                <w:sz w:val="20"/>
                <w:szCs w:val="20"/>
                <w:color w:val="auto"/>
              </w:rPr>
            </w:pPr>
            <w:r>
              <w:rPr>
                <w:rFonts w:ascii="Arial" w:cs="Arial" w:eastAsia="Arial" w:hAnsi="Arial"/>
                <w:sz w:val="14"/>
                <w:szCs w:val="14"/>
                <w:color w:val="auto"/>
              </w:rPr>
              <w:t>Membership Units (600,000 units)</w:t>
            </w:r>
          </w:p>
        </w:tc>
        <w:tc>
          <w:tcPr>
            <w:tcW w:w="9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-2987040</wp:posOffset>
            </wp:positionV>
            <wp:extent cx="724662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-2686685</wp:posOffset>
            </wp:positionV>
            <wp:extent cx="72466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-2480945</wp:posOffset>
            </wp:positionV>
            <wp:extent cx="72466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-2266315</wp:posOffset>
            </wp:positionV>
            <wp:extent cx="72466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-2052320</wp:posOffset>
            </wp:positionV>
            <wp:extent cx="72466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-1845945</wp:posOffset>
            </wp:positionV>
            <wp:extent cx="724662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-1640205</wp:posOffset>
            </wp:positionV>
            <wp:extent cx="72466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-1426210</wp:posOffset>
            </wp:positionV>
            <wp:extent cx="72466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-1194435</wp:posOffset>
            </wp:positionV>
            <wp:extent cx="724662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-988695</wp:posOffset>
            </wp:positionV>
            <wp:extent cx="7246620"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-688340</wp:posOffset>
            </wp:positionV>
            <wp:extent cx="724662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-482600</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-199390</wp:posOffset>
            </wp:positionV>
            <wp:extent cx="724662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3980" w:space="340"/>
            <w:col w:w="7100"/>
          </w:cols>
          <w:pgMar w:left="240" w:top="891" w:right="2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5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16,350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Non-control/non-affiliated investments - United States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271,596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284,364</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152.3</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 xml:space="preserve">Portfolio Company, Country </w:t>
            </w:r>
            <w:r>
              <w:rPr>
                <w:rFonts w:ascii="Arial" w:cs="Arial" w:eastAsia="Arial" w:hAnsi="Arial"/>
                <w:sz w:val="23"/>
                <w:szCs w:val="23"/>
                <w:b w:val="1"/>
                <w:bCs w:val="1"/>
                <w:color w:val="auto"/>
                <w:w w:val="88"/>
                <w:vertAlign w:val="superscript"/>
              </w:rPr>
              <w:t>(1)</w:t>
            </w:r>
            <w:r>
              <w:rPr>
                <w:rFonts w:ascii="Arial" w:cs="Arial" w:eastAsia="Arial" w:hAnsi="Arial"/>
                <w:sz w:val="23"/>
                <w:szCs w:val="23"/>
                <w:b w:val="1"/>
                <w:bCs w:val="1"/>
                <w:u w:val="single" w:color="auto"/>
                <w:color w:val="auto"/>
                <w:w w:val="88"/>
                <w:vertAlign w:val="superscript"/>
              </w:rPr>
              <w:t>,</w:t>
            </w:r>
            <w:r>
              <w:rPr>
                <w:rFonts w:ascii="Arial" w:cs="Arial" w:eastAsia="Arial" w:hAnsi="Arial"/>
                <w:sz w:val="14"/>
                <w:szCs w:val="14"/>
                <w:b w:val="1"/>
                <w:bCs w:val="1"/>
                <w:color w:val="auto"/>
                <w:w w:val="88"/>
              </w:rPr>
              <w:t xml:space="preserve"> </w:t>
            </w:r>
            <w:r>
              <w:rPr>
                <w:rFonts w:ascii="Arial" w:cs="Arial" w:eastAsia="Arial" w:hAnsi="Arial"/>
                <w:sz w:val="23"/>
                <w:szCs w:val="23"/>
                <w:b w:val="1"/>
                <w:bCs w:val="1"/>
                <w:color w:val="auto"/>
                <w:w w:val="88"/>
                <w:vertAlign w:val="superscript"/>
              </w:rPr>
              <w:t>(2), (3), (4), (5)</w:t>
            </w:r>
          </w:p>
        </w:tc>
        <w:tc>
          <w:tcPr>
            <w:tcW w:w="1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324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- 55.0%</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United States</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(12.0% Cash, 1.0% PIK, Due</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3/23/21)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14,838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14,838</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14,467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3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Class A (1,253,198 shares)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3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Class B (900,000 shares)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16,642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14,467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Footwear Retail</w:t>
            </w: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w w:val="99"/>
              </w:rPr>
              <w:t xml:space="preserve">Membership Unit Warrants (11.4% fully diluted) </w:t>
            </w:r>
            <w:r>
              <w:rPr>
                <w:rFonts w:ascii="Arial" w:cs="Arial" w:eastAsia="Arial" w:hAnsi="Arial"/>
                <w:sz w:val="23"/>
                <w:szCs w:val="23"/>
                <w:color w:val="auto"/>
                <w:w w:val="99"/>
                <w:vertAlign w:val="superscript"/>
              </w:rPr>
              <w:t>(15)</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Eastport Holdings,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 (15.6% Cash (3 month LIBOR +</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13.0%, 0.5% Floor), Due 4/29/20)</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15,683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Membership Units (22.9% ownership)</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3,263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16,393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18,946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32,893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Advertising &amp;</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Series A-1 Preferred Stock (1,998 shares, 8.0% PIK</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Marketing Services</w:t>
            </w:r>
          </w:p>
        </w:tc>
        <w:tc>
          <w:tcPr>
            <w:tcW w:w="324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3,250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Advertising &amp;</w:t>
            </w:r>
          </w:p>
        </w:tc>
        <w:tc>
          <w:tcPr>
            <w:tcW w:w="3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Marketing Services</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B-1 Common Stock (200,000 shares)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3,252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Produce Distribution</w:t>
            </w:r>
          </w:p>
        </w:tc>
        <w:tc>
          <w:tcPr>
            <w:tcW w:w="3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Subordinated Debt (13.0% Cash, Due 6/16/19) </w:t>
            </w:r>
            <w:r>
              <w:rPr>
                <w:rFonts w:ascii="Arial" w:cs="Arial" w:eastAsia="Arial" w:hAnsi="Arial"/>
                <w:sz w:val="21"/>
                <w:szCs w:val="21"/>
                <w:color w:val="auto"/>
                <w:vertAlign w:val="superscript"/>
              </w:rPr>
              <w:t>(12)</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6,406</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6,406</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Produce Distribution</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(8,182 shares)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Produce Distribution</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Warrants (6,369 shares)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7,224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QSR Franchisor</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(1,852,824 shares)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 xml:space="preserve">Portfolio Company, Country </w:t>
            </w:r>
            <w:r>
              <w:rPr>
                <w:rFonts w:ascii="Arial" w:cs="Arial" w:eastAsia="Arial" w:hAnsi="Arial"/>
                <w:sz w:val="23"/>
                <w:szCs w:val="23"/>
                <w:b w:val="1"/>
                <w:bCs w:val="1"/>
                <w:color w:val="auto"/>
                <w:w w:val="88"/>
                <w:vertAlign w:val="superscript"/>
              </w:rPr>
              <w:t>(1)</w:t>
            </w:r>
            <w:r>
              <w:rPr>
                <w:rFonts w:ascii="Arial" w:cs="Arial" w:eastAsia="Arial" w:hAnsi="Arial"/>
                <w:sz w:val="23"/>
                <w:szCs w:val="23"/>
                <w:b w:val="1"/>
                <w:bCs w:val="1"/>
                <w:u w:val="single" w:color="auto"/>
                <w:color w:val="auto"/>
                <w:w w:val="88"/>
                <w:vertAlign w:val="superscript"/>
              </w:rPr>
              <w:t>,</w:t>
            </w:r>
            <w:r>
              <w:rPr>
                <w:rFonts w:ascii="Arial" w:cs="Arial" w:eastAsia="Arial" w:hAnsi="Arial"/>
                <w:sz w:val="14"/>
                <w:szCs w:val="14"/>
                <w:b w:val="1"/>
                <w:bCs w:val="1"/>
                <w:color w:val="auto"/>
                <w:w w:val="88"/>
              </w:rPr>
              <w:t xml:space="preserve"> </w:t>
            </w:r>
            <w:r>
              <w:rPr>
                <w:rFonts w:ascii="Arial" w:cs="Arial" w:eastAsia="Arial" w:hAnsi="Arial"/>
                <w:sz w:val="23"/>
                <w:szCs w:val="23"/>
                <w:b w:val="1"/>
                <w:bCs w:val="1"/>
                <w:color w:val="auto"/>
                <w:w w:val="88"/>
                <w:vertAlign w:val="superscript"/>
              </w:rPr>
              <w:t>(2), (3), (4), (5)</w:t>
            </w:r>
          </w:p>
        </w:tc>
        <w:tc>
          <w:tcPr>
            <w:tcW w:w="1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324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Medical Device</w:t>
            </w:r>
          </w:p>
        </w:tc>
        <w:tc>
          <w:tcPr>
            <w:tcW w:w="32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First Lien Debt (12.0% Cash, Due 1/31/20) </w:t>
            </w:r>
            <w:r>
              <w:rPr>
                <w:rFonts w:ascii="Arial" w:cs="Arial" w:eastAsia="Arial" w:hAnsi="Arial"/>
                <w:sz w:val="23"/>
                <w:szCs w:val="23"/>
                <w:color w:val="auto"/>
                <w:vertAlign w:val="superscript"/>
              </w:rPr>
              <w:t>(12)</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Distributor</w:t>
            </w:r>
          </w:p>
        </w:tc>
        <w:tc>
          <w:tcPr>
            <w:tcW w:w="3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Medical Device</w:t>
            </w:r>
          </w:p>
        </w:tc>
        <w:tc>
          <w:tcPr>
            <w:tcW w:w="32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(6.0% Cash, Due 1/31/20) </w:t>
            </w:r>
            <w:r>
              <w:rPr>
                <w:rFonts w:ascii="Arial" w:cs="Arial" w:eastAsia="Arial" w:hAnsi="Arial"/>
                <w:sz w:val="23"/>
                <w:szCs w:val="23"/>
                <w:color w:val="auto"/>
                <w:vertAlign w:val="superscript"/>
              </w:rPr>
              <w:t>(12)</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Distributor</w:t>
            </w:r>
          </w:p>
        </w:tc>
        <w:tc>
          <w:tcPr>
            <w:tcW w:w="3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Medical Device</w:t>
            </w:r>
          </w:p>
        </w:tc>
        <w:tc>
          <w:tcPr>
            <w:tcW w:w="32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w w:val="99"/>
              </w:rPr>
              <w:t xml:space="preserve">Preferred Units (1,000 units, 6.0% PIK Dividend) </w:t>
            </w:r>
            <w:r>
              <w:rPr>
                <w:rFonts w:ascii="Arial" w:cs="Arial" w:eastAsia="Arial" w:hAnsi="Arial"/>
                <w:sz w:val="23"/>
                <w:szCs w:val="23"/>
                <w:color w:val="auto"/>
                <w:w w:val="99"/>
                <w:vertAlign w:val="superscript"/>
              </w:rPr>
              <w:t>(6)</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Distributor</w:t>
            </w:r>
          </w:p>
        </w:tc>
        <w:tc>
          <w:tcPr>
            <w:tcW w:w="3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1,498</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Medical Device</w:t>
            </w:r>
          </w:p>
        </w:tc>
        <w:tc>
          <w:tcPr>
            <w:tcW w:w="3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Distributor</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Membership Units (45 units)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4,486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RAM Payment,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Services</w:t>
            </w:r>
          </w:p>
        </w:tc>
        <w:tc>
          <w:tcPr>
            <w:tcW w:w="3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First Lien Debt (11.2% Cash, Due 1/4/24) </w:t>
            </w:r>
            <w:r>
              <w:rPr>
                <w:rFonts w:ascii="Arial" w:cs="Arial" w:eastAsia="Arial" w:hAnsi="Arial"/>
                <w:sz w:val="21"/>
                <w:szCs w:val="21"/>
                <w:color w:val="auto"/>
                <w:vertAlign w:val="superscript"/>
              </w:rPr>
              <w:t>(7)(16)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9,150</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9,150</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RAM Payment,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Services</w:t>
            </w: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Preferred Units (86,000 units, 8.0% PIK) </w:t>
            </w:r>
            <w:r>
              <w:rPr>
                <w:rFonts w:ascii="Arial" w:cs="Arial" w:eastAsia="Arial" w:hAnsi="Arial"/>
                <w:sz w:val="23"/>
                <w:szCs w:val="23"/>
                <w:color w:val="auto"/>
                <w:vertAlign w:val="superscript"/>
              </w:rPr>
              <w:t>(6)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10,026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 Corporation</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Oil &amp; Gas Engineering</w:t>
            </w:r>
          </w:p>
        </w:tc>
        <w:tc>
          <w:tcPr>
            <w:tcW w:w="3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 Consulting</w:t>
            </w: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(15,068,000 shares)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Bath Group,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Building Products</w:t>
            </w:r>
          </w:p>
        </w:tc>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(11.5% Cash (1 month LIBOR +</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9.0%, 1.0% Floor), Due 1/2/23)</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12,438</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12,438</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Bath Group,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Building Products</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Membership Units (500,000 units)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12,938</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Data Processing &amp;</w:t>
            </w:r>
          </w:p>
        </w:tc>
        <w:tc>
          <w:tcPr>
            <w:tcW w:w="32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Subordinated Debt </w:t>
            </w:r>
            <w:r>
              <w:rPr>
                <w:rFonts w:ascii="Arial" w:cs="Arial" w:eastAsia="Arial" w:hAnsi="Arial"/>
                <w:sz w:val="23"/>
                <w:szCs w:val="23"/>
                <w:color w:val="auto"/>
                <w:vertAlign w:val="superscript"/>
              </w:rPr>
              <w:t>(17)</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Digital Marketing</w:t>
            </w:r>
          </w:p>
        </w:tc>
        <w:tc>
          <w:tcPr>
            <w:tcW w:w="32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Affiliate investments - United</w:t>
            </w: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82,413</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102,784</w:t>
            </w:r>
          </w:p>
        </w:tc>
        <w:tc>
          <w:tcPr>
            <w:tcW w:w="9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55.0</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- 36.6%</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United States</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Industrial Equipment</w:t>
            </w:r>
          </w:p>
        </w:tc>
        <w:tc>
          <w:tcPr>
            <w:tcW w:w="32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Second Lien Debt (6.0% PIK, Due 8/24/19) </w:t>
            </w:r>
            <w:r>
              <w:rPr>
                <w:rFonts w:ascii="Arial" w:cs="Arial" w:eastAsia="Arial" w:hAnsi="Arial"/>
                <w:sz w:val="23"/>
                <w:szCs w:val="23"/>
                <w:color w:val="auto"/>
                <w:vertAlign w:val="superscript"/>
              </w:rPr>
              <w:t>(12)</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Rental</w:t>
            </w:r>
          </w:p>
        </w:tc>
        <w:tc>
          <w:tcPr>
            <w:tcW w:w="3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20,411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20,411</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17,260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Industrial Equipment</w:t>
            </w:r>
          </w:p>
        </w:tc>
        <w:tc>
          <w:tcPr>
            <w:tcW w:w="3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Rental</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Membership Units (2.2% fully diluted)</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Industrial Equipment</w:t>
            </w:r>
          </w:p>
        </w:tc>
        <w:tc>
          <w:tcPr>
            <w:tcW w:w="3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Rental</w:t>
            </w: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Warrants (37.8% fully diluted)</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 xml:space="preserve">Portfolio Company, Country </w:t>
            </w:r>
            <w:r>
              <w:rPr>
                <w:rFonts w:ascii="Arial" w:cs="Arial" w:eastAsia="Arial" w:hAnsi="Arial"/>
                <w:sz w:val="23"/>
                <w:szCs w:val="23"/>
                <w:b w:val="1"/>
                <w:bCs w:val="1"/>
                <w:color w:val="auto"/>
                <w:w w:val="88"/>
                <w:vertAlign w:val="superscript"/>
              </w:rPr>
              <w:t>(1)</w:t>
            </w:r>
            <w:r>
              <w:rPr>
                <w:rFonts w:ascii="Arial" w:cs="Arial" w:eastAsia="Arial" w:hAnsi="Arial"/>
                <w:sz w:val="23"/>
                <w:szCs w:val="23"/>
                <w:b w:val="1"/>
                <w:bCs w:val="1"/>
                <w:u w:val="single" w:color="auto"/>
                <w:color w:val="auto"/>
                <w:w w:val="88"/>
                <w:vertAlign w:val="superscript"/>
              </w:rPr>
              <w:t>,</w:t>
            </w:r>
            <w:r>
              <w:rPr>
                <w:rFonts w:ascii="Arial" w:cs="Arial" w:eastAsia="Arial" w:hAnsi="Arial"/>
                <w:sz w:val="14"/>
                <w:szCs w:val="14"/>
                <w:b w:val="1"/>
                <w:bCs w:val="1"/>
                <w:color w:val="auto"/>
                <w:w w:val="88"/>
              </w:rPr>
              <w:t xml:space="preserve"> </w:t>
            </w:r>
            <w:r>
              <w:rPr>
                <w:rFonts w:ascii="Arial" w:cs="Arial" w:eastAsia="Arial" w:hAnsi="Arial"/>
                <w:sz w:val="23"/>
                <w:szCs w:val="23"/>
                <w:b w:val="1"/>
                <w:bCs w:val="1"/>
                <w:color w:val="auto"/>
                <w:w w:val="88"/>
                <w:vertAlign w:val="superscript"/>
              </w:rPr>
              <w:t>(2), (3), (4), (5)</w:t>
            </w:r>
          </w:p>
        </w:tc>
        <w:tc>
          <w:tcPr>
            <w:tcW w:w="1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320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tcPr>
          <w:p>
            <w:pPr>
              <w:spacing w:after="0"/>
              <w:rPr>
                <w:sz w:val="14"/>
                <w:szCs w:val="14"/>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4"/>
              </w:rPr>
              <w:t>Principal</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Computer Supply</w:t>
            </w:r>
          </w:p>
        </w:tc>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First Lien Debt (8.0% Cash, Due 6/30/21) </w:t>
            </w:r>
            <w:r>
              <w:rPr>
                <w:rFonts w:ascii="Arial" w:cs="Arial" w:eastAsia="Arial" w:hAnsi="Arial"/>
                <w:sz w:val="23"/>
                <w:szCs w:val="23"/>
                <w:color w:val="auto"/>
                <w:vertAlign w:val="superscript"/>
              </w:rPr>
              <w:t>(12)(18)</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Retail</w:t>
            </w:r>
          </w:p>
        </w:tc>
        <w:tc>
          <w:tcPr>
            <w:tcW w:w="32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Computer Supply</w:t>
            </w:r>
          </w:p>
        </w:tc>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First Lien Debt (8.0% Cash, Due 6/30/21) </w:t>
            </w:r>
            <w:r>
              <w:rPr>
                <w:rFonts w:ascii="Arial" w:cs="Arial" w:eastAsia="Arial" w:hAnsi="Arial"/>
                <w:sz w:val="23"/>
                <w:szCs w:val="23"/>
                <w:color w:val="auto"/>
                <w:vertAlign w:val="superscript"/>
              </w:rPr>
              <w:t>(12)</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Retail</w:t>
            </w:r>
          </w:p>
        </w:tc>
        <w:tc>
          <w:tcPr>
            <w:tcW w:w="32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3,689</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3,689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3,689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Computer Supply</w:t>
            </w:r>
          </w:p>
        </w:tc>
        <w:tc>
          <w:tcPr>
            <w:tcW w:w="3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Retail</w:t>
            </w:r>
          </w:p>
        </w:tc>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 Units - Series A1 (7,200,000 units)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5,373</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5,373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Computer Supply</w:t>
            </w:r>
          </w:p>
        </w:tc>
        <w:tc>
          <w:tcPr>
            <w:tcW w:w="3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Retail</w:t>
            </w:r>
          </w:p>
        </w:tc>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 Units - Series A (4,000,000 units)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2,354</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Computer Supply</w:t>
            </w:r>
          </w:p>
        </w:tc>
        <w:tc>
          <w:tcPr>
            <w:tcW w:w="3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Retail</w:t>
            </w:r>
          </w:p>
        </w:tc>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(14.9% fully diluted)</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1,394</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Computer Supply</w:t>
            </w:r>
          </w:p>
        </w:tc>
        <w:tc>
          <w:tcPr>
            <w:tcW w:w="3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Retail</w:t>
            </w:r>
          </w:p>
        </w:tc>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Warrants (40.0% fully diluted )</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12,810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9,062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Capitala Senior Loan Fund II,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 Funds</w:t>
            </w:r>
          </w:p>
        </w:tc>
        <w:tc>
          <w:tcPr>
            <w:tcW w:w="32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Membership Units (80.0% ownership) </w:t>
            </w:r>
            <w:r>
              <w:rPr>
                <w:rFonts w:ascii="Arial" w:cs="Arial" w:eastAsia="Arial" w:hAnsi="Arial"/>
                <w:sz w:val="23"/>
                <w:szCs w:val="23"/>
                <w:color w:val="auto"/>
                <w:vertAlign w:val="superscript"/>
              </w:rPr>
              <w:t>(9)(19)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13,930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13,930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Conglomerate</w:t>
            </w:r>
          </w:p>
        </w:tc>
        <w:tc>
          <w:tcPr>
            <w:tcW w:w="32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Subordinated Debt (10.0% Cash, Due 1/1/19) </w:t>
            </w:r>
            <w:r>
              <w:rPr>
                <w:rFonts w:ascii="Arial" w:cs="Arial" w:eastAsia="Arial" w:hAnsi="Arial"/>
                <w:sz w:val="21"/>
                <w:szCs w:val="21"/>
                <w:color w:val="auto"/>
                <w:vertAlign w:val="superscript"/>
              </w:rPr>
              <w:t>(12)</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14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Conglomerate</w:t>
            </w:r>
          </w:p>
        </w:tc>
        <w:tc>
          <w:tcPr>
            <w:tcW w:w="3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Subordinated Debt (14.0% Cash, 4.0% PIK, Due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1/1/19) </w:t>
            </w:r>
            <w:r>
              <w:rPr>
                <w:rFonts w:ascii="Arial" w:cs="Arial" w:eastAsia="Arial" w:hAnsi="Arial"/>
                <w:sz w:val="22"/>
                <w:szCs w:val="22"/>
                <w:color w:val="auto"/>
                <w:vertAlign w:val="superscript"/>
              </w:rPr>
              <w:t>(12)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4,369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4,369</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4,369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Conglomerate</w:t>
            </w:r>
          </w:p>
        </w:tc>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Preferred Units (47 units)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2,857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7,860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9,088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First Lien Debt (15.0% Cash, Due 10/30/20) </w:t>
            </w:r>
            <w:r>
              <w:rPr>
                <w:rFonts w:ascii="Arial" w:cs="Arial" w:eastAsia="Arial" w:hAnsi="Arial"/>
                <w:sz w:val="23"/>
                <w:szCs w:val="23"/>
                <w:color w:val="auto"/>
                <w:vertAlign w:val="superscript"/>
              </w:rPr>
              <w:t>(12)</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32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3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Class A Preferred Stock (1,000 shares, 10.0% Cash</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320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Textile Equipment</w:t>
            </w:r>
          </w:p>
        </w:tc>
        <w:tc>
          <w:tcPr>
            <w:tcW w:w="3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Manufacturer</w:t>
            </w:r>
          </w:p>
        </w:tc>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(300,000 shares)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3,533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8,501</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12,033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 Debt (9.0% Cash (1 month LIBOR +</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Personal Digital</w:t>
            </w:r>
          </w:p>
        </w:tc>
        <w:tc>
          <w:tcPr>
            <w:tcW w:w="32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Imaging</w:t>
            </w:r>
          </w:p>
        </w:tc>
        <w:tc>
          <w:tcPr>
            <w:tcW w:w="320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7.0%, 1.0% Floor, 2.0% Ceiling), Due 12/31/22) </w:t>
            </w:r>
            <w:r>
              <w:rPr>
                <w:rFonts w:ascii="Arial" w:cs="Arial" w:eastAsia="Arial" w:hAnsi="Arial"/>
                <w:sz w:val="20"/>
                <w:szCs w:val="20"/>
                <w:color w:val="auto"/>
                <w:vertAlign w:val="superscript"/>
              </w:rPr>
              <w:t>(20)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3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Personal Digital</w:t>
            </w: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Lien Debt (9.5% Cash (1 month LIBOR +</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Imaging</w:t>
            </w:r>
          </w:p>
        </w:tc>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7.0%, 1.0% Floor, 5.0% Ceiling), Due 12/31/22)</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3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Personal Digital</w:t>
            </w:r>
          </w:p>
        </w:tc>
        <w:tc>
          <w:tcPr>
            <w:tcW w:w="3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Imaging</w:t>
            </w:r>
          </w:p>
        </w:tc>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 Units (4,350,000 Units)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2,450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1,589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Portrait Studio,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Professional and</w:t>
            </w:r>
          </w:p>
        </w:tc>
        <w:tc>
          <w:tcPr>
            <w:tcW w:w="3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Personal Digital</w:t>
            </w:r>
          </w:p>
        </w:tc>
        <w:tc>
          <w:tcPr>
            <w:tcW w:w="3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Imaging</w:t>
            </w:r>
          </w:p>
        </w:tc>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Membership Units (150,000 Units)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7,730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6,869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Control investments - United</w:t>
            </w: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States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70,929</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68,242</w:t>
            </w:r>
          </w:p>
        </w:tc>
        <w:tc>
          <w:tcPr>
            <w:tcW w:w="94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2"/>
                <w:szCs w:val="12"/>
                <w:color w:val="auto"/>
              </w:rPr>
              <w:t>36.6</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INVESTMENTS - 243.9%</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424,938</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455,390</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243.9</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2" w:name="page13"/>
    <w:bookmarkEnd w:id="12"/>
    <w:p>
      <w:pPr>
        <w:jc w:val="center"/>
        <w:ind w:right="-131"/>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252" w:hanging="252"/>
        <w:spacing w:after="0"/>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 unless otherwise noted.</w:t>
      </w:r>
    </w:p>
    <w:p>
      <w:pPr>
        <w:spacing w:after="0" w:line="23" w:lineRule="exact"/>
        <w:rPr>
          <w:rFonts w:ascii="Arial" w:cs="Arial" w:eastAsia="Arial" w:hAnsi="Arial"/>
          <w:sz w:val="18"/>
          <w:szCs w:val="18"/>
          <w:color w:val="auto"/>
        </w:rPr>
      </w:pPr>
    </w:p>
    <w:p>
      <w:pPr>
        <w:ind w:left="252" w:hanging="252"/>
        <w:spacing w:after="0"/>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valued by the Board of Directors.</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52" w:hanging="252"/>
        <w:spacing w:after="0"/>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$186,734 as of March 31, 2019.</w:t>
      </w:r>
    </w:p>
    <w:p>
      <w:pPr>
        <w:spacing w:after="0" w:line="9" w:lineRule="exact"/>
        <w:rPr>
          <w:rFonts w:ascii="Arial" w:cs="Arial" w:eastAsia="Arial" w:hAnsi="Arial"/>
          <w:sz w:val="18"/>
          <w:szCs w:val="18"/>
          <w:color w:val="auto"/>
        </w:rPr>
      </w:pPr>
    </w:p>
    <w:p>
      <w:pPr>
        <w:ind w:left="-8" w:right="180" w:firstLine="8"/>
        <w:spacing w:after="0" w:line="250" w:lineRule="auto"/>
        <w:tabs>
          <w:tab w:leader="none" w:pos="247"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Capitala Finance Corp.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Security Act.</w:t>
      </w:r>
    </w:p>
    <w:p>
      <w:pPr>
        <w:spacing w:after="0" w:line="1" w:lineRule="exact"/>
        <w:rPr>
          <w:rFonts w:ascii="Arial" w:cs="Arial" w:eastAsia="Arial" w:hAnsi="Arial"/>
          <w:sz w:val="18"/>
          <w:szCs w:val="18"/>
          <w:color w:val="auto"/>
        </w:rPr>
      </w:pPr>
    </w:p>
    <w:p>
      <w:pPr>
        <w:ind w:left="252" w:hanging="252"/>
        <w:spacing w:after="0"/>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jc w:val="both"/>
        <w:ind w:left="-8" w:firstLine="8"/>
        <w:spacing w:after="0" w:line="250" w:lineRule="auto"/>
        <w:tabs>
          <w:tab w:leader="none" w:pos="247"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March 31, 2019, 8.6% of the Company's total assets were non-qualifying assets.</w:t>
      </w:r>
    </w:p>
    <w:p>
      <w:pPr>
        <w:spacing w:after="0" w:line="1"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$0.5 million unfunded commitment.</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3"/>
        </w:numPr>
        <w:rPr>
          <w:rFonts w:ascii="Arial" w:cs="Arial" w:eastAsia="Arial" w:hAnsi="Arial"/>
          <w:sz w:val="16"/>
          <w:szCs w:val="16"/>
          <w:color w:val="auto"/>
        </w:rPr>
      </w:pPr>
      <w:r>
        <w:rPr>
          <w:rFonts w:ascii="Arial" w:cs="Arial" w:eastAsia="Arial" w:hAnsi="Arial"/>
          <w:sz w:val="16"/>
          <w:szCs w:val="16"/>
          <w:color w:val="auto"/>
        </w:rPr>
        <w:t>Investment is valued using observable inputs (Level 1). The stock of the company is traded on the NASDAQ Capital Market under the ticker "USWS."</w:t>
      </w:r>
    </w:p>
    <w:p>
      <w:pPr>
        <w:spacing w:after="0" w:line="32" w:lineRule="exact"/>
        <w:rPr>
          <w:rFonts w:ascii="Arial" w:cs="Arial" w:eastAsia="Arial" w:hAnsi="Arial"/>
          <w:sz w:val="16"/>
          <w:szCs w:val="16"/>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earnout to be settled post-closing.</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$0.3 million unfunded commitment.</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and earnout to be settled post-closing.</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$6.4 million unfunded commitment.</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$4.2 million unfunded commitment.</w:t>
      </w:r>
    </w:p>
    <w:p>
      <w:pPr>
        <w:spacing w:after="0" w:line="200" w:lineRule="exact"/>
        <w:rPr>
          <w:sz w:val="20"/>
          <w:szCs w:val="20"/>
          <w:color w:val="auto"/>
        </w:rPr>
      </w:pPr>
    </w:p>
    <w:p>
      <w:pPr>
        <w:spacing w:after="0" w:line="22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891"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 xml:space="preserve">Portfolio Company, Country </w:t>
            </w:r>
            <w:r>
              <w:rPr>
                <w:rFonts w:ascii="Arial" w:cs="Arial" w:eastAsia="Arial" w:hAnsi="Arial"/>
                <w:sz w:val="23"/>
                <w:szCs w:val="23"/>
                <w:b w:val="1"/>
                <w:bCs w:val="1"/>
                <w:color w:val="auto"/>
                <w:w w:val="88"/>
                <w:vertAlign w:val="superscript"/>
              </w:rPr>
              <w:t>(1)</w:t>
            </w:r>
            <w:r>
              <w:rPr>
                <w:rFonts w:ascii="Arial" w:cs="Arial" w:eastAsia="Arial" w:hAnsi="Arial"/>
                <w:sz w:val="23"/>
                <w:szCs w:val="23"/>
                <w:b w:val="1"/>
                <w:bCs w:val="1"/>
                <w:u w:val="single" w:color="auto"/>
                <w:color w:val="auto"/>
                <w:w w:val="88"/>
                <w:vertAlign w:val="superscript"/>
              </w:rPr>
              <w:t>,</w:t>
            </w:r>
            <w:r>
              <w:rPr>
                <w:rFonts w:ascii="Arial" w:cs="Arial" w:eastAsia="Arial" w:hAnsi="Arial"/>
                <w:sz w:val="14"/>
                <w:szCs w:val="14"/>
                <w:b w:val="1"/>
                <w:bCs w:val="1"/>
                <w:color w:val="auto"/>
                <w:w w:val="88"/>
              </w:rPr>
              <w:t xml:space="preserve"> </w:t>
            </w:r>
            <w:r>
              <w:rPr>
                <w:rFonts w:ascii="Arial" w:cs="Arial" w:eastAsia="Arial" w:hAnsi="Arial"/>
                <w:sz w:val="23"/>
                <w:szCs w:val="23"/>
                <w:b w:val="1"/>
                <w:bCs w:val="1"/>
                <w:color w:val="auto"/>
                <w:w w:val="88"/>
                <w:vertAlign w:val="superscript"/>
              </w:rPr>
              <w:t>(2), (3), (4), (19)</w:t>
            </w:r>
          </w:p>
        </w:tc>
        <w:tc>
          <w:tcPr>
            <w:tcW w:w="14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30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14"/>
                <w:szCs w:val="14"/>
                <w:b w:val="1"/>
                <w:bCs w:val="1"/>
                <w:color w:val="auto"/>
              </w:rPr>
              <w:t>Non-control/non-affiliated investments -</w:t>
            </w: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150.4%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14"/>
                <w:szCs w:val="14"/>
                <w:b w:val="1"/>
                <w:bCs w:val="1"/>
                <w:color w:val="auto"/>
              </w:rPr>
              <w:t>Non-control/non-affiliated investments -</w:t>
            </w: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United States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3 Bridge Solutions, LLC</w:t>
            </w:r>
          </w:p>
        </w:tc>
        <w:tc>
          <w:tcPr>
            <w:tcW w:w="14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IT Consulting</w:t>
            </w:r>
          </w:p>
        </w:tc>
        <w:tc>
          <w:tcPr>
            <w:tcW w:w="30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(11.3% Cash (1 month LIBOR +</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9.0%, 1.0% Floor), Due 12/4/22)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13,954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13,954</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 Bridge Solutions, LLC</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IT Consulting</w:t>
            </w:r>
          </w:p>
        </w:tc>
        <w:tc>
          <w:tcPr>
            <w:tcW w:w="3080" w:type="dxa"/>
            <w:vAlign w:val="bottom"/>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Preferred Units (965 units, 8.0% PIK) </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1,049</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 Bridge Solutions, LLC</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IT Consulting</w:t>
            </w:r>
          </w:p>
        </w:tc>
        <w:tc>
          <w:tcPr>
            <w:tcW w:w="3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Membership Units (39,000 units)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15,013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Alternative Biomedical Solutions, LLC</w:t>
            </w:r>
          </w:p>
        </w:tc>
        <w:tc>
          <w:tcPr>
            <w:tcW w:w="14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Healthcare</w:t>
            </w:r>
          </w:p>
        </w:tc>
        <w:tc>
          <w:tcPr>
            <w:tcW w:w="30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(9.5% Cash (1 month LIBOR +</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7.0%, 1.0% Floor), Due 12/18/22)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Alternative Biomedical Solutions, LLC</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Healthcare</w:t>
            </w:r>
          </w:p>
        </w:tc>
        <w:tc>
          <w:tcPr>
            <w:tcW w:w="3080" w:type="dxa"/>
            <w:vAlign w:val="bottom"/>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First Lien Debt (12.4% Cash, Due 12/18/22) </w:t>
            </w:r>
            <w:r>
              <w:rPr>
                <w:rFonts w:ascii="Arial" w:cs="Arial" w:eastAsia="Arial" w:hAnsi="Arial"/>
                <w:sz w:val="21"/>
                <w:szCs w:val="21"/>
                <w:color w:val="auto"/>
                <w:vertAlign w:val="superscript"/>
              </w:rPr>
              <w:t>(6)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Alternative Biomedical Solutions, LLC</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Healthcare</w:t>
            </w:r>
          </w:p>
        </w:tc>
        <w:tc>
          <w:tcPr>
            <w:tcW w:w="3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Membership Units (20,092 units)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13,918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2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American Clinical Solutions, LLC</w:t>
            </w:r>
          </w:p>
        </w:tc>
        <w:tc>
          <w:tcPr>
            <w:tcW w:w="142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4"/>
                <w:szCs w:val="14"/>
                <w:color w:val="auto"/>
              </w:rPr>
              <w:t>Healthcare</w:t>
            </w:r>
          </w:p>
        </w:tc>
        <w:tc>
          <w:tcPr>
            <w:tcW w:w="3080" w:type="dxa"/>
            <w:vAlign w:val="bottom"/>
            <w:shd w:val="clear" w:color="auto" w:fill="CCEEFF"/>
          </w:tcPr>
          <w:p>
            <w:pPr>
              <w:ind w:left="40"/>
              <w:spacing w:after="0" w:line="140" w:lineRule="exact"/>
              <w:rPr>
                <w:sz w:val="20"/>
                <w:szCs w:val="20"/>
                <w:color w:val="auto"/>
              </w:rPr>
            </w:pPr>
            <w:r>
              <w:rPr>
                <w:rFonts w:ascii="Arial" w:cs="Arial" w:eastAsia="Arial" w:hAnsi="Arial"/>
                <w:sz w:val="14"/>
                <w:szCs w:val="14"/>
                <w:color w:val="auto"/>
              </w:rPr>
              <w:t>First Lien Debt (10.5% Cash, 2.0% PIK, Due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ind w:left="40"/>
              <w:spacing w:after="0" w:line="211" w:lineRule="exact"/>
              <w:rPr>
                <w:sz w:val="20"/>
                <w:szCs w:val="20"/>
                <w:color w:val="auto"/>
              </w:rPr>
            </w:pPr>
            <w:r>
              <w:rPr>
                <w:rFonts w:ascii="Arial" w:cs="Arial" w:eastAsia="Arial" w:hAnsi="Arial"/>
                <w:sz w:val="14"/>
                <w:szCs w:val="14"/>
                <w:color w:val="auto"/>
              </w:rPr>
              <w:t xml:space="preserve">6/11/20) </w:t>
            </w:r>
            <w:r>
              <w:rPr>
                <w:rFonts w:ascii="Arial" w:cs="Arial" w:eastAsia="Arial" w:hAnsi="Arial"/>
                <w:sz w:val="23"/>
                <w:szCs w:val="23"/>
                <w:color w:val="auto"/>
                <w:vertAlign w:val="superscript"/>
              </w:rPr>
              <w:t>(7)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8,918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8,918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AmeriMark Direct, LLC</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Consumer Products</w:t>
            </w:r>
          </w:p>
        </w:tc>
        <w:tc>
          <w:tcPr>
            <w:tcW w:w="3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First Lien Debt (12.8% Cash, Due 9/8/21)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18,300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18,029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18,300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18,029</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18,300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B&amp;W Quality Growers, LLC</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Farming</w:t>
            </w:r>
          </w:p>
        </w:tc>
        <w:tc>
          <w:tcPr>
            <w:tcW w:w="3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Membership Unit Warrants (91,739 Units)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BigMouth, Inc.</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Consumer Products</w:t>
            </w:r>
          </w:p>
        </w:tc>
        <w:tc>
          <w:tcPr>
            <w:tcW w:w="3080" w:type="dxa"/>
            <w:vAlign w:val="bottom"/>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First Lien Debt (14.3% Cash, Due 11/14/21) </w:t>
            </w:r>
            <w:r>
              <w:rPr>
                <w:rFonts w:ascii="Arial" w:cs="Arial" w:eastAsia="Arial" w:hAnsi="Arial"/>
                <w:sz w:val="21"/>
                <w:szCs w:val="21"/>
                <w:color w:val="auto"/>
                <w:vertAlign w:val="superscript"/>
              </w:rPr>
              <w:t>(6)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9,094</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2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BigMouth, Inc.</w:t>
            </w:r>
          </w:p>
        </w:tc>
        <w:tc>
          <w:tcPr>
            <w:tcW w:w="142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4"/>
                <w:szCs w:val="14"/>
                <w:color w:val="auto"/>
              </w:rPr>
              <w:t>Consumer Products</w:t>
            </w:r>
          </w:p>
        </w:tc>
        <w:tc>
          <w:tcPr>
            <w:tcW w:w="3080" w:type="dxa"/>
            <w:vAlign w:val="bottom"/>
            <w:shd w:val="clear" w:color="auto" w:fill="CCEEFF"/>
          </w:tcPr>
          <w:p>
            <w:pPr>
              <w:ind w:left="40"/>
              <w:spacing w:after="0" w:line="140" w:lineRule="exact"/>
              <w:rPr>
                <w:sz w:val="20"/>
                <w:szCs w:val="20"/>
                <w:color w:val="auto"/>
              </w:rPr>
            </w:pPr>
            <w:r>
              <w:rPr>
                <w:rFonts w:ascii="Arial" w:cs="Arial" w:eastAsia="Arial" w:hAnsi="Arial"/>
                <w:sz w:val="14"/>
                <w:szCs w:val="14"/>
                <w:color w:val="auto"/>
              </w:rPr>
              <w:t>Series A Preferred Stock (350,000 shares, 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ind w:left="40"/>
              <w:spacing w:after="0" w:line="211" w:lineRule="exact"/>
              <w:rPr>
                <w:sz w:val="20"/>
                <w:szCs w:val="20"/>
                <w:color w:val="auto"/>
              </w:rPr>
            </w:pPr>
            <w:r>
              <w:rPr>
                <w:rFonts w:ascii="Arial" w:cs="Arial" w:eastAsia="Arial" w:hAnsi="Arial"/>
                <w:sz w:val="14"/>
                <w:szCs w:val="14"/>
                <w:color w:val="auto"/>
              </w:rPr>
              <w:t xml:space="preserve">PIK)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411</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Bluestem Brands, Inc.</w:t>
            </w:r>
          </w:p>
        </w:tc>
        <w:tc>
          <w:tcPr>
            <w:tcW w:w="14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Online Merchandise</w:t>
            </w:r>
          </w:p>
        </w:tc>
        <w:tc>
          <w:tcPr>
            <w:tcW w:w="30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(10.0% Cash (1 month LIBOR +</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Retailer</w:t>
            </w:r>
          </w:p>
        </w:tc>
        <w:tc>
          <w:tcPr>
            <w:tcW w:w="3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7.5%, 1.0% Floor), Due 11/7/20)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3,762</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3,762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Burke America Parts Group, LLC</w:t>
            </w:r>
          </w:p>
        </w:tc>
        <w:tc>
          <w:tcPr>
            <w:tcW w:w="14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Home Repair Parts</w:t>
            </w:r>
          </w:p>
        </w:tc>
        <w:tc>
          <w:tcPr>
            <w:tcW w:w="3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Manufacturer</w:t>
            </w:r>
          </w:p>
        </w:tc>
        <w:tc>
          <w:tcPr>
            <w:tcW w:w="3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Membership Units (14 units)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Portfolio Company, Country (1), (2), (3), (4), (19)</w:t>
            </w:r>
          </w:p>
        </w:tc>
        <w:tc>
          <w:tcPr>
            <w:tcW w:w="14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29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California Pizza Kitchen, Inc.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Restaurant</w:t>
            </w:r>
          </w:p>
        </w:tc>
        <w:tc>
          <w:tcPr>
            <w:tcW w:w="29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Second Lien Debt (12.5% Cash (1 month LIBOR</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+ 10.0%, 1.0% Floor), Due 8/23/23)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4,903</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Cedar Ultimate Parent, LLC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Consumer</w:t>
            </w:r>
          </w:p>
        </w:tc>
        <w:tc>
          <w:tcPr>
            <w:tcW w:w="2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Electronics</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C Preferred Stock (4,759,250 units)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Cedar Ultimate Parent, LLC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Consumer</w:t>
            </w:r>
          </w:p>
        </w:tc>
        <w:tc>
          <w:tcPr>
            <w:tcW w:w="2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Electronics</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 Preferred Stock (16,562,190 units)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Cedar Ultimate Parent, LLC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Consumer</w:t>
            </w:r>
          </w:p>
        </w:tc>
        <w:tc>
          <w:tcPr>
            <w:tcW w:w="2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Electronics</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 Common Units (190,370 units)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Chicken Soup for the Soul, LLC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Multi-platform</w:t>
            </w:r>
          </w:p>
        </w:tc>
        <w:tc>
          <w:tcPr>
            <w:tcW w:w="2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Media and Consumer</w:t>
            </w:r>
          </w:p>
        </w:tc>
        <w:tc>
          <w:tcPr>
            <w:tcW w:w="2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First Lien Debt (10.9% Cash (1 month LIBOR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8.5%, 1.5% Floor), Due 12/13/20)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CIS Secure Computing, Inc.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Government Services</w:t>
            </w:r>
          </w:p>
        </w:tc>
        <w:tc>
          <w:tcPr>
            <w:tcW w:w="29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First Lien Debt (10.8% Cash (1 month LIBOR +</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8.5%, 1.0% Floor), 1.0% PIK, Due 9/14/22)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10,428</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10,428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CIS Secure Computing, Inc.</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Government Services</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(46,163 shares)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11,428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Corporate Visions, Inc.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Sales &amp; Marketing</w:t>
            </w:r>
          </w:p>
        </w:tc>
        <w:tc>
          <w:tcPr>
            <w:tcW w:w="29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Subordinated Debt (9.0% Cash, 2.0% PIK, Due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11/29/21)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18,940</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18,940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Corporate Visions, Inc.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Sales &amp; Marketing</w:t>
            </w:r>
          </w:p>
        </w:tc>
        <w:tc>
          <w:tcPr>
            <w:tcW w:w="2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(15,750 shares)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20,515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0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Currency Capital, LLC</w:t>
            </w:r>
          </w:p>
        </w:tc>
        <w:tc>
          <w:tcPr>
            <w:tcW w:w="140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4"/>
                <w:szCs w:val="14"/>
                <w:color w:val="auto"/>
              </w:rPr>
              <w:t>Financial Services</w:t>
            </w:r>
          </w:p>
        </w:tc>
        <w:tc>
          <w:tcPr>
            <w:tcW w:w="294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w w:val="98"/>
              </w:rPr>
              <w:t>First Lien Debt (13.4% Cash (1 month LIBOR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40" w:type="dxa"/>
            <w:vAlign w:val="bottom"/>
            <w:shd w:val="clear" w:color="auto" w:fill="CCEEFF"/>
          </w:tcPr>
          <w:p>
            <w:pPr>
              <w:ind w:left="20"/>
              <w:spacing w:after="0" w:line="198" w:lineRule="exact"/>
              <w:rPr>
                <w:sz w:val="20"/>
                <w:szCs w:val="20"/>
                <w:color w:val="auto"/>
              </w:rPr>
            </w:pPr>
            <w:r>
              <w:rPr>
                <w:rFonts w:ascii="Arial" w:cs="Arial" w:eastAsia="Arial" w:hAnsi="Arial"/>
                <w:sz w:val="14"/>
                <w:szCs w:val="14"/>
                <w:color w:val="auto"/>
              </w:rPr>
              <w:t xml:space="preserve">11.0%, 0.5% Floor), Due 1/2/20) </w:t>
            </w:r>
            <w:r>
              <w:rPr>
                <w:rFonts w:ascii="Arial" w:cs="Arial" w:eastAsia="Arial" w:hAnsi="Arial"/>
                <w:sz w:val="22"/>
                <w:szCs w:val="22"/>
                <w:color w:val="auto"/>
                <w:vertAlign w:val="superscript"/>
              </w:rPr>
              <w:t>(8)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16,788</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16,788</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Capital, LLC</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Financial Services</w:t>
            </w:r>
          </w:p>
        </w:tc>
        <w:tc>
          <w:tcPr>
            <w:tcW w:w="29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Class A Preferred Units (2,000,000 units) </w:t>
            </w:r>
            <w:r>
              <w:rPr>
                <w:rFonts w:ascii="Arial" w:cs="Arial" w:eastAsia="Arial" w:hAnsi="Arial"/>
                <w:sz w:val="23"/>
                <w:szCs w:val="23"/>
                <w:color w:val="auto"/>
                <w:vertAlign w:val="superscript"/>
              </w:rPr>
              <w:t>(8)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18,788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Flavors Holdings, Inc.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Food Product</w:t>
            </w:r>
          </w:p>
        </w:tc>
        <w:tc>
          <w:tcPr>
            <w:tcW w:w="29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First Lien Debt (8.6% Cash (3 month LIBOR +</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Manufacturer</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5.8%, 1.0% Floor), Due 4/3/20)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6,300</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6,241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Flavors Holdings, Inc.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Food Product</w:t>
            </w:r>
          </w:p>
        </w:tc>
        <w:tc>
          <w:tcPr>
            <w:tcW w:w="29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Second Lien Debt (12.8% Cash (3 month LIBOR</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Manufacturer</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+ 10.0%, 1.0% Floor), Due 10/3/21)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12,000</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11,809</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11,265</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Portfolio Company, Country (1), (2), (3), (4), (19)</w:t>
            </w:r>
          </w:p>
        </w:tc>
        <w:tc>
          <w:tcPr>
            <w:tcW w:w="1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304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Freedom Electronics, LLC</w:t>
            </w:r>
          </w:p>
        </w:tc>
        <w:tc>
          <w:tcPr>
            <w:tcW w:w="14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Electronic Machine</w:t>
            </w:r>
          </w:p>
        </w:tc>
        <w:tc>
          <w:tcPr>
            <w:tcW w:w="30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(8.7% Cash (1 month LIBOR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Repair</w:t>
            </w:r>
          </w:p>
        </w:tc>
        <w:tc>
          <w:tcPr>
            <w:tcW w:w="3040" w:type="dxa"/>
            <w:vAlign w:val="bottom"/>
            <w:gridSpan w:val="2"/>
            <w:shd w:val="clear" w:color="auto" w:fill="CCEEFF"/>
          </w:tcPr>
          <w:p>
            <w:pPr>
              <w:ind w:left="40"/>
              <w:spacing w:after="0" w:line="208" w:lineRule="exact"/>
              <w:rPr>
                <w:sz w:val="20"/>
                <w:szCs w:val="20"/>
                <w:color w:val="auto"/>
              </w:rPr>
            </w:pPr>
            <w:r>
              <w:rPr>
                <w:rFonts w:ascii="Arial" w:cs="Arial" w:eastAsia="Arial" w:hAnsi="Arial"/>
                <w:sz w:val="14"/>
                <w:szCs w:val="14"/>
                <w:color w:val="auto"/>
              </w:rPr>
              <w:t xml:space="preserve">6.25%, 2.0% Floor), Due 12/20/23) </w:t>
            </w:r>
            <w:r>
              <w:rPr>
                <w:rFonts w:ascii="Arial" w:cs="Arial" w:eastAsia="Arial" w:hAnsi="Arial"/>
                <w:sz w:val="23"/>
                <w:szCs w:val="23"/>
                <w:color w:val="auto"/>
                <w:vertAlign w:val="superscript"/>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Freedom Electronics, LLC</w:t>
            </w:r>
          </w:p>
        </w:tc>
        <w:tc>
          <w:tcPr>
            <w:tcW w:w="14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Electronic Machine</w:t>
            </w:r>
          </w:p>
        </w:tc>
        <w:tc>
          <w:tcPr>
            <w:tcW w:w="30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 xml:space="preserve">First Lien Debt (9.1% Cash, Due 12/20/23) </w:t>
            </w:r>
            <w:r>
              <w:rPr>
                <w:rFonts w:ascii="Arial" w:cs="Arial" w:eastAsia="Arial" w:hAnsi="Arial"/>
                <w:sz w:val="23"/>
                <w:szCs w:val="23"/>
                <w:color w:val="auto"/>
                <w:vertAlign w:val="superscript"/>
              </w:rPr>
              <w:t>(6)</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Repair</w:t>
            </w:r>
          </w:p>
        </w:tc>
        <w:tc>
          <w:tcPr>
            <w:tcW w:w="3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Freedom Electronics, LLC</w:t>
            </w:r>
          </w:p>
        </w:tc>
        <w:tc>
          <w:tcPr>
            <w:tcW w:w="14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Electronic Machine</w:t>
            </w:r>
          </w:p>
        </w:tc>
        <w:tc>
          <w:tcPr>
            <w:tcW w:w="2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Repair</w:t>
            </w:r>
          </w:p>
        </w:tc>
        <w:tc>
          <w:tcPr>
            <w:tcW w:w="3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Membership Units (181,818 units)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Installs, LLC</w:t>
            </w:r>
          </w:p>
        </w:tc>
        <w:tc>
          <w:tcPr>
            <w:tcW w:w="14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Logistics</w:t>
            </w:r>
          </w:p>
        </w:tc>
        <w:tc>
          <w:tcPr>
            <w:tcW w:w="30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(9.3% Cash (1 month LIBOR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7.0%, 1.8% Floor), Due 6/20/23)</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MC Sign Lessor Corp.</w:t>
            </w:r>
          </w:p>
        </w:tc>
        <w:tc>
          <w:tcPr>
            <w:tcW w:w="14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Advertising &amp;</w:t>
            </w:r>
          </w:p>
        </w:tc>
        <w:tc>
          <w:tcPr>
            <w:tcW w:w="30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(9.3% Cash (1 month LIBOR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Marketing Services</w:t>
            </w:r>
          </w:p>
        </w:tc>
        <w:tc>
          <w:tcPr>
            <w:tcW w:w="3040" w:type="dxa"/>
            <w:vAlign w:val="bottom"/>
            <w:gridSpan w:val="2"/>
            <w:shd w:val="clear" w:color="auto" w:fill="CCEEFF"/>
          </w:tcPr>
          <w:p>
            <w:pPr>
              <w:ind w:left="40"/>
              <w:spacing w:after="0" w:line="208" w:lineRule="exact"/>
              <w:rPr>
                <w:sz w:val="20"/>
                <w:szCs w:val="20"/>
                <w:color w:val="auto"/>
              </w:rPr>
            </w:pPr>
            <w:r>
              <w:rPr>
                <w:rFonts w:ascii="Arial" w:cs="Arial" w:eastAsia="Arial" w:hAnsi="Arial"/>
                <w:sz w:val="14"/>
                <w:szCs w:val="14"/>
                <w:color w:val="auto"/>
              </w:rPr>
              <w:t xml:space="preserve">7.0%, 1.0% Floor), Due 12/22/22) </w:t>
            </w:r>
            <w:r>
              <w:rPr>
                <w:rFonts w:ascii="Arial" w:cs="Arial" w:eastAsia="Arial" w:hAnsi="Arial"/>
                <w:sz w:val="23"/>
                <w:szCs w:val="23"/>
                <w:color w:val="auto"/>
                <w:vertAlign w:val="superscript"/>
              </w:rPr>
              <w:t>(10)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MC Sign Lessor Corp.</w:t>
            </w:r>
          </w:p>
        </w:tc>
        <w:tc>
          <w:tcPr>
            <w:tcW w:w="14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Advertising &amp;</w:t>
            </w:r>
          </w:p>
        </w:tc>
        <w:tc>
          <w:tcPr>
            <w:tcW w:w="30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(9.3% Cash (1 month LIBOR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Marketing Services</w:t>
            </w:r>
          </w:p>
        </w:tc>
        <w:tc>
          <w:tcPr>
            <w:tcW w:w="3040" w:type="dxa"/>
            <w:vAlign w:val="bottom"/>
            <w:gridSpan w:val="2"/>
            <w:shd w:val="clear" w:color="auto" w:fill="CCEEFF"/>
          </w:tcPr>
          <w:p>
            <w:pPr>
              <w:ind w:left="40"/>
              <w:spacing w:after="0" w:line="221" w:lineRule="exact"/>
              <w:rPr>
                <w:sz w:val="20"/>
                <w:szCs w:val="20"/>
                <w:color w:val="auto"/>
              </w:rPr>
            </w:pPr>
            <w:r>
              <w:rPr>
                <w:rFonts w:ascii="Arial" w:cs="Arial" w:eastAsia="Arial" w:hAnsi="Arial"/>
                <w:sz w:val="14"/>
                <w:szCs w:val="14"/>
                <w:color w:val="auto"/>
              </w:rPr>
              <w:t xml:space="preserve">7.0%, 1.0% Floor), Due 12/22/22) </w:t>
            </w:r>
            <w:r>
              <w:rPr>
                <w:rFonts w:ascii="Arial" w:cs="Arial" w:eastAsia="Arial" w:hAnsi="Arial"/>
                <w:sz w:val="23"/>
                <w:szCs w:val="23"/>
                <w:color w:val="auto"/>
                <w:vertAlign w:val="superscript"/>
              </w:rPr>
              <w:t>(11)</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0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Nth Degree, Inc.</w:t>
            </w:r>
          </w:p>
        </w:tc>
        <w:tc>
          <w:tcPr>
            <w:tcW w:w="144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4"/>
                <w:szCs w:val="14"/>
                <w:color w:val="auto"/>
              </w:rPr>
              <w:t>Business Services</w:t>
            </w:r>
          </w:p>
        </w:tc>
        <w:tc>
          <w:tcPr>
            <w:tcW w:w="304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First Lien Debt (13.9% Cash (1 month LIBOR +</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ind w:left="40"/>
              <w:spacing w:after="0" w:line="198" w:lineRule="exact"/>
              <w:rPr>
                <w:sz w:val="20"/>
                <w:szCs w:val="20"/>
                <w:color w:val="auto"/>
              </w:rPr>
            </w:pPr>
            <w:r>
              <w:rPr>
                <w:rFonts w:ascii="Arial" w:cs="Arial" w:eastAsia="Arial" w:hAnsi="Arial"/>
                <w:sz w:val="14"/>
                <w:szCs w:val="14"/>
                <w:color w:val="auto"/>
                <w:w w:val="97"/>
              </w:rPr>
              <w:t xml:space="preserve">11.5%, 1.0% Floor), 2.0% PIK, Due 3/29/23) </w:t>
            </w:r>
            <w:r>
              <w:rPr>
                <w:rFonts w:ascii="Arial" w:cs="Arial" w:eastAsia="Arial" w:hAnsi="Arial"/>
                <w:sz w:val="22"/>
                <w:szCs w:val="22"/>
                <w:color w:val="auto"/>
                <w:w w:val="97"/>
                <w:vertAlign w:val="superscript"/>
              </w:rPr>
              <w:t>(12)</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0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Nth Degree, Inc.</w:t>
            </w:r>
          </w:p>
        </w:tc>
        <w:tc>
          <w:tcPr>
            <w:tcW w:w="144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4"/>
                <w:szCs w:val="14"/>
                <w:color w:val="auto"/>
              </w:rPr>
              <w:t>Business Services</w:t>
            </w:r>
          </w:p>
        </w:tc>
        <w:tc>
          <w:tcPr>
            <w:tcW w:w="304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Preferred Stock (2,400 Units, 10.0% PIK</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40"/>
              <w:spacing w:after="0" w:line="211"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16,490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23,836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Sequoia Healthcare Management, LLC</w:t>
            </w:r>
          </w:p>
        </w:tc>
        <w:tc>
          <w:tcPr>
            <w:tcW w:w="14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Healthcare</w:t>
            </w:r>
          </w:p>
        </w:tc>
        <w:tc>
          <w:tcPr>
            <w:tcW w:w="30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(10.8% Cash (1 month LIBOR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Management</w:t>
            </w:r>
          </w:p>
        </w:tc>
        <w:tc>
          <w:tcPr>
            <w:tcW w:w="3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8.5%, 1.8% Floor), Due 8/21/23)</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13,792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13,792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Sunset Digital Holdings, LLC</w:t>
            </w:r>
          </w:p>
        </w:tc>
        <w:tc>
          <w:tcPr>
            <w:tcW w:w="14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Telecommunications</w:t>
            </w:r>
          </w:p>
        </w:tc>
        <w:tc>
          <w:tcPr>
            <w:tcW w:w="30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(9.6% Cash (1 month LIBOR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7.3%, 1.5% Floor), Due 8/2/19)</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Sur La Table, Inc.</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Retail</w:t>
            </w:r>
          </w:p>
        </w:tc>
        <w:tc>
          <w:tcPr>
            <w:tcW w:w="3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First Lien Debt (12.0% Cash, Due 7/28/20)</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Taylor Precision Products, Inc.</w:t>
            </w:r>
          </w:p>
        </w:tc>
        <w:tc>
          <w:tcPr>
            <w:tcW w:w="14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Household Product</w:t>
            </w:r>
          </w:p>
        </w:tc>
        <w:tc>
          <w:tcPr>
            <w:tcW w:w="2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Manufacturer</w:t>
            </w:r>
          </w:p>
        </w:tc>
        <w:tc>
          <w:tcPr>
            <w:tcW w:w="3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Series C Preferred Stock (379 shares)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BioTek Laboratories, LLC</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Testing laboratories</w:t>
            </w:r>
          </w:p>
        </w:tc>
        <w:tc>
          <w:tcPr>
            <w:tcW w:w="304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3"/>
                <w:szCs w:val="13"/>
                <w:color w:val="auto"/>
              </w:rPr>
              <w:t xml:space="preserve">First Lien Debt (10.1% Cash, Due 12/14/23) </w:t>
            </w:r>
            <w:r>
              <w:rPr>
                <w:rFonts w:ascii="Arial" w:cs="Arial" w:eastAsia="Arial" w:hAnsi="Arial"/>
                <w:sz w:val="20"/>
                <w:szCs w:val="20"/>
                <w:color w:val="auto"/>
                <w:vertAlign w:val="superscript"/>
              </w:rPr>
              <w:t>(6)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ind w:left="40"/>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0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U.S. BioTek Laboratories, LLC</w:t>
            </w:r>
          </w:p>
        </w:tc>
        <w:tc>
          <w:tcPr>
            <w:tcW w:w="144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4"/>
                <w:szCs w:val="14"/>
                <w:color w:val="auto"/>
              </w:rPr>
              <w:t>Testing laboratories</w:t>
            </w:r>
          </w:p>
        </w:tc>
        <w:tc>
          <w:tcPr>
            <w:tcW w:w="304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Class A Preferred Units (500 Units, 10.0% PIK)</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ind w:left="4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BioTek Laboratories, LLC</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Testing laboratories</w:t>
            </w:r>
          </w:p>
        </w:tc>
        <w:tc>
          <w:tcPr>
            <w:tcW w:w="3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Class C Units (500 Units)</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7,503</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Portfolio Company, Country (1), (2), (3), (4), (19)</w:t>
            </w:r>
          </w:p>
        </w:tc>
        <w:tc>
          <w:tcPr>
            <w:tcW w:w="14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304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Type of Investment</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Principal</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0"/>
        </w:trPr>
        <w:tc>
          <w:tcPr>
            <w:tcW w:w="3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420"/>
          </w:cols>
          <w:pgMar w:left="240" w:top="891" w:right="239" w:bottom="1440" w:gutter="0" w:footer="0" w:header="0"/>
        </w:sectPr>
      </w:pPr>
    </w:p>
    <w:p>
      <w:pPr>
        <w:ind w:left="40"/>
        <w:spacing w:after="0"/>
        <w:tabs>
          <w:tab w:leader="none" w:pos="3100" w:val="left"/>
        </w:tabs>
        <w:rPr>
          <w:sz w:val="20"/>
          <w:szCs w:val="20"/>
          <w:color w:val="auto"/>
        </w:rPr>
      </w:pPr>
      <w:r>
        <w:rPr>
          <w:rFonts w:ascii="Arial" w:cs="Arial" w:eastAsia="Arial" w:hAnsi="Arial"/>
          <w:sz w:val="14"/>
          <w:szCs w:val="14"/>
          <w:color w:val="auto"/>
        </w:rPr>
        <w:t>U.S. Well Services, Inc.</w:t>
      </w:r>
      <w:r>
        <w:rPr>
          <w:sz w:val="20"/>
          <w:szCs w:val="20"/>
          <w:color w:val="auto"/>
        </w:rPr>
        <w:tab/>
      </w:r>
      <w:r>
        <w:rPr>
          <w:rFonts w:ascii="Arial" w:cs="Arial" w:eastAsia="Arial" w:hAnsi="Arial"/>
          <w:sz w:val="13"/>
          <w:szCs w:val="13"/>
          <w:color w:val="auto"/>
        </w:rPr>
        <w:t>Oil &amp; Gas Services</w:t>
      </w:r>
    </w:p>
    <w:p>
      <w:pPr>
        <w:spacing w:after="0" w:line="177"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4"/>
          <w:szCs w:val="14"/>
          <w:color w:val="auto"/>
        </w:rPr>
        <w:t>U.S. Well Services, Inc.</w:t>
      </w:r>
      <w:r>
        <w:rPr>
          <w:sz w:val="20"/>
          <w:szCs w:val="20"/>
          <w:color w:val="auto"/>
        </w:rPr>
        <w:tab/>
      </w:r>
      <w:r>
        <w:rPr>
          <w:rFonts w:ascii="Arial" w:cs="Arial" w:eastAsia="Arial" w:hAnsi="Arial"/>
          <w:sz w:val="13"/>
          <w:szCs w:val="13"/>
          <w:color w:val="auto"/>
        </w:rPr>
        <w:t>Oil &amp; Gas Services</w:t>
      </w:r>
    </w:p>
    <w:p>
      <w:pPr>
        <w:spacing w:after="0" w:line="200" w:lineRule="exact"/>
        <w:rPr>
          <w:sz w:val="20"/>
          <w:szCs w:val="20"/>
          <w:color w:val="auto"/>
        </w:rPr>
      </w:pPr>
    </w:p>
    <w:p>
      <w:pPr>
        <w:spacing w:after="0" w:line="327"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4"/>
          <w:szCs w:val="14"/>
          <w:color w:val="auto"/>
        </w:rPr>
        <w:t>Vology, Inc.</w:t>
      </w:r>
      <w:r>
        <w:rPr>
          <w:sz w:val="20"/>
          <w:szCs w:val="20"/>
          <w:color w:val="auto"/>
        </w:rPr>
        <w:tab/>
      </w:r>
      <w:r>
        <w:rPr>
          <w:rFonts w:ascii="Arial" w:cs="Arial" w:eastAsia="Arial" w:hAnsi="Arial"/>
          <w:sz w:val="13"/>
          <w:szCs w:val="13"/>
          <w:color w:val="auto"/>
        </w:rPr>
        <w:t>Information</w:t>
      </w:r>
    </w:p>
    <w:p>
      <w:pPr>
        <w:ind w:left="3120"/>
        <w:spacing w:after="0"/>
        <w:rPr>
          <w:sz w:val="20"/>
          <w:szCs w:val="20"/>
          <w:color w:val="auto"/>
        </w:rPr>
      </w:pPr>
      <w:r>
        <w:rPr>
          <w:rFonts w:ascii="Arial" w:cs="Arial" w:eastAsia="Arial" w:hAnsi="Arial"/>
          <w:sz w:val="14"/>
          <w:szCs w:val="14"/>
          <w:color w:val="auto"/>
        </w:rPr>
        <w:t>Technology</w:t>
      </w: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4"/>
          <w:szCs w:val="14"/>
          <w:color w:val="auto"/>
        </w:rPr>
        <w:t>Xirgo Technologies, LLC</w:t>
      </w:r>
      <w:r>
        <w:rPr>
          <w:sz w:val="20"/>
          <w:szCs w:val="20"/>
          <w:color w:val="auto"/>
        </w:rPr>
        <w:tab/>
      </w:r>
      <w:r>
        <w:rPr>
          <w:rFonts w:ascii="Arial" w:cs="Arial" w:eastAsia="Arial" w:hAnsi="Arial"/>
          <w:sz w:val="13"/>
          <w:szCs w:val="13"/>
          <w:color w:val="auto"/>
        </w:rPr>
        <w:t>Information</w:t>
      </w:r>
    </w:p>
    <w:p>
      <w:pPr>
        <w:ind w:left="3120"/>
        <w:spacing w:after="0"/>
        <w:rPr>
          <w:sz w:val="20"/>
          <w:szCs w:val="20"/>
          <w:color w:val="auto"/>
        </w:rPr>
      </w:pPr>
      <w:r>
        <w:rPr>
          <w:rFonts w:ascii="Arial" w:cs="Arial" w:eastAsia="Arial" w:hAnsi="Arial"/>
          <w:sz w:val="14"/>
          <w:szCs w:val="14"/>
          <w:color w:val="auto"/>
        </w:rPr>
        <w:t>Technology</w:t>
      </w:r>
    </w:p>
    <w:p>
      <w:pPr>
        <w:spacing w:after="0" w:line="124"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4"/>
          <w:szCs w:val="14"/>
          <w:color w:val="auto"/>
        </w:rPr>
        <w:t>Xirgo Technologies, LLC</w:t>
      </w:r>
      <w:r>
        <w:rPr>
          <w:sz w:val="20"/>
          <w:szCs w:val="20"/>
          <w:color w:val="auto"/>
        </w:rPr>
        <w:tab/>
      </w:r>
      <w:r>
        <w:rPr>
          <w:rFonts w:ascii="Arial" w:cs="Arial" w:eastAsia="Arial" w:hAnsi="Arial"/>
          <w:sz w:val="13"/>
          <w:szCs w:val="13"/>
          <w:color w:val="auto"/>
        </w:rPr>
        <w:t>Information</w:t>
      </w:r>
    </w:p>
    <w:p>
      <w:pPr>
        <w:ind w:left="3120"/>
        <w:spacing w:after="0"/>
        <w:rPr>
          <w:sz w:val="20"/>
          <w:szCs w:val="20"/>
          <w:color w:val="auto"/>
        </w:rPr>
      </w:pPr>
      <w:r>
        <w:rPr>
          <w:rFonts w:ascii="Arial" w:cs="Arial" w:eastAsia="Arial" w:hAnsi="Arial"/>
          <w:sz w:val="14"/>
          <w:szCs w:val="14"/>
          <w:color w:val="auto"/>
        </w:rPr>
        <w:t>Technology</w:t>
      </w: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Sub Total Non-control/non-affiliated</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investments - United States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Non-control/non-affiliated investments - Brazil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3"/>
        </w:trPr>
        <w:tc>
          <w:tcPr>
            <w:tcW w:w="2960" w:type="dxa"/>
            <w:vAlign w:val="bottom"/>
          </w:tcPr>
          <w:p>
            <w:pPr>
              <w:spacing w:after="0"/>
              <w:rPr>
                <w:sz w:val="20"/>
                <w:szCs w:val="20"/>
                <w:color w:val="auto"/>
              </w:rPr>
            </w:pPr>
            <w:r>
              <w:rPr>
                <w:rFonts w:ascii="Arial" w:cs="Arial" w:eastAsia="Arial" w:hAnsi="Arial"/>
                <w:sz w:val="14"/>
                <w:szCs w:val="14"/>
                <w:color w:val="auto"/>
              </w:rPr>
              <w:t xml:space="preserve">Class A Common Stock (77,073 shares) </w:t>
            </w:r>
            <w:r>
              <w:rPr>
                <w:rFonts w:ascii="Arial" w:cs="Arial" w:eastAsia="Arial" w:hAnsi="Arial"/>
                <w:sz w:val="23"/>
                <w:szCs w:val="23"/>
                <w:color w:val="auto"/>
                <w:vertAlign w:val="superscript"/>
              </w:rPr>
              <w:t>(8)</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771</w:t>
            </w:r>
          </w:p>
        </w:tc>
        <w:tc>
          <w:tcPr>
            <w:tcW w:w="220" w:type="dxa"/>
            <w:vAlign w:val="bottom"/>
          </w:tcPr>
          <w:p>
            <w:pPr>
              <w:spacing w:after="0"/>
              <w:rPr>
                <w:sz w:val="24"/>
                <w:szCs w:val="2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632</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36"/>
        </w:trPr>
        <w:tc>
          <w:tcPr>
            <w:tcW w:w="2960" w:type="dxa"/>
            <w:vAlign w:val="bottom"/>
          </w:tcPr>
          <w:p>
            <w:pPr>
              <w:spacing w:after="0" w:line="236" w:lineRule="exact"/>
              <w:rPr>
                <w:sz w:val="20"/>
                <w:szCs w:val="20"/>
                <w:color w:val="auto"/>
              </w:rPr>
            </w:pPr>
            <w:r>
              <w:rPr>
                <w:rFonts w:ascii="Arial" w:cs="Arial" w:eastAsia="Arial" w:hAnsi="Arial"/>
                <w:sz w:val="14"/>
                <w:szCs w:val="14"/>
                <w:color w:val="auto"/>
              </w:rPr>
              <w:t xml:space="preserve">Class B Common Stock (1,125,426 shares) </w:t>
            </w:r>
            <w:r>
              <w:rPr>
                <w:rFonts w:ascii="Arial" w:cs="Arial" w:eastAsia="Arial" w:hAnsi="Arial"/>
                <w:sz w:val="23"/>
                <w:szCs w:val="23"/>
                <w:color w:val="auto"/>
                <w:vertAlign w:val="superscript"/>
              </w:rPr>
              <w:t>(8)</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6,701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9,229</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4.9%</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7,472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9,861</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5.2%</w:t>
            </w:r>
          </w:p>
        </w:tc>
      </w:tr>
      <w:tr>
        <w:trPr>
          <w:trHeight w:val="272"/>
        </w:trPr>
        <w:tc>
          <w:tcPr>
            <w:tcW w:w="2960" w:type="dxa"/>
            <w:vAlign w:val="bottom"/>
          </w:tcPr>
          <w:p>
            <w:pPr>
              <w:spacing w:after="0"/>
              <w:rPr>
                <w:sz w:val="20"/>
                <w:szCs w:val="20"/>
                <w:color w:val="auto"/>
              </w:rPr>
            </w:pPr>
            <w:r>
              <w:rPr>
                <w:rFonts w:ascii="Arial" w:cs="Arial" w:eastAsia="Arial" w:hAnsi="Arial"/>
                <w:sz w:val="14"/>
                <w:szCs w:val="14"/>
                <w:color w:val="auto"/>
                <w:w w:val="95"/>
              </w:rPr>
              <w:t>Subordinated Debt (15.0% Cash (1 month LIBOR</w:t>
            </w: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81"/>
        </w:trPr>
        <w:tc>
          <w:tcPr>
            <w:tcW w:w="2960" w:type="dxa"/>
            <w:vAlign w:val="bottom"/>
          </w:tcPr>
          <w:p>
            <w:pPr>
              <w:spacing w:after="0"/>
              <w:rPr>
                <w:sz w:val="20"/>
                <w:szCs w:val="20"/>
                <w:color w:val="auto"/>
              </w:rPr>
            </w:pPr>
            <w:r>
              <w:rPr>
                <w:rFonts w:ascii="Arial" w:cs="Arial" w:eastAsia="Arial" w:hAnsi="Arial"/>
                <w:sz w:val="14"/>
                <w:szCs w:val="14"/>
                <w:color w:val="auto"/>
              </w:rPr>
              <w:t>+ 14.0%, 1.0% Ceiling), 4.0% PIK Due 6/30/20)</w:t>
            </w:r>
          </w:p>
        </w:tc>
        <w:tc>
          <w:tcPr>
            <w:tcW w:w="28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8,720</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8,720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8,645</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8,720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8,645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2960" w:type="dxa"/>
            <w:vAlign w:val="bottom"/>
          </w:tcPr>
          <w:p>
            <w:pPr>
              <w:spacing w:after="0"/>
              <w:rPr>
                <w:sz w:val="20"/>
                <w:szCs w:val="20"/>
                <w:color w:val="auto"/>
              </w:rPr>
            </w:pPr>
            <w:r>
              <w:rPr>
                <w:rFonts w:ascii="Arial" w:cs="Arial" w:eastAsia="Arial" w:hAnsi="Arial"/>
                <w:sz w:val="14"/>
                <w:szCs w:val="14"/>
                <w:color w:val="auto"/>
              </w:rPr>
              <w:t>Subordinated Debt (11.5% Cash, Due 3/1/22)</w:t>
            </w:r>
          </w:p>
        </w:tc>
        <w:tc>
          <w:tcPr>
            <w:tcW w:w="280" w:type="dxa"/>
            <w:vAlign w:val="bottom"/>
          </w:tcPr>
          <w:p>
            <w:pPr>
              <w:spacing w:after="0"/>
              <w:rPr>
                <w:sz w:val="24"/>
                <w:szCs w:val="2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15,750</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15,750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15,750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8.3%</w:t>
            </w:r>
          </w:p>
        </w:tc>
      </w:tr>
      <w:tr>
        <w:trPr>
          <w:trHeight w:val="444"/>
        </w:trPr>
        <w:tc>
          <w:tcPr>
            <w:tcW w:w="2960" w:type="dxa"/>
            <w:vAlign w:val="bottom"/>
          </w:tcPr>
          <w:p>
            <w:pPr>
              <w:spacing w:after="0"/>
              <w:rPr>
                <w:sz w:val="20"/>
                <w:szCs w:val="20"/>
                <w:color w:val="auto"/>
              </w:rPr>
            </w:pPr>
            <w:r>
              <w:rPr>
                <w:rFonts w:ascii="Arial" w:cs="Arial" w:eastAsia="Arial" w:hAnsi="Arial"/>
                <w:sz w:val="14"/>
                <w:szCs w:val="14"/>
                <w:color w:val="auto"/>
              </w:rPr>
              <w:t>Membership Units (600,000 units)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837</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16,350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16,587</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8.7%</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268,298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283,965</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148.9%</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-2152015</wp:posOffset>
            </wp:positionV>
            <wp:extent cx="724662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-1937385</wp:posOffset>
            </wp:positionV>
            <wp:extent cx="72466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-1706245</wp:posOffset>
            </wp:positionV>
            <wp:extent cx="724662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-1499870</wp:posOffset>
            </wp:positionV>
            <wp:extent cx="7246620" cy="1974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-1200150</wp:posOffset>
            </wp:positionV>
            <wp:extent cx="724662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-994410</wp:posOffset>
            </wp:positionV>
            <wp:extent cx="72466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-711200</wp:posOffset>
            </wp:positionV>
            <wp:extent cx="724662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-410845</wp:posOffset>
            </wp:positionV>
            <wp:extent cx="72466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-205105</wp:posOffset>
            </wp:positionV>
            <wp:extent cx="7246620"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94615</wp:posOffset>
            </wp:positionV>
            <wp:extent cx="72466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4240" w:space="280"/>
            <w:col w:w="6900"/>
          </w:cols>
          <w:pgMar w:left="240" w:top="89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Velum Global Credit Management, LLC</w:t>
            </w:r>
          </w:p>
        </w:tc>
        <w:tc>
          <w:tcPr>
            <w:tcW w:w="1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Financial Services</w:t>
            </w:r>
          </w:p>
        </w:tc>
        <w:tc>
          <w:tcPr>
            <w:tcW w:w="31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4"/>
              </w:rPr>
              <w:t xml:space="preserve">First Lien Debt (15.0% PIK, Due 12/31/17) </w:t>
            </w:r>
            <w:r>
              <w:rPr>
                <w:rFonts w:ascii="Arial" w:cs="Arial" w:eastAsia="Arial" w:hAnsi="Arial"/>
                <w:sz w:val="23"/>
                <w:szCs w:val="23"/>
                <w:color w:val="auto"/>
                <w:w w:val="94"/>
                <w:vertAlign w:val="superscript"/>
              </w:rPr>
              <w:t>(7) (8)</w:t>
            </w: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184"/>
        </w:trPr>
        <w:tc>
          <w:tcPr>
            <w:tcW w:w="27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(12)</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42"/>
        </w:trPr>
        <w:tc>
          <w:tcPr>
            <w:tcW w:w="2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27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42"/>
        </w:trPr>
        <w:tc>
          <w:tcPr>
            <w:tcW w:w="2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2740" w:type="dxa"/>
            <w:vAlign w:val="bottom"/>
            <w:shd w:val="clear" w:color="auto" w:fill="CCEEFF"/>
          </w:tcPr>
          <w:p>
            <w:pPr>
              <w:ind w:left="40"/>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62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85"/>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 - Brazil</w:t>
            </w:r>
          </w:p>
        </w:tc>
        <w:tc>
          <w:tcPr>
            <w:tcW w:w="162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11,816</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42"/>
        </w:trPr>
        <w:tc>
          <w:tcPr>
            <w:tcW w:w="2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2740" w:type="dxa"/>
            <w:vAlign w:val="bottom"/>
            <w:shd w:val="clear" w:color="auto" w:fill="CCEEFF"/>
          </w:tcPr>
          <w:p>
            <w:pPr>
              <w:ind w:left="40"/>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62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w:t>
            </w:r>
          </w:p>
        </w:tc>
        <w:tc>
          <w:tcPr>
            <w:tcW w:w="162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280,114</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286,843</w:t>
            </w:r>
          </w:p>
        </w:tc>
        <w:tc>
          <w:tcPr>
            <w:tcW w:w="9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150.4</w:t>
            </w:r>
            <w:r>
              <w:rPr>
                <w:rFonts w:ascii="Arial" w:cs="Arial" w:eastAsia="Arial" w:hAnsi="Arial"/>
                <w:sz w:val="22"/>
                <w:szCs w:val="22"/>
                <w:color w:val="auto"/>
                <w:vertAlign w:val="superscript"/>
              </w:rPr>
              <w:t>%</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29"/>
        </w:trPr>
        <w:tc>
          <w:tcPr>
            <w:tcW w:w="27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7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Affiliate Investments - 48.8%</w:t>
            </w:r>
          </w:p>
        </w:tc>
        <w:tc>
          <w:tcPr>
            <w:tcW w:w="162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2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7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Affiliate investments - United States</w:t>
            </w:r>
          </w:p>
        </w:tc>
        <w:tc>
          <w:tcPr>
            <w:tcW w:w="162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2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27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Automobile Part</w:t>
            </w:r>
          </w:p>
        </w:tc>
        <w:tc>
          <w:tcPr>
            <w:tcW w:w="31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First Lien Debt (12.0% Cash, 1.0% PIK, Due</w:t>
            </w: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Manufacturer</w:t>
            </w:r>
          </w:p>
        </w:tc>
        <w:tc>
          <w:tcPr>
            <w:tcW w:w="3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3/23/21)</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14,801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14,801</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149"/>
        </w:trPr>
        <w:tc>
          <w:tcPr>
            <w:tcW w:w="2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27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Automobile Part</w:t>
            </w:r>
          </w:p>
        </w:tc>
        <w:tc>
          <w:tcPr>
            <w:tcW w:w="3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2740" w:type="dxa"/>
            <w:vAlign w:val="bottom"/>
            <w:shd w:val="clear" w:color="auto" w:fill="CCEEFF"/>
          </w:tcPr>
          <w:p>
            <w:pPr>
              <w:spacing w:after="0"/>
              <w:rPr>
                <w:sz w:val="14"/>
                <w:szCs w:val="14"/>
                <w:color w:val="auto"/>
              </w:rPr>
            </w:pPr>
          </w:p>
        </w:tc>
        <w:tc>
          <w:tcPr>
            <w:tcW w:w="1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Manufacturer</w:t>
            </w:r>
          </w:p>
        </w:tc>
        <w:tc>
          <w:tcPr>
            <w:tcW w:w="3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Common Stock Class A (1,253,198 shares)</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r>
      <w:tr>
        <w:trPr>
          <w:trHeight w:val="149"/>
        </w:trPr>
        <w:tc>
          <w:tcPr>
            <w:tcW w:w="2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27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Automobile Part</w:t>
            </w:r>
          </w:p>
        </w:tc>
        <w:tc>
          <w:tcPr>
            <w:tcW w:w="3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81"/>
        </w:trPr>
        <w:tc>
          <w:tcPr>
            <w:tcW w:w="2740" w:type="dxa"/>
            <w:vAlign w:val="bottom"/>
            <w:shd w:val="clear" w:color="auto" w:fill="CCEEFF"/>
          </w:tcPr>
          <w:p>
            <w:pPr>
              <w:spacing w:after="0"/>
              <w:rPr>
                <w:sz w:val="15"/>
                <w:szCs w:val="15"/>
                <w:color w:val="auto"/>
              </w:rPr>
            </w:pPr>
          </w:p>
        </w:tc>
        <w:tc>
          <w:tcPr>
            <w:tcW w:w="1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Manufacturer</w:t>
            </w:r>
          </w:p>
        </w:tc>
        <w:tc>
          <w:tcPr>
            <w:tcW w:w="3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Common Stock Class B (900,000 shares)</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r>
      <w:tr>
        <w:trPr>
          <w:trHeight w:val="142"/>
        </w:trPr>
        <w:tc>
          <w:tcPr>
            <w:tcW w:w="2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27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0"/>
        </w:trPr>
        <w:tc>
          <w:tcPr>
            <w:tcW w:w="2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Portfolio Company, Country (1), (2), (3), (4), (19)</w:t>
            </w:r>
          </w:p>
        </w:tc>
        <w:tc>
          <w:tcPr>
            <w:tcW w:w="14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29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0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City Gear, LLC</w:t>
            </w:r>
          </w:p>
        </w:tc>
        <w:tc>
          <w:tcPr>
            <w:tcW w:w="140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4"/>
                <w:szCs w:val="14"/>
                <w:color w:val="auto"/>
              </w:rPr>
              <w:t>Footwear Retail</w:t>
            </w:r>
          </w:p>
        </w:tc>
        <w:tc>
          <w:tcPr>
            <w:tcW w:w="294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w w:val="98"/>
              </w:rPr>
              <w:t>Membership Unit Warrants (11.4% fully diluted)</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(14)</w:t>
            </w:r>
          </w:p>
        </w:tc>
        <w:tc>
          <w:tcPr>
            <w:tcW w:w="88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Eastport Holdings, LLC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Business Services</w:t>
            </w:r>
          </w:p>
        </w:tc>
        <w:tc>
          <w:tcPr>
            <w:tcW w:w="29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Subordinated Debt (15.8% Cash (3 month LIBOR</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+ 13.0%, 0.5% Floor), Due 4/29/20)</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15,496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Eastport Holdings, LLC</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Business Services</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Membership Units (22.9% ownership)</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3,263</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17,610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18,759</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34,110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GA Communications, Inc.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Advertising &amp;</w:t>
            </w:r>
          </w:p>
        </w:tc>
        <w:tc>
          <w:tcPr>
            <w:tcW w:w="29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Series A-1 Preferred Stock (1,998 shares, 8.0%</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Marketing Services</w:t>
            </w:r>
          </w:p>
        </w:tc>
        <w:tc>
          <w:tcPr>
            <w:tcW w:w="2940" w:type="dxa"/>
            <w:vAlign w:val="bottom"/>
            <w:shd w:val="clear" w:color="auto" w:fill="CCEEFF"/>
          </w:tcPr>
          <w:p>
            <w:pPr>
              <w:ind w:left="20"/>
              <w:spacing w:after="0" w:line="20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3,179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GA Communications, Inc.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Advertising &amp;</w:t>
            </w:r>
          </w:p>
        </w:tc>
        <w:tc>
          <w:tcPr>
            <w:tcW w:w="2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Marketing Services</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B-1 Common Stock (200,000 shares)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3,181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0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J&amp;J Produce Holdings, Inc.</w:t>
            </w:r>
          </w:p>
        </w:tc>
        <w:tc>
          <w:tcPr>
            <w:tcW w:w="140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4"/>
                <w:szCs w:val="14"/>
                <w:color w:val="auto"/>
              </w:rPr>
              <w:t>Produce Distribution</w:t>
            </w:r>
          </w:p>
        </w:tc>
        <w:tc>
          <w:tcPr>
            <w:tcW w:w="294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w w:val="99"/>
              </w:rPr>
              <w:t>Subordinated Debt (13.0% Cash, Due 6/16/19)</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(12)</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6,406</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6,406</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J&amp;J Produce Holdings, Inc.</w:t>
            </w:r>
          </w:p>
        </w:tc>
        <w:tc>
          <w:tcPr>
            <w:tcW w:w="1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Produce Distribution</w:t>
            </w:r>
          </w:p>
        </w:tc>
        <w:tc>
          <w:tcPr>
            <w:tcW w:w="2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(8,182 shares)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J&amp;J Produce Holdings, Inc.</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Produce Distribution</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 (6,369 shares)</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7,224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LJS Partners, LLC</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QSR Franchisor</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(1,587,848 shares)</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MMI Holdings, LLC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Medical Device</w:t>
            </w:r>
          </w:p>
        </w:tc>
        <w:tc>
          <w:tcPr>
            <w:tcW w:w="2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8"/>
              </w:rPr>
              <w:t xml:space="preserve">First Lien Debt (12.0% Cash, Due 1/31/20) </w:t>
            </w:r>
            <w:r>
              <w:rPr>
                <w:rFonts w:ascii="Arial" w:cs="Arial" w:eastAsia="Arial" w:hAnsi="Arial"/>
                <w:sz w:val="23"/>
                <w:szCs w:val="23"/>
                <w:color w:val="auto"/>
                <w:w w:val="98"/>
                <w:vertAlign w:val="superscript"/>
              </w:rPr>
              <w:t>(12)</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Distributor</w:t>
            </w:r>
          </w:p>
        </w:tc>
        <w:tc>
          <w:tcPr>
            <w:tcW w:w="2940" w:type="dxa"/>
            <w:vAlign w:val="bottom"/>
            <w:vMerge w:val="continue"/>
            <w:shd w:val="clear" w:color="auto" w:fill="CCEEFF"/>
          </w:tcPr>
          <w:p>
            <w:pPr>
              <w:spacing w:after="0"/>
              <w:rPr>
                <w:sz w:val="14"/>
                <w:szCs w:val="14"/>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MMI Holdings, LLC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Medical Device</w:t>
            </w:r>
          </w:p>
        </w:tc>
        <w:tc>
          <w:tcPr>
            <w:tcW w:w="2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2"/>
              </w:rPr>
              <w:t xml:space="preserve">Subordinated Debt (6.0% Cash, Due 1/31/20) </w:t>
            </w:r>
            <w:r>
              <w:rPr>
                <w:rFonts w:ascii="Arial" w:cs="Arial" w:eastAsia="Arial" w:hAnsi="Arial"/>
                <w:sz w:val="23"/>
                <w:szCs w:val="23"/>
                <w:color w:val="auto"/>
                <w:w w:val="92"/>
                <w:vertAlign w:val="superscript"/>
              </w:rPr>
              <w:t>(12)</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Distributor</w:t>
            </w:r>
          </w:p>
        </w:tc>
        <w:tc>
          <w:tcPr>
            <w:tcW w:w="2940" w:type="dxa"/>
            <w:vAlign w:val="bottom"/>
            <w:vMerge w:val="continue"/>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MMI Holdings, LLC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Medical Device</w:t>
            </w:r>
          </w:p>
        </w:tc>
        <w:tc>
          <w:tcPr>
            <w:tcW w:w="29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Preferred Units (1,000 units, 6.0% PIK Dividend)</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Distributor</w:t>
            </w:r>
          </w:p>
        </w:tc>
        <w:tc>
          <w:tcPr>
            <w:tcW w:w="2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1,474</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MMI Holdings, LLC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Medical Device</w:t>
            </w:r>
          </w:p>
        </w:tc>
        <w:tc>
          <w:tcPr>
            <w:tcW w:w="2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Distributor</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Membership Units (45 units)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4,462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Sierra Hamilton Holdings Corporation</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Oil &amp; Gas</w:t>
            </w:r>
          </w:p>
        </w:tc>
        <w:tc>
          <w:tcPr>
            <w:tcW w:w="2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Engineering and</w:t>
            </w:r>
          </w:p>
        </w:tc>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Consulting Services</w:t>
            </w: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(15,068,000 shares)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Portfolio Company, Country (1), (2), (3), (4), (19)</w:t>
            </w: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29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US Bath Group, LLC</w:t>
            </w:r>
          </w:p>
        </w:tc>
        <w:tc>
          <w:tcPr>
            <w:tcW w:w="138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Building Products</w:t>
            </w:r>
          </w:p>
        </w:tc>
        <w:tc>
          <w:tcPr>
            <w:tcW w:w="29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First Lien Debt (11.4% Cash (1 month LIBOR +</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9.0%, 1.0% Floor), Due 1/2/23)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12,750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12,750</w:t>
            </w:r>
          </w:p>
        </w:tc>
        <w:tc>
          <w:tcPr>
            <w:tcW w:w="220" w:type="dxa"/>
            <w:vAlign w:val="bottom"/>
            <w:shd w:val="clear" w:color="auto" w:fill="CCEEFF"/>
          </w:tcPr>
          <w:p>
            <w:pPr>
              <w:jc w:val="right"/>
              <w:ind w:right="103"/>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12,750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Bath Group, LLC</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 Products</w:t>
            </w: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Membership Units (500,000 units)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13,250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14,833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V12 Holdings, Inc.</w:t>
            </w:r>
          </w:p>
        </w:tc>
        <w:tc>
          <w:tcPr>
            <w:tcW w:w="138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Data Processing &amp;</w:t>
            </w:r>
          </w:p>
        </w:tc>
        <w:tc>
          <w:tcPr>
            <w:tcW w:w="2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Subordinated Debt </w:t>
            </w:r>
            <w:r>
              <w:rPr>
                <w:rFonts w:ascii="Arial" w:cs="Arial" w:eastAsia="Arial" w:hAnsi="Arial"/>
                <w:sz w:val="23"/>
                <w:szCs w:val="23"/>
                <w:color w:val="auto"/>
                <w:vertAlign w:val="superscript"/>
              </w:rPr>
              <w:t>(15)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Digital Marketing</w:t>
            </w:r>
          </w:p>
        </w:tc>
        <w:tc>
          <w:tcPr>
            <w:tcW w:w="2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9"/>
              </w:rPr>
              <w:t>Sub Total Affiliate investments - United States</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72,300</w:t>
            </w:r>
          </w:p>
        </w:tc>
        <w:tc>
          <w:tcPr>
            <w:tcW w:w="220" w:type="dxa"/>
            <w:vAlign w:val="bottom"/>
            <w:shd w:val="clear" w:color="auto" w:fill="CCEEFF"/>
          </w:tcPr>
          <w:p>
            <w:pPr>
              <w:jc w:val="right"/>
              <w:ind w:right="103"/>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92,939</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48.8</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Control Investments - 36.3%</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Control investments - United States</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AAE Acquisition, LLC</w:t>
            </w:r>
          </w:p>
        </w:tc>
        <w:tc>
          <w:tcPr>
            <w:tcW w:w="138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Industrial Equipment</w:t>
            </w:r>
          </w:p>
        </w:tc>
        <w:tc>
          <w:tcPr>
            <w:tcW w:w="2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4"/>
              </w:rPr>
              <w:t xml:space="preserve">Second Lien Debt (6.0% Cash, Due 8/24/19) </w:t>
            </w:r>
            <w:r>
              <w:rPr>
                <w:rFonts w:ascii="Arial" w:cs="Arial" w:eastAsia="Arial" w:hAnsi="Arial"/>
                <w:sz w:val="23"/>
                <w:szCs w:val="23"/>
                <w:color w:val="auto"/>
                <w:w w:val="94"/>
                <w:vertAlign w:val="superscript"/>
              </w:rPr>
              <w:t>(12)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Rental</w:t>
            </w:r>
          </w:p>
        </w:tc>
        <w:tc>
          <w:tcPr>
            <w:tcW w:w="2960" w:type="dxa"/>
            <w:vAlign w:val="bottom"/>
            <w:vMerge w:val="continue"/>
            <w:shd w:val="clear" w:color="auto" w:fill="CCEEFF"/>
          </w:tcPr>
          <w:p>
            <w:pPr>
              <w:spacing w:after="0"/>
              <w:rPr>
                <w:sz w:val="14"/>
                <w:szCs w:val="1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16,327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16,327</w:t>
            </w:r>
          </w:p>
        </w:tc>
        <w:tc>
          <w:tcPr>
            <w:tcW w:w="220" w:type="dxa"/>
            <w:vAlign w:val="bottom"/>
            <w:shd w:val="clear" w:color="auto" w:fill="CCEEFF"/>
          </w:tcPr>
          <w:p>
            <w:pPr>
              <w:jc w:val="right"/>
              <w:ind w:right="103"/>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AAE Acquisition, LLC</w:t>
            </w:r>
          </w:p>
        </w:tc>
        <w:tc>
          <w:tcPr>
            <w:tcW w:w="138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Industrial Equipment</w:t>
            </w:r>
          </w:p>
        </w:tc>
        <w:tc>
          <w:tcPr>
            <w:tcW w:w="2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Rental</w:t>
            </w: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Membership Units (2.2% fully diluted)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AAE Acquisition, LLC</w:t>
            </w:r>
          </w:p>
        </w:tc>
        <w:tc>
          <w:tcPr>
            <w:tcW w:w="138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Industrial Equipment</w:t>
            </w:r>
          </w:p>
        </w:tc>
        <w:tc>
          <w:tcPr>
            <w:tcW w:w="2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Rental</w:t>
            </w: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(37.8% fully diluted)</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16,344</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CableOrganizer Acquisition, LLC</w:t>
            </w:r>
          </w:p>
        </w:tc>
        <w:tc>
          <w:tcPr>
            <w:tcW w:w="138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Computer Supply</w:t>
            </w:r>
          </w:p>
        </w:tc>
        <w:tc>
          <w:tcPr>
            <w:tcW w:w="2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8"/>
              </w:rPr>
              <w:t xml:space="preserve">First Lien Debt (10.0% Cash, Due 5/24/19) </w:t>
            </w:r>
            <w:r>
              <w:rPr>
                <w:rFonts w:ascii="Arial" w:cs="Arial" w:eastAsia="Arial" w:hAnsi="Arial"/>
                <w:sz w:val="23"/>
                <w:szCs w:val="23"/>
                <w:color w:val="auto"/>
                <w:w w:val="98"/>
                <w:vertAlign w:val="superscript"/>
              </w:rPr>
              <w:t>(16)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Retail</w:t>
            </w:r>
          </w:p>
        </w:tc>
        <w:tc>
          <w:tcPr>
            <w:tcW w:w="2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1,708</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CableOrganizer Acquisition, LLC</w:t>
            </w:r>
          </w:p>
        </w:tc>
        <w:tc>
          <w:tcPr>
            <w:tcW w:w="138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Computer Supply</w:t>
            </w:r>
          </w:p>
        </w:tc>
        <w:tc>
          <w:tcPr>
            <w:tcW w:w="29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First Lien Debt (12.0% Cash, 4.0% PIK, Due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Retail</w:t>
            </w:r>
          </w:p>
        </w:tc>
        <w:tc>
          <w:tcPr>
            <w:tcW w:w="2960" w:type="dxa"/>
            <w:vAlign w:val="bottom"/>
            <w:shd w:val="clear" w:color="auto" w:fill="CCEEFF"/>
          </w:tcPr>
          <w:p>
            <w:pPr>
              <w:ind w:left="20"/>
              <w:spacing w:after="0" w:line="208" w:lineRule="exact"/>
              <w:rPr>
                <w:sz w:val="20"/>
                <w:szCs w:val="20"/>
                <w:color w:val="auto"/>
              </w:rPr>
            </w:pPr>
            <w:r>
              <w:rPr>
                <w:rFonts w:ascii="Arial" w:cs="Arial" w:eastAsia="Arial" w:hAnsi="Arial"/>
                <w:sz w:val="14"/>
                <w:szCs w:val="14"/>
                <w:color w:val="auto"/>
              </w:rPr>
              <w:t xml:space="preserve">6/30/19) </w:t>
            </w:r>
            <w:r>
              <w:rPr>
                <w:rFonts w:ascii="Arial" w:cs="Arial" w:eastAsia="Arial" w:hAnsi="Arial"/>
                <w:sz w:val="23"/>
                <w:szCs w:val="23"/>
                <w:color w:val="auto"/>
                <w:vertAlign w:val="superscript"/>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8,889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8,889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CableOrganizer Acquisition, LLC</w:t>
            </w:r>
          </w:p>
        </w:tc>
        <w:tc>
          <w:tcPr>
            <w:tcW w:w="138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Computer Supply</w:t>
            </w:r>
          </w:p>
        </w:tc>
        <w:tc>
          <w:tcPr>
            <w:tcW w:w="2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Retail</w:t>
            </w: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Units (4,000,000 units)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2,354</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CableOrganizer Acquisition, LLC</w:t>
            </w:r>
          </w:p>
        </w:tc>
        <w:tc>
          <w:tcPr>
            <w:tcW w:w="138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Computer Supply</w:t>
            </w:r>
          </w:p>
        </w:tc>
        <w:tc>
          <w:tcPr>
            <w:tcW w:w="2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Retail</w:t>
            </w: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(21.3% fully diluted)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1,394</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CableOrganizer Acquisition, LLC</w:t>
            </w:r>
          </w:p>
        </w:tc>
        <w:tc>
          <w:tcPr>
            <w:tcW w:w="138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Computer Supply</w:t>
            </w:r>
          </w:p>
        </w:tc>
        <w:tc>
          <w:tcPr>
            <w:tcW w:w="2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Retail</w:t>
            </w: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 (10.0% fully diluted )</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14,345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Capitala Senior Loan Fund II, LLC</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Investment Funds</w:t>
            </w:r>
          </w:p>
        </w:tc>
        <w:tc>
          <w:tcPr>
            <w:tcW w:w="296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Membership Units (80.0% ownership) </w:t>
            </w:r>
            <w:r>
              <w:rPr>
                <w:rFonts w:ascii="Arial" w:cs="Arial" w:eastAsia="Arial" w:hAnsi="Arial"/>
                <w:sz w:val="23"/>
                <w:szCs w:val="23"/>
                <w:color w:val="auto"/>
                <w:vertAlign w:val="superscript"/>
              </w:rPr>
              <w:t>(8)(17)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13,600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13,695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Portfolio Company, Country (1), (2), (3), (4), (19)</w:t>
            </w:r>
          </w:p>
        </w:tc>
        <w:tc>
          <w:tcPr>
            <w:tcW w:w="14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302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Micro Precision, LLC</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Conglomerate</w:t>
            </w:r>
          </w:p>
        </w:tc>
        <w:tc>
          <w:tcPr>
            <w:tcW w:w="3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3"/>
                <w:szCs w:val="13"/>
                <w:color w:val="auto"/>
              </w:rPr>
              <w:t xml:space="preserve">Subordinated Debt (10.0% Cash, Due 1/1/19) </w:t>
            </w:r>
            <w:r>
              <w:rPr>
                <w:rFonts w:ascii="Arial" w:cs="Arial" w:eastAsia="Arial" w:hAnsi="Arial"/>
                <w:sz w:val="21"/>
                <w:szCs w:val="21"/>
                <w:color w:val="auto"/>
                <w:vertAlign w:val="superscript"/>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0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Micro Precision, LLC</w:t>
            </w:r>
          </w:p>
        </w:tc>
        <w:tc>
          <w:tcPr>
            <w:tcW w:w="140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4"/>
                <w:szCs w:val="14"/>
                <w:color w:val="auto"/>
              </w:rPr>
              <w:t>Conglomerate</w:t>
            </w:r>
          </w:p>
        </w:tc>
        <w:tc>
          <w:tcPr>
            <w:tcW w:w="302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4"/>
                <w:szCs w:val="14"/>
                <w:color w:val="auto"/>
                <w:w w:val="98"/>
              </w:rPr>
              <w:t>Subordinated Debt (14.0% Cash, 4.0% PIK, Due</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00" w:type="dxa"/>
            <w:vAlign w:val="bottom"/>
            <w:shd w:val="clear" w:color="auto" w:fill="CCEEFF"/>
          </w:tcPr>
          <w:p>
            <w:pPr>
              <w:ind w:left="20"/>
              <w:spacing w:after="0" w:line="198" w:lineRule="exact"/>
              <w:rPr>
                <w:sz w:val="20"/>
                <w:szCs w:val="20"/>
                <w:color w:val="auto"/>
              </w:rPr>
            </w:pPr>
            <w:r>
              <w:rPr>
                <w:rFonts w:ascii="Arial" w:cs="Arial" w:eastAsia="Arial" w:hAnsi="Arial"/>
                <w:sz w:val="14"/>
                <w:szCs w:val="14"/>
                <w:color w:val="auto"/>
              </w:rPr>
              <w:t xml:space="preserve">1/1/19) </w:t>
            </w:r>
            <w:r>
              <w:rPr>
                <w:rFonts w:ascii="Arial" w:cs="Arial" w:eastAsia="Arial" w:hAnsi="Arial"/>
                <w:sz w:val="22"/>
                <w:szCs w:val="22"/>
                <w:color w:val="auto"/>
                <w:vertAlign w:val="superscript"/>
              </w:rPr>
              <w:t>(12)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4,325</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4,325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Micro Precision, LLC</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Conglomerate</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Series A Preferred Units (47 units)</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2,817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7,816</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9,004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Navis Holdings, Inc.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Textile Equipment</w:t>
            </w:r>
          </w:p>
        </w:tc>
        <w:tc>
          <w:tcPr>
            <w:tcW w:w="30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w w:val="98"/>
              </w:rPr>
              <w:t xml:space="preserve">First Lien Debt (15.0% Cash, Due 10/30/20) </w:t>
            </w:r>
            <w:r>
              <w:rPr>
                <w:rFonts w:ascii="Arial" w:cs="Arial" w:eastAsia="Arial" w:hAnsi="Arial"/>
                <w:sz w:val="23"/>
                <w:szCs w:val="23"/>
                <w:color w:val="auto"/>
                <w:w w:val="98"/>
                <w:vertAlign w:val="superscript"/>
              </w:rPr>
              <w:t>(12)</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Manufacturer</w:t>
            </w:r>
          </w:p>
        </w:tc>
        <w:tc>
          <w:tcPr>
            <w:tcW w:w="3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Navis Holdings, Inc.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Textile Equipment</w:t>
            </w:r>
          </w:p>
        </w:tc>
        <w:tc>
          <w:tcPr>
            <w:tcW w:w="30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Class A Preferred Stock (1,000 shares, 10.0%</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Manufacturer</w:t>
            </w:r>
          </w:p>
        </w:tc>
        <w:tc>
          <w:tcPr>
            <w:tcW w:w="302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4"/>
                <w:szCs w:val="14"/>
                <w:color w:val="auto"/>
              </w:rPr>
              <w:t xml:space="preserve">Cash Dividend) </w:t>
            </w:r>
            <w:r>
              <w:rPr>
                <w:rFonts w:ascii="Arial" w:cs="Arial" w:eastAsia="Arial" w:hAnsi="Arial"/>
                <w:sz w:val="23"/>
                <w:szCs w:val="23"/>
                <w:color w:val="auto"/>
                <w:vertAlign w:val="superscript"/>
              </w:rPr>
              <w:t>(5)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Navis Holdings, Inc.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Textile Equipment</w:t>
            </w:r>
          </w:p>
        </w:tc>
        <w:tc>
          <w:tcPr>
            <w:tcW w:w="2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Manufacturer</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(300,000 shares)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4,348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8,501</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12,848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Portrait Studio, LLC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Professional and</w:t>
            </w:r>
          </w:p>
        </w:tc>
        <w:tc>
          <w:tcPr>
            <w:tcW w:w="30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First Lien Debt (9.0% Cash (1 month LIBOR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Personal Digital</w:t>
            </w:r>
          </w:p>
        </w:tc>
        <w:tc>
          <w:tcPr>
            <w:tcW w:w="30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7.0%, 1.0% Floor, 2.0% Ceiling), Due 12/31/22)</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Imaging</w:t>
            </w:r>
          </w:p>
        </w:tc>
        <w:tc>
          <w:tcPr>
            <w:tcW w:w="2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Portrait Studio, LLC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Professional and</w:t>
            </w:r>
          </w:p>
        </w:tc>
        <w:tc>
          <w:tcPr>
            <w:tcW w:w="2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Personal Digital</w:t>
            </w:r>
          </w:p>
        </w:tc>
        <w:tc>
          <w:tcPr>
            <w:tcW w:w="30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First Lien Debt (9.4% Cash (1 month LIBOR +</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Imaging</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7.0%, 1.0% Floor, 5.0% Ceiling), Due 12/31/22)</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Portrait Studio, LLC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Professional and</w:t>
            </w:r>
          </w:p>
        </w:tc>
        <w:tc>
          <w:tcPr>
            <w:tcW w:w="2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Personal Digital</w:t>
            </w:r>
          </w:p>
        </w:tc>
        <w:tc>
          <w:tcPr>
            <w:tcW w:w="2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Imaging</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Preferred Units (4,350,000 Units)</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2,450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2,174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Portrait Studio, LLC</w:t>
            </w: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Professional and</w:t>
            </w:r>
          </w:p>
        </w:tc>
        <w:tc>
          <w:tcPr>
            <w:tcW w:w="2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Personal Digital</w:t>
            </w:r>
          </w:p>
        </w:tc>
        <w:tc>
          <w:tcPr>
            <w:tcW w:w="2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Imaging</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Membership Units (150,000 Units)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6,950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6,674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9"/>
              </w:rPr>
              <w:t>Sub Total Control investments - United States</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67,556</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69,145</w:t>
            </w:r>
          </w:p>
        </w:tc>
        <w:tc>
          <w:tcPr>
            <w:tcW w:w="9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36.3</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INVESTMENTS - 235.5%</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419,970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448,927</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235.5</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investments valued by the Board of Directors.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Percentages are based on net assets of $190,644 as of December 31, 2018.</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jc w:val="both"/>
        <w:ind w:right="20" w:firstLine="8"/>
        <w:spacing w:after="0" w:line="250"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2018, 9.2% of the Company's total assets were non-qualifying assets.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$0.8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$0.5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earnout to be settled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and earnout to be settled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$0.3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$6.4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$5.0 million unfunded commitment.</w:t>
      </w:r>
    </w:p>
    <w:p>
      <w:pPr>
        <w:spacing w:after="0" w:line="9" w:lineRule="exact"/>
        <w:rPr>
          <w:rFonts w:ascii="Arial" w:cs="Arial" w:eastAsia="Arial" w:hAnsi="Arial"/>
          <w:sz w:val="18"/>
          <w:szCs w:val="18"/>
          <w:color w:val="auto"/>
        </w:rPr>
      </w:pPr>
    </w:p>
    <w:p>
      <w:pPr>
        <w:ind w:right="140" w:firstLine="8"/>
        <w:spacing w:after="0" w:line="255" w:lineRule="auto"/>
        <w:tabs>
          <w:tab w:leader="none" w:pos="34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Capitala Finance Corp.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829"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and Capitala Advisors Corp.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subsidiary that is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subordinated loans, and, to a lesser extent, equity securities issued by lower middle-market companies and traditional middle-market companies.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w:t>
      </w:r>
    </w:p>
    <w:p>
      <w:pPr>
        <w:jc w:val="both"/>
        <w:ind w:firstLine="8"/>
        <w:spacing w:after="0" w:line="292" w:lineRule="auto"/>
        <w:tabs>
          <w:tab w:leader="none" w:pos="23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retained their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SBA debentures and relinquished its SBIC license.</w:t>
      </w:r>
    </w:p>
    <w:p>
      <w:pPr>
        <w:spacing w:after="0" w:line="1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 Taxable Subsidiaries allow the Company to make equity investments in companies organized as pass-through entities while continuing to satisfy the requirements of a RIC under the Code.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unaudited consolidated financial statements have been prepared on the accrual basis of accounting in</w:t>
      </w:r>
      <w:r>
        <w:rPr>
          <w:rFonts w:ascii="Arial" w:cs="Arial" w:eastAsia="Arial" w:hAnsi="Arial"/>
          <w:sz w:val="17"/>
          <w:szCs w:val="17"/>
          <w:i w:val="1"/>
          <w:iCs w:val="1"/>
          <w:color w:val="auto"/>
        </w:rPr>
        <w:t xml:space="preserve"> </w:t>
      </w:r>
      <w:r>
        <w:rPr>
          <w:rFonts w:ascii="Arial" w:cs="Arial" w:eastAsia="Arial" w:hAnsi="Arial"/>
          <w:sz w:val="17"/>
          <w:szCs w:val="17"/>
          <w:color w:val="auto"/>
        </w:rPr>
        <w:t>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and the Taxable Subsidiaries.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March 31, 2019 and December 31, 2018 and for the periods ended March 31, 2019 and March 31, 2018 are presented on a consolidated basis. The effects of all intercompany transactions between the Company and its subsidiaries (Fund II, Fund III,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2018, filed with the U.S. Securities and Exchange Commission (“SEC”) on March 4,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and the Taxable Subsidiaries) in its consolidated financial statements. The Company does not consolidate its interest in Capitala Senior Loan Fund II, LLC (“CSLF II”) because the investment is not considered a substantially wholly owned investment company subsidiary. Further, CSLF II is a joint venture for which shared power exists relating to the decisions that most significantly impact the economic performance of the entity. See Note 4 to the consolidated financial statements for a description of the Company’s investment in CSLF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fair value, the Company’s board of directors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uses net asset value (“NAV”) as the fair value for its equity investment in CSLF II. CSLF II records its underlying investments at fair value on a quarterly basis in accordance with the 1940 Act and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methodologies summarized below are utilized by the Company in estimating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collected. The Company has loans in the portfolio that contain a payment-in-kind interest (“PIK interest”)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Management reviews all loans that become 90 days or more past due, or when there is reasonable doubt that principal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portfolio companies are 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Sales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Company follows the guidance in ASC Topic 860 —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follows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(“ASC 460”). ASC 460 elaborates on the disclosure requirements of a guarantor in its interim and annual consolidated financial statements about its obligations under certain guarantees that it has issued. It also requires a guarantor to recognize, at the inception of a guarantee, for those guarantees that are covered by ASC 460, the fair value of the obligation undertaken in issuing certain guarantees.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are paid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common stock assuming all potentially dilutive shares had been issued. Diluted EPS reflects the potential dilution, using the as-if-converted method for convertible debt, which could occur if all potentially dilutive securities were exercised.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2019, the Company had outstanding unfunded commitments related to debt and equity investments in existing portfolio companies of $6.4 million (CSLF II), $4.2 million (Portrait Studio, LLC), $1.0 million (U.S. BioTek Laboratories, LLC), $1.0 million (Freedom Electronics, LLC), $1.0 million (CableOrganizer Acquisition, LLC), $0.5 million (MC Sign Lessor, Corp), and $0.3 million (RAM Payment, LLC). As of December 31, 2018, the Company had outstanding unfunded commitments related to debt and equity investments in existing portfolio companies of $6.4 million (CSLF II), $5.0 million (Portrait Studio, LLC), $1.1 million (MC Sign Lessor, Corp), $1.0 million (U.S. BioTek Laboratories, LLC), $0.8 million (Freedom Electronics, LLC), and $0.3 million (CableOrganizer Acquisition, LLC).</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may invest in the same unitranche facility as CSLF II, whereby CSLF II provides the first-out portion of the unitranche facility and the Company and other lenders provide the last-out portion of the unitranche facility. Under a guarantee agreement, the Company may be required to purchase its pro-rata portion of first-out loans from CSLF II upon certain triggering events, including acceleration upon payment default of the underlying borrower. As of March 31, 2019, the Company has evaluated the fair value of the guarantee under the guidance of ASC Topic 460 — </w:t>
      </w:r>
      <w:r>
        <w:rPr>
          <w:rFonts w:ascii="Arial" w:cs="Arial" w:eastAsia="Arial" w:hAnsi="Arial"/>
          <w:sz w:val="17"/>
          <w:szCs w:val="17"/>
          <w:i w:val="1"/>
          <w:iCs w:val="1"/>
          <w:color w:val="auto"/>
        </w:rPr>
        <w:t>Guarantees</w:t>
      </w:r>
      <w:r>
        <w:rPr>
          <w:rFonts w:ascii="Arial" w:cs="Arial" w:eastAsia="Arial" w:hAnsi="Arial"/>
          <w:sz w:val="17"/>
          <w:szCs w:val="17"/>
          <w:color w:val="auto"/>
        </w:rPr>
        <w:t xml:space="preserve"> and determined that the fair value of the guarantee is immaterial as the risk of payment default for first-out loans in CSLF II is considered remote. The maximum exposure to credit risk as of March 31, 2019 is $7.3 million and extends to the stated maturity of the underlying loans in CSLF II.</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firstLine="648"/>
        <w:spacing w:after="0" w:line="264"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On December 28, 2017, an alleged stockholder filed a putative class action lawsuit complaint, Paskowitz v. Capitala Finance Corp., et al., in the United States District Court for the Central District of California (case number 2:17-cv-09251-MWF-AS) (the “Paskowitz Action”), against the Company and certain of its current officers on behalf of all persons who purchased or otherwise acquired the Company’s common stock between January 4, 2016 and August 7, 2017. On January 3, 2018, another alleged stockholder filed a putative class action complaint, Sandifer v. Capitala Finance Corp., et al., in the United States District Court for the Central District of California (case number 2:18-cv-00052-MWF-AS) (the “Sandifer Action”), asserting substantially similar claims on behalf of the same putative class and against the same defendants. On February 2, 2018, the Sandifer Action was transferred, on stipulation of the parties, to the United States District Court for the Western District of North Carolina. The Sandifer Action was voluntarily dismissed on February 28, 2018. On March 1, 2018, the Paskowitz Action was transferred, on stipulation of the parties, to the United States District Court for the Western District of North Carolina (case number 3:18-cv-00096-RJC-DSC). On June 19, 2018, the plaintiffs in the Paskowitz Action filed their amended complaint. The complaint, as currently amended, alleges certain violations of the securities laws, including, </w:t>
      </w:r>
      <w:r>
        <w:rPr>
          <w:rFonts w:ascii="Arial" w:cs="Arial" w:eastAsia="Arial" w:hAnsi="Arial"/>
          <w:sz w:val="17"/>
          <w:szCs w:val="17"/>
          <w:i w:val="1"/>
          <w:iCs w:val="1"/>
          <w:color w:val="auto"/>
        </w:rPr>
        <w:t>inter alia</w:t>
      </w:r>
      <w:r>
        <w:rPr>
          <w:rFonts w:ascii="Arial" w:cs="Arial" w:eastAsia="Arial" w:hAnsi="Arial"/>
          <w:sz w:val="17"/>
          <w:szCs w:val="17"/>
          <w:color w:val="auto"/>
        </w:rPr>
        <w:t>, that the defendants made certain materially false and misleading statements and omissions regarding the Company’s business, operations, and prospects between January 4, 2016 and August 7, 2017. The plaintiffs in the Paskowitz Action seek compensatory damages and attorneys’ fees and costs, among other relief, but did not specify the amount of damages being sought. Defendants have moved to dismiss the amended complaint. While the Company intends to vigorously defend itself in this litigation, the outcome of these legal proceedings cannot be predicted with certainty.</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and adversely affect the Company’s financial condition, results of operations, or cash flows in any particular reporting period.</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as of March 31, 2019 and December 31, 2018.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elected to amend its tax year end from August 31 to December 31 and has filed a tax return for the four months ended December 31, 2017. The tax periods ended December 31, 2018, December 31, 2017, August 31, 2017, and August 31, 2016 remain subject to examination by U.S. federal, state, and local tax authorities. No interest expense or penalties have been assessed for the three months ended March 31, 2019 and March 31, 2018. If the Company was required to recognize interest and penalties, if any, related to unrecognized tax benefits this would be recognized as income tax expense in the consolidated statements of operations.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U.S. federal income tax purposes, as of March 31, 2019, the aggregate net unrealized appreciation for all securities was $11.7 million. As of March 31, 2019, gross unrealized appreciation was $31.1 million and gross unrealized depreciation was $19.4 million. The aggregate cost of securities for U.S. federal income tax purposes was $443.7 million as of March 31, 2019. For U.S. federal income tax purposes, as of December 31, 2018, the aggregate net unrealized appreciation for all securities was $6.5 million. As of December 31, 2018, gross unrealized appreciation was $31.9 million and gross unrealized depreciation was $25.4 million. The aggregate cost of securities for U.S. federal income tax purposes was $442.4 million as of December 31, 2018.</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Taxable Subsidiaries record deferred tax assets or liabilities related to temporary book versus tax differences on the income or loss generated by the underlying equity investments held by the Taxable Subsidiaries. As of March 31, 2019 and December 31, 2018, the Company recorded a net deferred tax asset of $0.7 million and $0.6 million, respectively. For the three months ended March 31, 2019, the Company recorded a tax benefit of $66 thousand. For the three months ended March 31, 2018, the Company recorded a tax provision of $50 thousand.</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For income tax purposes, the Company has paid distributions on its common stock from ordinary income in the amount of $16.0 million, $6.1 million, $25.2 million, and $24.5 million during the tax periods ended December 31, 2018, December 31, 2017, August 31, 2017, and August 31, 2016, respectively.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2019 and December 31, 2018, there were no uncertain tax positions.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648"/>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22, 2017, the United States enacted tax reform legislation through the Tax Cuts and Jobs Act (the “Tax Act”), which significantly changes the existing U.S. tax laws, including a reduction in the corporate tax rate from 35% to 21%, a move from a worldwide tax system to a territorial system, as well as other changes. The Taxable Subsidiaries’ provisional tax is based on the new lower blended federal and state corporate tax rate of 24.86%. The implementation of the Tax Act did not have a material impact on the Company’s financial position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Distributions to common stockholders are recorded as payable on the declaration date. The amount to be paid out as a dividend is determined by the Board. Net capital gains, if any, are generally distributed at least annually, although we may decide to retain such capital gains for reinvestment.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2018, the Financial Accounting Standards Board (“FASB”) issued Accounting Standards Update 2018-13, Disclosure Framework — Changes to the Disclosure Requirement for Fair Value Measurement. The FASB issued the amendments as part of the disclosure framework project which is intended to improve the effectiveness of fair value disclosures in the notes to the financial statements by facilitating clear communication of the information required by U.S. GAAP that is most important to users of the financial statements. The standard is effective for interim and annual reporting periods in fiscal years that begin after December 15, 2019. Management is currently evaluating the impact these changes will have on the Company’s consolidated financial statements and disclosures.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2018, the SEC adopted amendments (the “Amendments”) to certain disclosure requirements that have become redundant, duplicative, overlapping, outdated, or superseded, in light of other SEC disclosure requirements, U.S. GAAP requirements, or changes in the information environment. In part, the Amendments require an investment company to present distributable earnings in total, rather than showing the three components of distributable earnings. The compliance date for the Amendments is for all filings on or after November 5, 2018. Management has adopted the Amendments and included the required disclosures in the Company’s consolidated financial statements.</w:t>
      </w:r>
    </w:p>
    <w:p>
      <w:pPr>
        <w:spacing w:after="0" w:line="188"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In May 2014, the FASB issued Accounting Standards Update 2014-09, Revenue from Contracts with Customers (ASC Topic 606) (“ASU 2014-09”). ASU 2014-09 supersedes the revenue recognition requirements under ASC Topic 605, Revenue Recognition, and most industry-specific guidance throughout the ASC. The core principle of the guidance is that an entity should recognize revenue to depict the transfer of promised goods or services to customers in an amount that reflects the consideration to which an entity expects to be entitled in exchange for those goods or services. The new guidance significantly enhances comparability of revenue recognition practices across entities, industries, jurisdictions, and capital markets. Additionally, the guidance requires improved disclosures as to the nature, amount, timing, and uncertainty of revenue that is recognized. The new guidance became effective for the annual reporting period beginning January 1, 2018, including interim periods within that reporting period. The Company completed its assessment in evaluating the potential impact on its consolidated financial statements and based on its assessment, determined that its financial contracts are excluded from the scope of ASU 2014-09. As a result of the scope exception for financial contracts, the Company’s management has determined that there were no material changes to the recognition, timing, and classification of revenues and expenses; additionally, the Company’s management determined that the adoption of ASU 2014-09 did not have a significant impact on its consolidated financial statement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subordinated loans, and, to a lesser extent, equity securities issued by lower middle-market companies and traditional middle-market companies. As of March 31, 2019, our portfolio consisted of investments in 43 portfolio companies with a fair value of approximately $455.4 million.</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Unitranche debt, a form of first lien loan, typically involves issuing one debt security that blends the risk and return profiles of both senior secured and subordinated debt in one debt security, bifurcating the loan into a first-out tranche and last-out tranche. As of March 31, 2019, 17.2% of the fair value of our first lien loans consisted of last-out loans. As of December 31, 2018, 13.7% of the fair value of our first lien loans consisted of last-out loans. In some cases, first lien loans may be subordinated, solely with respect to the payment of cash interest, to an asset based revolving credit facility.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first and second lien loans, the Company may also invest in subordinated loans. Subordinated loans typically have a second lien on all or substantially all of the borrower’s assets, but unlike second lien loans, may be subject to the interruption of cash interest payments upon certain events of default, at the discretion of the first lien lender.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March 31, 2019, the Company made approximately $21.1 million of investments and had approximately $11.5 million in repayments and sales, resulting in net investments of approximately $9.6 million for the period. During the three months ended March 31, 2018, the Company made approximately $27.8 million of investments and had approximately $21.4 million in repayments and sales, resulting in net investments of approximately $6.4 million for the period.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March 31, 2019, the Company funded $2.1 million of previously committed capital to existing portfolio companies. During the three months ended March 31, 2019, the Company funded $19.0 million of investments in portfolio companies for which it was not previously committed to fund. During the three months ended March 31, 2018, the Company funded $1.0 million of previously committed capital to existing portfolio companies. During the three months ended March 31, 2018, the Company funded $26.8 million of investments in portfolio companies for which it was not previously committed to fund. During the three months ended March 31, 2019 and March 31, 2018, the Company did not lead any syndicates and did not assist any portfolio companies in obtaining indirect financing.</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31, 2016, the Company sold a portion of 14 securities across 10 portfolio companies to CapitalSouth Partners Florida Sidecar Fund II, L.P. (“FSC II”), including granting an option to acquire a portion of the Company’s equity investment in Eastport Holdings, LLC (the “Written Call Option”), in exchange for 100% of the partnership interests in FSC II. Concurrent with the sale of these assets to FSC II, the Company received cash consideration of $47.6 million from an affiliated third-party purchaser in exchange for 100% of the partnership interests of FSC II. These assets were sold to FSC II at their June 30, 2016 fair market values, resulting in a net realized gain of $0.1 million. The Company’s Board pre-approved this transaction pursuant to Section 57(f) of the 1940 Act.</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March 31, 2019,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0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247,042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241,458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Second Lien Debt</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37,147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33,373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7.3</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72,975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73,496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16.1</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Equity and Warrants</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54,174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93,133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20.5</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Capitala Senior Loan Fund II, LLC</w:t>
            </w: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424,938</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455,390</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0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31</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The composition of our investments as of December 31, 2018,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33,040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32,495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72,562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73,113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48,594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92,054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Capitala Senior Loan Fund II, LLC</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419,970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firstLine="789"/>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has the ability to access.</w:t>
      </w:r>
    </w:p>
    <w:p>
      <w:pPr>
        <w:spacing w:after="0" w:line="236" w:lineRule="exact"/>
        <w:rPr>
          <w:rFonts w:ascii="Arial" w:cs="Arial" w:eastAsia="Arial" w:hAnsi="Arial"/>
          <w:sz w:val="17"/>
          <w:szCs w:val="17"/>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measurements of investments, by major class, as of March 31, 2019 (dollars in thousands), according to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30"/>
                <w:szCs w:val="30"/>
                <w:b w:val="1"/>
                <w:bCs w:val="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241,458</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Second Lien Debt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33,373</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33,373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73,496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73,496</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Equity and Warrants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83,537</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93,133</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5620" w:right="5300" w:hanging="5612"/>
        <w:spacing w:after="0" w:line="906"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the Company’s $13.9 million investment in CSLF II, measured at NAV.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right="200"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2018 (dollars in thousands), according to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56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30"/>
                <w:szCs w:val="30"/>
                <w:b w:val="1"/>
                <w:bCs w:val="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6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00" w:type="dxa"/>
            <w:vAlign w:val="bottom"/>
            <w:tcBorders>
              <w:top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Second Lien Debt</w:t>
            </w:r>
          </w:p>
        </w:tc>
        <w:tc>
          <w:tcPr>
            <w:tcW w:w="10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32,495</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32,495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73,113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73,113</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Equity and Warrants</w:t>
            </w:r>
          </w:p>
        </w:tc>
        <w:tc>
          <w:tcPr>
            <w:tcW w:w="100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92,054</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92,054</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 Excludes the Company’s $13.7 million investment in CSLF II, measured at NAV.</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2019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First Lien</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Second Lien</w:t>
            </w:r>
          </w:p>
        </w:tc>
        <w:tc>
          <w:tcPr>
            <w:tcW w:w="126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Subordinated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vMerge w:val="restart"/>
          </w:tcPr>
          <w:p>
            <w:pPr>
              <w:jc w:val="right"/>
              <w:ind w:right="300"/>
              <w:spacing w:after="0"/>
              <w:rPr>
                <w:sz w:val="20"/>
                <w:szCs w:val="20"/>
                <w:color w:val="auto"/>
              </w:rPr>
            </w:pPr>
            <w:r>
              <w:rPr>
                <w:rFonts w:ascii="Arial" w:cs="Arial" w:eastAsia="Arial" w:hAnsi="Arial"/>
                <w:sz w:val="18"/>
                <w:szCs w:val="18"/>
                <w:b w:val="1"/>
                <w:bCs w:val="1"/>
                <w:color w:val="auto"/>
                <w:w w:val="91"/>
              </w:rPr>
              <w:t xml:space="preserve">Total </w:t>
            </w:r>
            <w:r>
              <w:rPr>
                <w:rFonts w:ascii="Arial" w:cs="Arial" w:eastAsia="Arial" w:hAnsi="Arial"/>
                <w:sz w:val="30"/>
                <w:szCs w:val="30"/>
                <w:b w:val="1"/>
                <w:bCs w:val="1"/>
                <w:color w:val="auto"/>
                <w:w w:val="91"/>
                <w:vertAlign w:val="superscript"/>
              </w:rPr>
              <w:t>(1)</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Debt</w:t>
            </w: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rPr>
              <w:t>and Warrants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(5,374)</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16,277</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investments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9,021</w:t>
            </w: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Transfers out of Level 3 </w:t>
            </w:r>
            <w:r>
              <w:rPr>
                <w:rFonts w:ascii="Arial" w:cs="Arial" w:eastAsia="Arial" w:hAnsi="Arial"/>
                <w:sz w:val="30"/>
                <w:szCs w:val="30"/>
                <w:color w:val="auto"/>
                <w:vertAlign w:val="superscript"/>
              </w:rPr>
              <w:t>(2)</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(9,861)</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as of March 31,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241,458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83,537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431,864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the Company’s $13.9 million investment in CSLF II, measured at NAV.</w:t>
      </w:r>
    </w:p>
    <w:p>
      <w:pPr>
        <w:spacing w:after="0" w:line="252"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investment in U.S. Well Services, Inc. is traded on the NASDAQ Capital Market under the ticker USWS. Because the Company’s investment is now traded in an active market, the Company has reclassified its investment in U.S. Well Services, Inc. from Level 3 to Level 1 of the fair value hierarchy. Transfers between levels, if any, are recognized at the beginning of the period in which transfers occur. The unrealized depreciation on the Company’s investment in U.S. Well Services, Inc. for the three months ended March 31, 2019 was $(0.3) million.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2018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First Lien</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Second Lien</w:t>
            </w: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Subordinated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Debt</w:t>
            </w: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rPr>
              <w:t>and Warrants</w:t>
            </w:r>
          </w:p>
        </w:tc>
        <w:tc>
          <w:tcPr>
            <w:tcW w:w="2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243,489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8,828</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(8,828)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(20,676)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27,000</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27,800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investments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(3,855)</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1,746</w:t>
            </w: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r>
      <w:tr>
        <w:trPr>
          <w:trHeight w:val="223"/>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uses Level 3 inputs for the three months ended March 31, 2018 (dollars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540" w:type="dxa"/>
            <w:vAlign w:val="bottom"/>
            <w:gridSpan w:val="4"/>
          </w:tcPr>
          <w:p>
            <w:pPr>
              <w:ind w:left="1900"/>
              <w:spacing w:after="0"/>
              <w:rPr>
                <w:sz w:val="20"/>
                <w:szCs w:val="20"/>
                <w:color w:val="auto"/>
              </w:rPr>
            </w:pPr>
            <w:r>
              <w:rPr>
                <w:rFonts w:ascii="Arial" w:cs="Arial" w:eastAsia="Arial" w:hAnsi="Arial"/>
                <w:sz w:val="18"/>
                <w:szCs w:val="18"/>
                <w:b w:val="1"/>
                <w:bCs w:val="1"/>
                <w:color w:val="auto"/>
                <w:w w:val="99"/>
              </w:rPr>
              <w:t>Written Call Option</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9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1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net change in unrealized depreciation on investments held as of March 31, 2019 and March 31, 2018, was $(2.5) million and $(4.1) million, respectively, and is included in net unrealized depreciation on investments in the consolidated statements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March 31, 2019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Fair Value</w:t>
            </w:r>
            <w:r>
              <w:rPr>
                <w:rFonts w:ascii="Arial" w:cs="Arial" w:eastAsia="Arial" w:hAnsi="Arial"/>
                <w:sz w:val="30"/>
                <w:szCs w:val="30"/>
                <w:b w:val="1"/>
                <w:bCs w:val="1"/>
                <w:color w:val="auto"/>
                <w:w w:val="86"/>
                <w:vertAlign w:val="superscript"/>
              </w:rPr>
              <w:t>(2)</w:t>
            </w:r>
          </w:p>
        </w:tc>
        <w:tc>
          <w:tcPr>
            <w:tcW w:w="1360" w:type="dxa"/>
            <w:vAlign w:val="bottom"/>
          </w:tcPr>
          <w:p>
            <w:pPr>
              <w:ind w:left="320"/>
              <w:spacing w:after="0"/>
              <w:rPr>
                <w:sz w:val="20"/>
                <w:szCs w:val="20"/>
                <w:color w:val="auto"/>
              </w:rPr>
            </w:pPr>
            <w:r>
              <w:rPr>
                <w:rFonts w:ascii="Arial" w:cs="Arial" w:eastAsia="Arial" w:hAnsi="Arial"/>
                <w:sz w:val="18"/>
                <w:szCs w:val="18"/>
                <w:b w:val="1"/>
                <w:bCs w:val="1"/>
                <w:color w:val="auto"/>
              </w:rPr>
              <w:t>Valuation</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 millions)</w:t>
            </w:r>
          </w:p>
        </w:tc>
        <w:tc>
          <w:tcPr>
            <w:tcW w:w="1360" w:type="dxa"/>
            <w:vAlign w:val="bottom"/>
          </w:tcPr>
          <w:p>
            <w:pPr>
              <w:ind w:left="300"/>
              <w:spacing w:after="0"/>
              <w:rPr>
                <w:sz w:val="20"/>
                <w:szCs w:val="20"/>
                <w:color w:val="auto"/>
              </w:rPr>
            </w:pPr>
            <w:r>
              <w:rPr>
                <w:rFonts w:ascii="Arial" w:cs="Arial" w:eastAsia="Arial" w:hAnsi="Arial"/>
                <w:sz w:val="18"/>
                <w:szCs w:val="18"/>
                <w:b w:val="1"/>
                <w:bCs w:val="1"/>
                <w:color w:val="auto"/>
              </w:rPr>
              <w:t>Approach</w:t>
            </w:r>
          </w:p>
        </w:tc>
        <w:tc>
          <w:tcPr>
            <w:tcW w:w="120" w:type="dxa"/>
            <w:vAlign w:val="bottom"/>
          </w:tcPr>
          <w:p>
            <w:pPr>
              <w:spacing w:after="0"/>
              <w:rPr>
                <w:sz w:val="20"/>
                <w:szCs w:val="20"/>
                <w:color w:val="auto"/>
              </w:rPr>
            </w:pPr>
          </w:p>
        </w:tc>
        <w:tc>
          <w:tcPr>
            <w:tcW w:w="2500" w:type="dxa"/>
            <w:vAlign w:val="bottom"/>
            <w:gridSpan w:val="2"/>
          </w:tcPr>
          <w:p>
            <w:pPr>
              <w:ind w:left="420"/>
              <w:spacing w:after="0"/>
              <w:rPr>
                <w:sz w:val="20"/>
                <w:szCs w:val="20"/>
                <w:color w:val="auto"/>
              </w:rPr>
            </w:pPr>
            <w:r>
              <w:rPr>
                <w:rFonts w:ascii="Arial" w:cs="Arial" w:eastAsia="Arial" w:hAnsi="Arial"/>
                <w:sz w:val="18"/>
                <w:szCs w:val="18"/>
                <w:b w:val="1"/>
                <w:bCs w:val="1"/>
                <w:color w:val="auto"/>
              </w:rPr>
              <w:t>Unobservable Input</w:t>
            </w:r>
          </w:p>
        </w:tc>
        <w:tc>
          <w:tcPr>
            <w:tcW w:w="340" w:type="dxa"/>
            <w:vAlign w:val="bottom"/>
          </w:tcPr>
          <w:p>
            <w:pPr>
              <w:spacing w:after="0"/>
              <w:rPr>
                <w:sz w:val="20"/>
                <w:szCs w:val="20"/>
                <w:color w:val="auto"/>
              </w:rPr>
            </w:pPr>
          </w:p>
        </w:tc>
        <w:tc>
          <w:tcPr>
            <w:tcW w:w="3640" w:type="dxa"/>
            <w:vAlign w:val="bottom"/>
          </w:tcPr>
          <w:p>
            <w:pPr>
              <w:ind w:left="620"/>
              <w:spacing w:after="0"/>
              <w:rPr>
                <w:sz w:val="20"/>
                <w:szCs w:val="20"/>
                <w:color w:val="auto"/>
              </w:rPr>
            </w:pPr>
            <w:r>
              <w:rPr>
                <w:rFonts w:ascii="Arial" w:cs="Arial" w:eastAsia="Arial" w:hAnsi="Arial"/>
                <w:sz w:val="18"/>
                <w:szCs w:val="18"/>
                <w:b w:val="1"/>
                <w:bCs w:val="1"/>
                <w:color w:val="auto"/>
              </w:rPr>
              <w:t>Range (Weighted Average)</w:t>
            </w:r>
          </w:p>
        </w:tc>
      </w:tr>
      <w:tr>
        <w:trPr>
          <w:trHeight w:val="195"/>
        </w:trPr>
        <w:tc>
          <w:tcPr>
            <w:tcW w:w="17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207.8</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120" w:type="dxa"/>
            <w:vAlign w:val="bottom"/>
            <w:tcBorders>
              <w:top w:val="single" w:sz="8" w:color="CCEEFF"/>
            </w:tcBorders>
            <w:shd w:val="clear" w:color="auto" w:fill="CCEEFF"/>
          </w:tcPr>
          <w:p>
            <w:pPr>
              <w:spacing w:after="0"/>
              <w:rPr>
                <w:sz w:val="16"/>
                <w:szCs w:val="16"/>
                <w:color w:val="auto"/>
              </w:rPr>
            </w:pPr>
          </w:p>
        </w:tc>
        <w:tc>
          <w:tcPr>
            <w:tcW w:w="2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2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9.1% – 16.5% (12.6%)</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1.2x</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5.3x (3.4x)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 million – $118.7 million ($17.8 million)</w:t>
            </w: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First lien debt</w:t>
            </w:r>
          </w:p>
        </w:tc>
        <w:tc>
          <w:tcPr>
            <w:tcW w:w="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33.7</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Enterprise Value</w:t>
            </w:r>
          </w:p>
        </w:tc>
        <w:tc>
          <w:tcPr>
            <w:tcW w:w="26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1" w:lineRule="exact"/>
              <w:rPr>
                <w:sz w:val="20"/>
                <w:szCs w:val="20"/>
                <w:color w:val="auto"/>
              </w:rPr>
            </w:pPr>
            <w:r>
              <w:rPr>
                <w:rFonts w:ascii="Arial" w:cs="Arial" w:eastAsia="Arial" w:hAnsi="Arial"/>
                <w:sz w:val="18"/>
                <w:szCs w:val="18"/>
                <w:color w:val="auto"/>
                <w:w w:val="93"/>
              </w:rPr>
              <w:t>0.6x</w:t>
            </w:r>
          </w:p>
        </w:tc>
        <w:tc>
          <w:tcPr>
            <w:tcW w:w="3640" w:type="dxa"/>
            <w:vAlign w:val="bottom"/>
          </w:tcPr>
          <w:p>
            <w:pPr>
              <w:ind w:left="20"/>
              <w:spacing w:after="0" w:line="201" w:lineRule="exact"/>
              <w:rPr>
                <w:sz w:val="20"/>
                <w:szCs w:val="20"/>
                <w:color w:val="auto"/>
              </w:rPr>
            </w:pPr>
            <w:r>
              <w:rPr>
                <w:rFonts w:ascii="Arial" w:cs="Arial" w:eastAsia="Arial" w:hAnsi="Arial"/>
                <w:sz w:val="18"/>
                <w:szCs w:val="18"/>
                <w:color w:val="auto"/>
              </w:rPr>
              <w:t>– 5.0x (4.2x)</w:t>
            </w: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Waterfall</w:t>
            </w: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tcPr>
          <w:p>
            <w:pPr>
              <w:spacing w:after="0"/>
              <w:rPr>
                <w:sz w:val="20"/>
                <w:szCs w:val="20"/>
                <w:color w:val="auto"/>
              </w:rPr>
            </w:pPr>
            <w:r>
              <w:rPr>
                <w:rFonts w:ascii="Arial" w:cs="Arial" w:eastAsia="Arial" w:hAnsi="Arial"/>
                <w:sz w:val="18"/>
                <w:szCs w:val="18"/>
                <w:color w:val="auto"/>
              </w:rPr>
              <w:t>$0.1 million – $3.2 million ($2.4 million)</w:t>
            </w: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Revenue Multiple</w:t>
            </w: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1.0x – 1.0x (1.0x)</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Revenue</w:t>
            </w:r>
          </w:p>
        </w:tc>
        <w:tc>
          <w:tcPr>
            <w:tcW w:w="3980" w:type="dxa"/>
            <w:vAlign w:val="bottom"/>
            <w:gridSpan w:val="2"/>
          </w:tcPr>
          <w:p>
            <w:pPr>
              <w:spacing w:after="0"/>
              <w:rPr>
                <w:sz w:val="20"/>
                <w:szCs w:val="20"/>
                <w:color w:val="auto"/>
              </w:rPr>
            </w:pPr>
            <w:r>
              <w:rPr>
                <w:rFonts w:ascii="Arial" w:cs="Arial" w:eastAsia="Arial" w:hAnsi="Arial"/>
                <w:sz w:val="18"/>
                <w:szCs w:val="18"/>
                <w:color w:val="auto"/>
              </w:rPr>
              <w:t>$12.9 million – $12.9 million ($12.9 million)</w:t>
            </w: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16.1</w:t>
            </w: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6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14.6% – 16.5% (15.9%)</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4.6x</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5.0x (4.8x)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$67.0 million – $79.2 million ($75.6 million)</w:t>
            </w: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Second lien debt</w:t>
            </w:r>
          </w:p>
        </w:tc>
        <w:tc>
          <w:tcPr>
            <w:tcW w:w="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17.3</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Enterprise Value</w:t>
            </w:r>
          </w:p>
        </w:tc>
        <w:tc>
          <w:tcPr>
            <w:tcW w:w="26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1" w:lineRule="exact"/>
              <w:rPr>
                <w:sz w:val="20"/>
                <w:szCs w:val="20"/>
                <w:color w:val="auto"/>
              </w:rPr>
            </w:pPr>
            <w:r>
              <w:rPr>
                <w:rFonts w:ascii="Arial" w:cs="Arial" w:eastAsia="Arial" w:hAnsi="Arial"/>
                <w:sz w:val="18"/>
                <w:szCs w:val="18"/>
                <w:color w:val="auto"/>
                <w:w w:val="93"/>
              </w:rPr>
              <w:t>6.3x</w:t>
            </w:r>
          </w:p>
        </w:tc>
        <w:tc>
          <w:tcPr>
            <w:tcW w:w="3640" w:type="dxa"/>
            <w:vAlign w:val="bottom"/>
          </w:tcPr>
          <w:p>
            <w:pPr>
              <w:ind w:left="20"/>
              <w:spacing w:after="0" w:line="201" w:lineRule="exact"/>
              <w:rPr>
                <w:sz w:val="20"/>
                <w:szCs w:val="20"/>
                <w:color w:val="auto"/>
              </w:rPr>
            </w:pPr>
            <w:r>
              <w:rPr>
                <w:rFonts w:ascii="Arial" w:cs="Arial" w:eastAsia="Arial" w:hAnsi="Arial"/>
                <w:sz w:val="18"/>
                <w:szCs w:val="18"/>
                <w:color w:val="auto"/>
              </w:rPr>
              <w:t>– 6.3x (6.3x)</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Waterfall</w:t>
            </w: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tcPr>
          <w:p>
            <w:pPr>
              <w:spacing w:after="0"/>
              <w:rPr>
                <w:sz w:val="20"/>
                <w:szCs w:val="20"/>
                <w:color w:val="auto"/>
              </w:rPr>
            </w:pPr>
            <w:r>
              <w:rPr>
                <w:rFonts w:ascii="Arial" w:cs="Arial" w:eastAsia="Arial" w:hAnsi="Arial"/>
                <w:sz w:val="18"/>
                <w:szCs w:val="18"/>
                <w:color w:val="auto"/>
              </w:rPr>
              <w:t>$7.0 million – $7.0 million ($7.0 million)</w:t>
            </w: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49.6</w:t>
            </w: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6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11.5% – 22.0% (14.7%)</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2.8x</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9.2x (5.3x)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 million – $16.7 million ($10.8 million)</w:t>
            </w: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Subordinated debt</w:t>
            </w:r>
          </w:p>
        </w:tc>
        <w:tc>
          <w:tcPr>
            <w:tcW w:w="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23.9</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Enterprise Value</w:t>
            </w:r>
          </w:p>
        </w:tc>
        <w:tc>
          <w:tcPr>
            <w:tcW w:w="26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1" w:lineRule="exact"/>
              <w:rPr>
                <w:sz w:val="20"/>
                <w:szCs w:val="20"/>
                <w:color w:val="auto"/>
              </w:rPr>
            </w:pPr>
            <w:r>
              <w:rPr>
                <w:rFonts w:ascii="Arial" w:cs="Arial" w:eastAsia="Arial" w:hAnsi="Arial"/>
                <w:sz w:val="18"/>
                <w:szCs w:val="18"/>
                <w:color w:val="auto"/>
                <w:w w:val="93"/>
              </w:rPr>
              <w:t>6.0x</w:t>
            </w:r>
          </w:p>
        </w:tc>
        <w:tc>
          <w:tcPr>
            <w:tcW w:w="3640" w:type="dxa"/>
            <w:vAlign w:val="bottom"/>
          </w:tcPr>
          <w:p>
            <w:pPr>
              <w:ind w:left="20"/>
              <w:spacing w:after="0" w:line="201" w:lineRule="exact"/>
              <w:rPr>
                <w:sz w:val="20"/>
                <w:szCs w:val="20"/>
                <w:color w:val="auto"/>
              </w:rPr>
            </w:pPr>
            <w:r>
              <w:rPr>
                <w:rFonts w:ascii="Arial" w:cs="Arial" w:eastAsia="Arial" w:hAnsi="Arial"/>
                <w:sz w:val="18"/>
                <w:szCs w:val="18"/>
                <w:color w:val="auto"/>
              </w:rPr>
              <w:t>– 8.0x (7.9x)</w:t>
            </w: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Waterfall and</w:t>
            </w: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tcPr>
          <w:p>
            <w:pPr>
              <w:spacing w:after="0"/>
              <w:rPr>
                <w:sz w:val="20"/>
                <w:szCs w:val="20"/>
                <w:color w:val="auto"/>
              </w:rPr>
            </w:pPr>
            <w:r>
              <w:rPr>
                <w:rFonts w:ascii="Arial" w:cs="Arial" w:eastAsia="Arial" w:hAnsi="Arial"/>
                <w:sz w:val="18"/>
                <w:szCs w:val="18"/>
                <w:color w:val="auto"/>
              </w:rPr>
              <w:t>$1.8 million – $2.9 million ($2.8 million)</w:t>
            </w:r>
          </w:p>
        </w:tc>
      </w:tr>
      <w:tr>
        <w:trPr>
          <w:trHeight w:val="217"/>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line="217" w:lineRule="exact"/>
              <w:rPr>
                <w:sz w:val="20"/>
                <w:szCs w:val="20"/>
                <w:color w:val="auto"/>
              </w:rPr>
            </w:pPr>
            <w:r>
              <w:rPr>
                <w:rFonts w:ascii="Arial" w:cs="Arial" w:eastAsia="Arial" w:hAnsi="Arial"/>
                <w:sz w:val="16"/>
                <w:szCs w:val="16"/>
                <w:color w:val="auto"/>
              </w:rPr>
              <w:t>Asset</w:t>
            </w:r>
            <w:r>
              <w:rPr>
                <w:rFonts w:ascii="Arial" w:cs="Arial" w:eastAsia="Arial" w:hAnsi="Arial"/>
                <w:sz w:val="25"/>
                <w:szCs w:val="25"/>
                <w:color w:val="auto"/>
                <w:vertAlign w:val="superscript"/>
              </w:rPr>
              <w:t>(1)</w:t>
            </w: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Revenue Multiple</w:t>
            </w: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0.4x – 0.4x (0.4x)</w:t>
            </w:r>
          </w:p>
        </w:tc>
      </w:tr>
      <w:tr>
        <w:trPr>
          <w:trHeight w:val="230"/>
        </w:trPr>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Revenue</w:t>
            </w:r>
          </w:p>
        </w:tc>
        <w:tc>
          <w:tcPr>
            <w:tcW w:w="3980" w:type="dxa"/>
            <w:vAlign w:val="bottom"/>
            <w:gridSpan w:val="2"/>
          </w:tcPr>
          <w:p>
            <w:pPr>
              <w:spacing w:after="0"/>
              <w:rPr>
                <w:sz w:val="20"/>
                <w:szCs w:val="20"/>
                <w:color w:val="auto"/>
              </w:rPr>
            </w:pPr>
            <w:r>
              <w:rPr>
                <w:rFonts w:ascii="Arial" w:cs="Arial" w:eastAsia="Arial" w:hAnsi="Arial"/>
                <w:sz w:val="18"/>
                <w:szCs w:val="18"/>
                <w:color w:val="auto"/>
              </w:rPr>
              <w:t>$572.9 million – $572.9 million ($572.9 million)</w:t>
            </w: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and warrants</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83.5</w:t>
            </w: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Enterprise Value</w:t>
            </w:r>
          </w:p>
        </w:tc>
        <w:tc>
          <w:tcPr>
            <w:tcW w:w="26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4.0x</w:t>
            </w:r>
          </w:p>
        </w:tc>
        <w:tc>
          <w:tcPr>
            <w:tcW w:w="36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14.0x (7.0x)</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Waterfall</w:t>
            </w: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 million – $22.1 million ($12.7 million)</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 Multiple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0.4x</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0.6x (0.4x)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$17.0 million – $572.9 million ($372.0 million)</w:t>
            </w:r>
          </w:p>
        </w:tc>
      </w:tr>
    </w:tbl>
    <w:p>
      <w:pPr>
        <w:spacing w:after="0" w:line="20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$0.7 million in subordinated debt was valued using the asset approach.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the Company’s $13.9 million investment in CSLF II, measured at NAV.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right="2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2018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Fair Value</w:t>
            </w:r>
            <w:r>
              <w:rPr>
                <w:rFonts w:ascii="Arial" w:cs="Arial" w:eastAsia="Arial" w:hAnsi="Arial"/>
                <w:sz w:val="30"/>
                <w:szCs w:val="30"/>
                <w:b w:val="1"/>
                <w:bCs w:val="1"/>
                <w:color w:val="auto"/>
                <w:w w:val="86"/>
                <w:vertAlign w:val="superscript"/>
              </w:rPr>
              <w:t>(2)</w:t>
            </w:r>
          </w:p>
        </w:tc>
        <w:tc>
          <w:tcPr>
            <w:tcW w:w="1360" w:type="dxa"/>
            <w:vAlign w:val="bottom"/>
          </w:tcPr>
          <w:p>
            <w:pPr>
              <w:ind w:left="320"/>
              <w:spacing w:after="0"/>
              <w:rPr>
                <w:sz w:val="20"/>
                <w:szCs w:val="20"/>
                <w:color w:val="auto"/>
              </w:rPr>
            </w:pPr>
            <w:r>
              <w:rPr>
                <w:rFonts w:ascii="Arial" w:cs="Arial" w:eastAsia="Arial" w:hAnsi="Arial"/>
                <w:sz w:val="18"/>
                <w:szCs w:val="18"/>
                <w:b w:val="1"/>
                <w:bCs w:val="1"/>
                <w:color w:val="auto"/>
              </w:rPr>
              <w:t>Valuation</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 millions)</w:t>
            </w:r>
          </w:p>
        </w:tc>
        <w:tc>
          <w:tcPr>
            <w:tcW w:w="1360" w:type="dxa"/>
            <w:vAlign w:val="bottom"/>
          </w:tcPr>
          <w:p>
            <w:pPr>
              <w:ind w:left="300"/>
              <w:spacing w:after="0"/>
              <w:rPr>
                <w:sz w:val="20"/>
                <w:szCs w:val="20"/>
                <w:color w:val="auto"/>
              </w:rPr>
            </w:pPr>
            <w:r>
              <w:rPr>
                <w:rFonts w:ascii="Arial" w:cs="Arial" w:eastAsia="Arial" w:hAnsi="Arial"/>
                <w:sz w:val="18"/>
                <w:szCs w:val="18"/>
                <w:b w:val="1"/>
                <w:bCs w:val="1"/>
                <w:color w:val="auto"/>
              </w:rPr>
              <w:t>Approach</w:t>
            </w:r>
          </w:p>
        </w:tc>
        <w:tc>
          <w:tcPr>
            <w:tcW w:w="120" w:type="dxa"/>
            <w:vAlign w:val="bottom"/>
          </w:tcPr>
          <w:p>
            <w:pPr>
              <w:spacing w:after="0"/>
              <w:rPr>
                <w:sz w:val="20"/>
                <w:szCs w:val="20"/>
                <w:color w:val="auto"/>
              </w:rPr>
            </w:pPr>
          </w:p>
        </w:tc>
        <w:tc>
          <w:tcPr>
            <w:tcW w:w="2500" w:type="dxa"/>
            <w:vAlign w:val="bottom"/>
            <w:gridSpan w:val="2"/>
          </w:tcPr>
          <w:p>
            <w:pPr>
              <w:ind w:left="420"/>
              <w:spacing w:after="0"/>
              <w:rPr>
                <w:sz w:val="20"/>
                <w:szCs w:val="20"/>
                <w:color w:val="auto"/>
              </w:rPr>
            </w:pPr>
            <w:r>
              <w:rPr>
                <w:rFonts w:ascii="Arial" w:cs="Arial" w:eastAsia="Arial" w:hAnsi="Arial"/>
                <w:sz w:val="18"/>
                <w:szCs w:val="18"/>
                <w:b w:val="1"/>
                <w:bCs w:val="1"/>
                <w:color w:val="auto"/>
              </w:rPr>
              <w:t>Unobservable Input</w:t>
            </w:r>
          </w:p>
        </w:tc>
        <w:tc>
          <w:tcPr>
            <w:tcW w:w="340" w:type="dxa"/>
            <w:vAlign w:val="bottom"/>
          </w:tcPr>
          <w:p>
            <w:pPr>
              <w:spacing w:after="0"/>
              <w:rPr>
                <w:sz w:val="20"/>
                <w:szCs w:val="20"/>
                <w:color w:val="auto"/>
              </w:rPr>
            </w:pPr>
          </w:p>
        </w:tc>
        <w:tc>
          <w:tcPr>
            <w:tcW w:w="3640" w:type="dxa"/>
            <w:vAlign w:val="bottom"/>
          </w:tcPr>
          <w:p>
            <w:pPr>
              <w:ind w:left="620"/>
              <w:spacing w:after="0"/>
              <w:rPr>
                <w:sz w:val="20"/>
                <w:szCs w:val="20"/>
                <w:color w:val="auto"/>
              </w:rPr>
            </w:pPr>
            <w:r>
              <w:rPr>
                <w:rFonts w:ascii="Arial" w:cs="Arial" w:eastAsia="Arial" w:hAnsi="Arial"/>
                <w:sz w:val="18"/>
                <w:szCs w:val="18"/>
                <w:b w:val="1"/>
                <w:bCs w:val="1"/>
                <w:color w:val="auto"/>
              </w:rPr>
              <w:t>Range (Weighted Average)</w:t>
            </w:r>
          </w:p>
        </w:tc>
      </w:tr>
      <w:tr>
        <w:trPr>
          <w:trHeight w:val="195"/>
        </w:trPr>
        <w:tc>
          <w:tcPr>
            <w:tcW w:w="17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195.1</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120" w:type="dxa"/>
            <w:vAlign w:val="bottom"/>
            <w:tcBorders>
              <w:top w:val="single" w:sz="8" w:color="CCEEFF"/>
            </w:tcBorders>
            <w:shd w:val="clear" w:color="auto" w:fill="CCEEFF"/>
          </w:tcPr>
          <w:p>
            <w:pPr>
              <w:spacing w:after="0"/>
              <w:rPr>
                <w:sz w:val="16"/>
                <w:szCs w:val="16"/>
                <w:color w:val="auto"/>
              </w:rPr>
            </w:pPr>
          </w:p>
        </w:tc>
        <w:tc>
          <w:tcPr>
            <w:tcW w:w="2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12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9.2% – 16.0% (12.1%)</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1.0x</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13.5x (4.3x)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 million – $118.7 million ($17.6 million)</w:t>
            </w: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First lien debt</w:t>
            </w:r>
          </w:p>
        </w:tc>
        <w:tc>
          <w:tcPr>
            <w:tcW w:w="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42.5</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Enterprise Value</w:t>
            </w:r>
          </w:p>
        </w:tc>
        <w:tc>
          <w:tcPr>
            <w:tcW w:w="26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1" w:lineRule="exact"/>
              <w:rPr>
                <w:sz w:val="20"/>
                <w:szCs w:val="20"/>
                <w:color w:val="auto"/>
              </w:rPr>
            </w:pPr>
            <w:r>
              <w:rPr>
                <w:rFonts w:ascii="Arial" w:cs="Arial" w:eastAsia="Arial" w:hAnsi="Arial"/>
                <w:sz w:val="18"/>
                <w:szCs w:val="18"/>
                <w:color w:val="auto"/>
                <w:w w:val="93"/>
              </w:rPr>
              <w:t>4.0x</w:t>
            </w:r>
          </w:p>
        </w:tc>
        <w:tc>
          <w:tcPr>
            <w:tcW w:w="3640" w:type="dxa"/>
            <w:vAlign w:val="bottom"/>
          </w:tcPr>
          <w:p>
            <w:pPr>
              <w:ind w:left="20"/>
              <w:spacing w:after="0" w:line="201" w:lineRule="exact"/>
              <w:rPr>
                <w:sz w:val="20"/>
                <w:szCs w:val="20"/>
                <w:color w:val="auto"/>
              </w:rPr>
            </w:pPr>
            <w:r>
              <w:rPr>
                <w:rFonts w:ascii="Arial" w:cs="Arial" w:eastAsia="Arial" w:hAnsi="Arial"/>
                <w:sz w:val="18"/>
                <w:szCs w:val="18"/>
                <w:color w:val="auto"/>
              </w:rPr>
              <w:t>– 6.0x (5.3x)</w:t>
            </w: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Waterfall and</w:t>
            </w: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tcPr>
          <w:p>
            <w:pPr>
              <w:spacing w:after="0"/>
              <w:rPr>
                <w:sz w:val="20"/>
                <w:szCs w:val="20"/>
                <w:color w:val="auto"/>
              </w:rPr>
            </w:pPr>
            <w:r>
              <w:rPr>
                <w:rFonts w:ascii="Arial" w:cs="Arial" w:eastAsia="Arial" w:hAnsi="Arial"/>
                <w:sz w:val="18"/>
                <w:szCs w:val="18"/>
                <w:color w:val="auto"/>
              </w:rPr>
              <w:t>$0.6 million – $3.7 million ($2.3 million)</w:t>
            </w:r>
          </w:p>
        </w:tc>
      </w:tr>
      <w:tr>
        <w:trPr>
          <w:trHeight w:val="217"/>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line="217" w:lineRule="exact"/>
              <w:rPr>
                <w:sz w:val="20"/>
                <w:szCs w:val="20"/>
                <w:color w:val="auto"/>
              </w:rPr>
            </w:pPr>
            <w:r>
              <w:rPr>
                <w:rFonts w:ascii="Arial" w:cs="Arial" w:eastAsia="Arial" w:hAnsi="Arial"/>
                <w:sz w:val="16"/>
                <w:szCs w:val="16"/>
                <w:color w:val="auto"/>
              </w:rPr>
              <w:t xml:space="preserve">Asset </w:t>
            </w:r>
            <w:r>
              <w:rPr>
                <w:rFonts w:ascii="Arial" w:cs="Arial" w:eastAsia="Arial" w:hAnsi="Arial"/>
                <w:sz w:val="25"/>
                <w:szCs w:val="25"/>
                <w:color w:val="auto"/>
                <w:vertAlign w:val="superscript"/>
              </w:rPr>
              <w:t>(1)</w:t>
            </w: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Revenue Multiple</w:t>
            </w: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0.9x – 0.9x (0.9x)</w:t>
            </w:r>
          </w:p>
        </w:tc>
      </w:tr>
      <w:tr>
        <w:trPr>
          <w:trHeight w:val="230"/>
        </w:trPr>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Revenue</w:t>
            </w:r>
          </w:p>
        </w:tc>
        <w:tc>
          <w:tcPr>
            <w:tcW w:w="3980" w:type="dxa"/>
            <w:vAlign w:val="bottom"/>
            <w:gridSpan w:val="2"/>
          </w:tcPr>
          <w:p>
            <w:pPr>
              <w:spacing w:after="0"/>
              <w:rPr>
                <w:sz w:val="20"/>
                <w:szCs w:val="20"/>
                <w:color w:val="auto"/>
              </w:rPr>
            </w:pPr>
            <w:r>
              <w:rPr>
                <w:rFonts w:ascii="Arial" w:cs="Arial" w:eastAsia="Arial" w:hAnsi="Arial"/>
                <w:sz w:val="18"/>
                <w:szCs w:val="18"/>
                <w:color w:val="auto"/>
              </w:rPr>
              <w:t>$13.0 million – $13.0 million ($13.0 million)</w:t>
            </w: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16.2</w:t>
            </w: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6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12.5% – 15.5% (14.6%)</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4.6x</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5.0x (4.8x)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$67.0 million – $79.2 million ($75.5 million)</w:t>
            </w: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Second lien debt</w:t>
            </w:r>
          </w:p>
        </w:tc>
        <w:tc>
          <w:tcPr>
            <w:tcW w:w="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16.3</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Enterprise Value</w:t>
            </w:r>
          </w:p>
        </w:tc>
        <w:tc>
          <w:tcPr>
            <w:tcW w:w="26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1" w:lineRule="exact"/>
              <w:rPr>
                <w:sz w:val="20"/>
                <w:szCs w:val="20"/>
                <w:color w:val="auto"/>
              </w:rPr>
            </w:pPr>
            <w:r>
              <w:rPr>
                <w:rFonts w:ascii="Arial" w:cs="Arial" w:eastAsia="Arial" w:hAnsi="Arial"/>
                <w:sz w:val="18"/>
                <w:szCs w:val="18"/>
                <w:color w:val="auto"/>
                <w:w w:val="93"/>
              </w:rPr>
              <w:t>5.6x</w:t>
            </w:r>
          </w:p>
        </w:tc>
        <w:tc>
          <w:tcPr>
            <w:tcW w:w="3640" w:type="dxa"/>
            <w:vAlign w:val="bottom"/>
          </w:tcPr>
          <w:p>
            <w:pPr>
              <w:ind w:left="20"/>
              <w:spacing w:after="0" w:line="201" w:lineRule="exact"/>
              <w:rPr>
                <w:sz w:val="20"/>
                <w:szCs w:val="20"/>
                <w:color w:val="auto"/>
              </w:rPr>
            </w:pPr>
            <w:r>
              <w:rPr>
                <w:rFonts w:ascii="Arial" w:cs="Arial" w:eastAsia="Arial" w:hAnsi="Arial"/>
                <w:sz w:val="18"/>
                <w:szCs w:val="18"/>
                <w:color w:val="auto"/>
              </w:rPr>
              <w:t>– 5.6x (5.6x)</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Waterfall</w:t>
            </w: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tcPr>
          <w:p>
            <w:pPr>
              <w:spacing w:after="0"/>
              <w:rPr>
                <w:sz w:val="20"/>
                <w:szCs w:val="20"/>
                <w:color w:val="auto"/>
              </w:rPr>
            </w:pPr>
            <w:r>
              <w:rPr>
                <w:rFonts w:ascii="Arial" w:cs="Arial" w:eastAsia="Arial" w:hAnsi="Arial"/>
                <w:sz w:val="18"/>
                <w:szCs w:val="18"/>
                <w:color w:val="auto"/>
              </w:rPr>
              <w:t>$9.2 million – $9.2 million ($9.2 million)</w:t>
            </w: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49.3</w:t>
            </w: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6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Required Rate of Return</w:t>
            </w:r>
          </w:p>
        </w:tc>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11.5% – 20.0% (14.1%)</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3.1x</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9.1x (5.7x)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 million – $15.8 million ($10.5 million)</w:t>
            </w: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Subordinated debt</w:t>
            </w:r>
          </w:p>
        </w:tc>
        <w:tc>
          <w:tcPr>
            <w:tcW w:w="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23.8</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Enterprise Value</w:t>
            </w:r>
          </w:p>
        </w:tc>
        <w:tc>
          <w:tcPr>
            <w:tcW w:w="26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1" w:lineRule="exact"/>
              <w:rPr>
                <w:sz w:val="20"/>
                <w:szCs w:val="20"/>
                <w:color w:val="auto"/>
              </w:rPr>
            </w:pPr>
            <w:r>
              <w:rPr>
                <w:rFonts w:ascii="Arial" w:cs="Arial" w:eastAsia="Arial" w:hAnsi="Arial"/>
                <w:sz w:val="18"/>
                <w:szCs w:val="18"/>
                <w:color w:val="auto"/>
                <w:w w:val="93"/>
              </w:rPr>
              <w:t>6.0x</w:t>
            </w:r>
          </w:p>
        </w:tc>
        <w:tc>
          <w:tcPr>
            <w:tcW w:w="3640" w:type="dxa"/>
            <w:vAlign w:val="bottom"/>
          </w:tcPr>
          <w:p>
            <w:pPr>
              <w:ind w:left="20"/>
              <w:spacing w:after="0" w:line="201" w:lineRule="exact"/>
              <w:rPr>
                <w:sz w:val="20"/>
                <w:szCs w:val="20"/>
                <w:color w:val="auto"/>
              </w:rPr>
            </w:pPr>
            <w:r>
              <w:rPr>
                <w:rFonts w:ascii="Arial" w:cs="Arial" w:eastAsia="Arial" w:hAnsi="Arial"/>
                <w:sz w:val="18"/>
                <w:szCs w:val="18"/>
                <w:color w:val="auto"/>
              </w:rPr>
              <w:t>– 8.0x (7.9x)</w:t>
            </w: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Waterfall and</w:t>
            </w: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tcPr>
          <w:p>
            <w:pPr>
              <w:spacing w:after="0"/>
              <w:rPr>
                <w:sz w:val="20"/>
                <w:szCs w:val="20"/>
                <w:color w:val="auto"/>
              </w:rPr>
            </w:pPr>
            <w:r>
              <w:rPr>
                <w:rFonts w:ascii="Arial" w:cs="Arial" w:eastAsia="Arial" w:hAnsi="Arial"/>
                <w:sz w:val="18"/>
                <w:szCs w:val="18"/>
                <w:color w:val="auto"/>
              </w:rPr>
              <w:t>$1.7 million – $3.1 million ($3.0 million)</w:t>
            </w:r>
          </w:p>
        </w:tc>
      </w:tr>
      <w:tr>
        <w:trPr>
          <w:trHeight w:val="217"/>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line="217" w:lineRule="exact"/>
              <w:rPr>
                <w:sz w:val="20"/>
                <w:szCs w:val="20"/>
                <w:color w:val="auto"/>
              </w:rPr>
            </w:pPr>
            <w:r>
              <w:rPr>
                <w:rFonts w:ascii="Arial" w:cs="Arial" w:eastAsia="Arial" w:hAnsi="Arial"/>
                <w:sz w:val="16"/>
                <w:szCs w:val="16"/>
                <w:color w:val="auto"/>
              </w:rPr>
              <w:t xml:space="preserve">Asset </w:t>
            </w:r>
            <w:r>
              <w:rPr>
                <w:rFonts w:ascii="Arial" w:cs="Arial" w:eastAsia="Arial" w:hAnsi="Arial"/>
                <w:sz w:val="25"/>
                <w:szCs w:val="25"/>
                <w:color w:val="auto"/>
                <w:vertAlign w:val="superscript"/>
              </w:rPr>
              <w:t>(1)</w:t>
            </w: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Revenue Multiple</w:t>
            </w: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0.4x – 0.4x (0.4x)</w:t>
            </w:r>
          </w:p>
        </w:tc>
      </w:tr>
      <w:tr>
        <w:trPr>
          <w:trHeight w:val="230"/>
        </w:trPr>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20" w:type="dxa"/>
            <w:vAlign w:val="bottom"/>
            <w:gridSpan w:val="3"/>
          </w:tcPr>
          <w:p>
            <w:pPr>
              <w:ind w:left="120"/>
              <w:spacing w:after="0"/>
              <w:rPr>
                <w:sz w:val="20"/>
                <w:szCs w:val="20"/>
                <w:color w:val="auto"/>
              </w:rPr>
            </w:pPr>
            <w:r>
              <w:rPr>
                <w:rFonts w:ascii="Arial" w:cs="Arial" w:eastAsia="Arial" w:hAnsi="Arial"/>
                <w:sz w:val="18"/>
                <w:szCs w:val="18"/>
                <w:color w:val="auto"/>
              </w:rPr>
              <w:t>Revenue</w:t>
            </w:r>
          </w:p>
        </w:tc>
        <w:tc>
          <w:tcPr>
            <w:tcW w:w="3980" w:type="dxa"/>
            <w:vAlign w:val="bottom"/>
            <w:gridSpan w:val="2"/>
          </w:tcPr>
          <w:p>
            <w:pPr>
              <w:spacing w:after="0"/>
              <w:rPr>
                <w:sz w:val="20"/>
                <w:szCs w:val="20"/>
                <w:color w:val="auto"/>
              </w:rPr>
            </w:pPr>
            <w:r>
              <w:rPr>
                <w:rFonts w:ascii="Arial" w:cs="Arial" w:eastAsia="Arial" w:hAnsi="Arial"/>
                <w:sz w:val="18"/>
                <w:szCs w:val="18"/>
                <w:color w:val="auto"/>
              </w:rPr>
              <w:t>$568.2 million – $568.2 million ($568.2 million)</w:t>
            </w: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and warrants</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92.1</w:t>
            </w: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Enterprise Value</w:t>
            </w:r>
          </w:p>
        </w:tc>
        <w:tc>
          <w:tcPr>
            <w:tcW w:w="26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3.3x</w:t>
            </w:r>
          </w:p>
        </w:tc>
        <w:tc>
          <w:tcPr>
            <w:tcW w:w="36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14.0x (6.5x)</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Waterfall</w:t>
            </w: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 million – $112.3 million ($27.8 million)</w:t>
            </w: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 Multiple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0.4x</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0.4x (0.4x)</w:t>
            </w: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$164.6 million – $568.2 million ($455.1 million)</w:t>
            </w:r>
          </w:p>
        </w:tc>
      </w:tr>
    </w:tbl>
    <w:p>
      <w:pPr>
        <w:spacing w:after="0" w:line="20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$0.7 million in subordinated debt and $2.9 million in first lien debt were valued using the asset approach.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the Company’s $13.7 million investment in CSLF II, measured at NAV.</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2018, Capitala and Trinity Universal Insurance Company (“Trinity”), a subsidiary of Kemper Corporation, entered into a limited liability company agreement (the “LLC Agreement”) to co-manage CSLF II. The purpose and design of the joint venture is to invest primarily in senior secured first-out loans. Capitala and Trinity have committed to provide $25.0 million of equity to CSLF II, with Capitala providing $20.0 million and Trinity providing $5.0 million. Capitala and Trinity each appointed two members to CSLF II’s four-person board of directors and investment committee. All material decisions with respect to CSLF II, including those involving its investment portfolio, require approval of a member on the board of directors and investment committee of at least one member representing Capitala and Trinity,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648"/>
        <w:spacing w:after="0" w:line="257" w:lineRule="auto"/>
        <w:rPr>
          <w:sz w:val="20"/>
          <w:szCs w:val="20"/>
          <w:color w:val="auto"/>
        </w:rPr>
      </w:pPr>
      <w:r>
        <w:rPr>
          <w:rFonts w:ascii="Arial" w:cs="Arial" w:eastAsia="Arial" w:hAnsi="Arial"/>
          <w:sz w:val="18"/>
          <w:szCs w:val="18"/>
          <w:color w:val="auto"/>
        </w:rPr>
        <w:t>As of March 31, 2019, $13.6 million and $3.4 million in equity capital had been contributed by Capitala and Trinity, respectively. As of March 31, 2019, the Company and Trinity had $6.4 million and $1.6 million of unfunded equity capital commitments outstanding, respectively. As of December 31, 2018, $13.6 million and $3.4 million in equity capital had been contributed by Capitala and Trinity, respectively. As of December 31, 2018, the Company and Trinity had $6.4 million and $1.6 million of unfunded equity capital commitments outstanding, respectively. The Company’s equity investment in CSLF II is not redeemable.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CSLF II’s portfolio as of March 31, 2019 and December 31, 2018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March 31, 2019</w:t>
            </w:r>
          </w:p>
        </w:tc>
        <w:tc>
          <w:tcPr>
            <w:tcW w:w="28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 2018</w:t>
            </w:r>
          </w:p>
        </w:tc>
        <w:tc>
          <w:tcPr>
            <w:tcW w:w="0" w:type="dxa"/>
            <w:vAlign w:val="bottom"/>
          </w:tcPr>
          <w:p>
            <w:pPr>
              <w:spacing w:after="0"/>
              <w:rPr>
                <w:sz w:val="1"/>
                <w:szCs w:val="1"/>
                <w:color w:val="auto"/>
              </w:rPr>
            </w:pPr>
          </w:p>
        </w:tc>
      </w:tr>
      <w:tr>
        <w:trPr>
          <w:trHeight w:val="20"/>
        </w:trPr>
        <w:tc>
          <w:tcPr>
            <w:tcW w:w="6200" w:type="dxa"/>
            <w:vAlign w:val="bottom"/>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First lien loans </w:t>
            </w:r>
            <w:r>
              <w:rPr>
                <w:rFonts w:ascii="Arial" w:cs="Arial" w:eastAsia="Arial" w:hAnsi="Arial"/>
                <w:sz w:val="29"/>
                <w:szCs w:val="29"/>
                <w:color w:val="auto"/>
                <w:vertAlign w:val="superscript"/>
              </w:rPr>
              <w:t>(1)</w:t>
            </w:r>
          </w:p>
        </w:tc>
        <w:tc>
          <w:tcPr>
            <w:tcW w:w="2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vMerge w:val="continue"/>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16,725</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Weighted average current interest rate on first lien loans</w:t>
            </w: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CSLF II</w:t>
            </w:r>
          </w:p>
        </w:tc>
        <w:tc>
          <w:tcPr>
            <w:tcW w:w="2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200" w:type="dxa"/>
            <w:vAlign w:val="bottom"/>
          </w:tcPr>
          <w:p>
            <w:pPr>
              <w:spacing w:after="0" w:line="256" w:lineRule="exact"/>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29"/>
                <w:szCs w:val="29"/>
                <w:color w:val="auto"/>
                <w:vertAlign w:val="superscript"/>
              </w:rPr>
              <w:t>(1)</w:t>
            </w:r>
          </w:p>
        </w:tc>
        <w:tc>
          <w:tcPr>
            <w:tcW w:w="2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6,750</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of five largest portfolio company investments </w:t>
            </w:r>
            <w:r>
              <w:rPr>
                <w:rFonts w:ascii="Arial" w:cs="Arial" w:eastAsia="Arial" w:hAnsi="Arial"/>
                <w:sz w:val="29"/>
                <w:szCs w:val="29"/>
                <w:color w:val="auto"/>
                <w:vertAlign w:val="superscript"/>
              </w:rPr>
              <w:t>(1)(2)</w:t>
            </w:r>
          </w:p>
        </w:tc>
        <w:tc>
          <w:tcPr>
            <w:tcW w:w="2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16,725</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principal amount outstanding at period end.</w:t>
      </w:r>
    </w:p>
    <w:p>
      <w:pPr>
        <w:spacing w:after="0" w:line="225" w:lineRule="exact"/>
        <w:rPr>
          <w:rFonts w:ascii="Arial" w:cs="Arial" w:eastAsia="Arial" w:hAnsi="Arial"/>
          <w:sz w:val="18"/>
          <w:szCs w:val="18"/>
          <w:color w:val="auto"/>
        </w:rPr>
      </w:pPr>
    </w:p>
    <w:p>
      <w:pPr>
        <w:ind w:left="660" w:right="2680" w:hanging="652"/>
        <w:spacing w:after="0" w:line="498" w:lineRule="auto"/>
        <w:tabs>
          <w:tab w:leader="none" w:pos="3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three investments and two investments outstanding as of March 31, 2019 and December 31, 2018, respectively. Below is CSLF II’s schedule of investments as of 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Senior Loan Fund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14"/>
                <w:szCs w:val="14"/>
                <w:color w:val="auto"/>
              </w:rPr>
            </w:pPr>
          </w:p>
        </w:tc>
        <w:tc>
          <w:tcPr>
            <w:tcW w:w="19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320" w:type="dxa"/>
            <w:vAlign w:val="bottom"/>
          </w:tcPr>
          <w:p>
            <w:pPr>
              <w:spacing w:after="0"/>
              <w:rPr>
                <w:sz w:val="14"/>
                <w:szCs w:val="14"/>
                <w:color w:val="auto"/>
              </w:rPr>
            </w:pPr>
          </w:p>
        </w:tc>
        <w:tc>
          <w:tcPr>
            <w:tcW w:w="312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Type of Investment</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at Fair Value</w:t>
            </w:r>
          </w:p>
        </w:tc>
        <w:tc>
          <w:tcPr>
            <w:tcW w:w="12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U.S. BioTek Laboratories, LLC</w:t>
            </w:r>
          </w:p>
        </w:tc>
        <w:tc>
          <w:tcPr>
            <w:tcW w:w="20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Testing Laboratories</w:t>
            </w:r>
          </w:p>
        </w:tc>
        <w:tc>
          <w:tcPr>
            <w:tcW w:w="3440" w:type="dxa"/>
            <w:vAlign w:val="bottom"/>
            <w:gridSpan w:val="3"/>
          </w:tcPr>
          <w:p>
            <w:pPr>
              <w:spacing w:after="0" w:line="130" w:lineRule="exact"/>
              <w:rPr>
                <w:sz w:val="20"/>
                <w:szCs w:val="20"/>
                <w:color w:val="auto"/>
              </w:rPr>
            </w:pPr>
            <w:r>
              <w:rPr>
                <w:rFonts w:ascii="Arial" w:cs="Arial" w:eastAsia="Arial" w:hAnsi="Arial"/>
                <w:sz w:val="14"/>
                <w:szCs w:val="14"/>
                <w:color w:val="auto"/>
              </w:rPr>
              <w:t>First Lien Debt (7.6% Cash (3 month LIBOR + 5.0%,</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color w:val="auto"/>
                <w:w w:val="93"/>
              </w:rPr>
              <w:t>2.0%</w:t>
            </w: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Floor), Due 12/14/23)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4,489</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4,489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4,489</w:t>
            </w: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20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Electronic Machine Repair</w:t>
            </w:r>
          </w:p>
        </w:tc>
        <w:tc>
          <w:tcPr>
            <w:tcW w:w="3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First Lien Debt (7.5% Cash (1 month LIBOR + 5.0%,</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w w:val="93"/>
              </w:rPr>
              <w:t>2.0%</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Floor), Due 12/20/23)</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5,486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5,486</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RAM Payment, LLC</w:t>
            </w:r>
          </w:p>
        </w:tc>
        <w:tc>
          <w:tcPr>
            <w:tcW w:w="20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Financial Services</w:t>
            </w:r>
          </w:p>
        </w:tc>
        <w:tc>
          <w:tcPr>
            <w:tcW w:w="3440" w:type="dxa"/>
            <w:vAlign w:val="bottom"/>
            <w:gridSpan w:val="3"/>
          </w:tcPr>
          <w:p>
            <w:pPr>
              <w:spacing w:after="0" w:line="130" w:lineRule="exact"/>
              <w:rPr>
                <w:sz w:val="20"/>
                <w:szCs w:val="20"/>
                <w:color w:val="auto"/>
              </w:rPr>
            </w:pPr>
            <w:r>
              <w:rPr>
                <w:rFonts w:ascii="Arial" w:cs="Arial" w:eastAsia="Arial" w:hAnsi="Arial"/>
                <w:sz w:val="14"/>
                <w:szCs w:val="14"/>
                <w:color w:val="auto"/>
              </w:rPr>
              <w:t>First Lien Debt (7.5% Cash (1 month LIBOR + 5.0%,</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Arial" w:cs="Arial" w:eastAsia="Arial" w:hAnsi="Arial"/>
                <w:sz w:val="14"/>
                <w:szCs w:val="14"/>
                <w:color w:val="auto"/>
                <w:w w:val="93"/>
              </w:rPr>
              <w:t>1.5%</w:t>
            </w: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Floor), Due 1/4/24)</w:t>
            </w:r>
          </w:p>
        </w:tc>
        <w:tc>
          <w:tcPr>
            <w:tcW w:w="1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6,750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6,750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56"/>
        </w:trPr>
        <w:tc>
          <w:tcPr>
            <w:tcW w:w="23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0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16,725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16,725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16,725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Below is CSLF II’s schedule of investments as of December 31,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Senior Loan Fund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14"/>
                <w:szCs w:val="14"/>
                <w:color w:val="auto"/>
              </w:rPr>
            </w:pPr>
          </w:p>
        </w:tc>
        <w:tc>
          <w:tcPr>
            <w:tcW w:w="18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344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Type of Investment</w:t>
            </w:r>
          </w:p>
        </w:tc>
        <w:tc>
          <w:tcPr>
            <w:tcW w:w="16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at Fair Value</w:t>
            </w:r>
          </w:p>
        </w:tc>
        <w:tc>
          <w:tcPr>
            <w:tcW w:w="12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U.S. BioTek Laboratories, LLC</w:t>
            </w:r>
          </w:p>
        </w:tc>
        <w:tc>
          <w:tcPr>
            <w:tcW w:w="196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Testing Laboratories</w:t>
            </w:r>
          </w:p>
        </w:tc>
        <w:tc>
          <w:tcPr>
            <w:tcW w:w="120" w:type="dxa"/>
            <w:vAlign w:val="bottom"/>
          </w:tcPr>
          <w:p>
            <w:pPr>
              <w:spacing w:after="0"/>
              <w:rPr>
                <w:sz w:val="11"/>
                <w:szCs w:val="11"/>
                <w:color w:val="auto"/>
              </w:rPr>
            </w:pPr>
          </w:p>
        </w:tc>
        <w:tc>
          <w:tcPr>
            <w:tcW w:w="3440" w:type="dxa"/>
            <w:vAlign w:val="bottom"/>
            <w:gridSpan w:val="2"/>
          </w:tcPr>
          <w:p>
            <w:pPr>
              <w:spacing w:after="0" w:line="130" w:lineRule="exact"/>
              <w:rPr>
                <w:sz w:val="20"/>
                <w:szCs w:val="20"/>
                <w:color w:val="auto"/>
              </w:rPr>
            </w:pPr>
            <w:r>
              <w:rPr>
                <w:rFonts w:ascii="Arial" w:cs="Arial" w:eastAsia="Arial" w:hAnsi="Arial"/>
                <w:sz w:val="14"/>
                <w:szCs w:val="14"/>
                <w:color w:val="auto"/>
              </w:rPr>
              <w:t>First Lien Debt (7.8% Cash (3 month LIBOR + 5.0%,</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2.0% Floor), Due 12/14/23)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4,500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rPr>
              <w:t>4,500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96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Electronic Machine Repair</w:t>
            </w:r>
          </w:p>
        </w:tc>
        <w:tc>
          <w:tcPr>
            <w:tcW w:w="120" w:type="dxa"/>
            <w:vAlign w:val="bottom"/>
            <w:shd w:val="clear" w:color="auto" w:fill="CCEEFF"/>
          </w:tcPr>
          <w:p>
            <w:pPr>
              <w:spacing w:after="0"/>
              <w:rPr>
                <w:sz w:val="11"/>
                <w:szCs w:val="11"/>
                <w:color w:val="auto"/>
              </w:rPr>
            </w:pPr>
          </w:p>
        </w:tc>
        <w:tc>
          <w:tcPr>
            <w:tcW w:w="3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(7.5% Cash (1 month LIBOR + 5.0%,</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 Floor), Due 12/20/23)</w:t>
            </w:r>
          </w:p>
        </w:tc>
        <w:tc>
          <w:tcPr>
            <w:tcW w:w="16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w:t>
            </w:r>
          </w:p>
        </w:tc>
        <w:tc>
          <w:tcPr>
            <w:tcW w:w="0" w:type="dxa"/>
            <w:vAlign w:val="bottom"/>
          </w:tcPr>
          <w:p>
            <w:pPr>
              <w:spacing w:after="0"/>
              <w:rPr>
                <w:sz w:val="1"/>
                <w:szCs w:val="1"/>
                <w:color w:val="auto"/>
              </w:rPr>
            </w:pPr>
          </w:p>
        </w:tc>
      </w:tr>
      <w:tr>
        <w:trPr>
          <w:trHeight w:val="156"/>
        </w:trPr>
        <w:tc>
          <w:tcPr>
            <w:tcW w:w="2300" w:type="dxa"/>
            <w:vAlign w:val="bottom"/>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3"/>
              </w:rPr>
              <w:t>10,000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ind w:left="660"/>
              <w:spacing w:after="0"/>
              <w:rPr>
                <w:sz w:val="20"/>
                <w:szCs w:val="20"/>
                <w:color w:val="auto"/>
              </w:rPr>
            </w:pPr>
            <w:r>
              <w:rPr>
                <w:rFonts w:ascii="Arial" w:cs="Arial" w:eastAsia="Arial" w:hAnsi="Arial"/>
                <w:sz w:val="18"/>
                <w:szCs w:val="18"/>
                <w:color w:val="auto"/>
                <w:w w:val="99"/>
              </w:rPr>
              <w:t>Below is the financial information for CSLF II:</w:t>
            </w: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56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5"/>
              </w:rPr>
              <w:t>Capitala Senior Loan Fund II, LLC</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5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8"/>
              </w:rPr>
              <w:t>Statements of Assets and Liabilities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March 31, 2019</w:t>
            </w:r>
          </w:p>
        </w:tc>
        <w:tc>
          <w:tcPr>
            <w:tcW w:w="1760" w:type="dxa"/>
            <w:vAlign w:val="bottom"/>
            <w:gridSpan w:val="7"/>
          </w:tcPr>
          <w:p>
            <w:pPr>
              <w:ind w:left="200"/>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6"/>
          </w:tcPr>
          <w:p>
            <w:pPr>
              <w:spacing w:after="0"/>
              <w:rPr>
                <w:sz w:val="20"/>
                <w:szCs w:val="20"/>
                <w:color w:val="auto"/>
              </w:rPr>
            </w:pPr>
            <w:r>
              <w:rPr>
                <w:rFonts w:ascii="Arial" w:cs="Arial" w:eastAsia="Arial" w:hAnsi="Arial"/>
                <w:sz w:val="18"/>
                <w:szCs w:val="18"/>
                <w:color w:val="auto"/>
              </w:rPr>
              <w:t>Investments at fair value (amortized cost of $16,725 and $10,000, respectively)</w:t>
            </w:r>
          </w:p>
        </w:tc>
        <w:tc>
          <w:tcPr>
            <w:tcW w:w="160" w:type="dxa"/>
            <w:vAlign w:val="bottom"/>
          </w:tcPr>
          <w:p>
            <w:pPr>
              <w:spacing w:after="0"/>
              <w:rPr>
                <w:sz w:val="18"/>
                <w:szCs w:val="18"/>
                <w:color w:val="auto"/>
              </w:rPr>
            </w:pPr>
          </w:p>
        </w:tc>
        <w:tc>
          <w:tcPr>
            <w:tcW w:w="8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16,725</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17,499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Partners’ capital</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17,412</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17,119</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17,412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40" w:type="dxa"/>
            <w:vAlign w:val="bottom"/>
            <w:gridSpan w:val="2"/>
            <w:vMerge w:val="restart"/>
          </w:tcPr>
          <w:p>
            <w:pPr>
              <w:jc w:val="center"/>
              <w:ind w:right="465"/>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Capitala Senior Loan Fund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060" w:type="dxa"/>
            <w:vAlign w:val="bottom"/>
            <w:gridSpan w:val="6"/>
          </w:tcPr>
          <w:p>
            <w:pPr>
              <w:spacing w:after="0"/>
              <w:rPr>
                <w:sz w:val="20"/>
                <w:szCs w:val="20"/>
                <w:color w:val="auto"/>
              </w:rPr>
            </w:pPr>
            <w:r>
              <w:rPr>
                <w:rFonts w:ascii="Arial" w:cs="Arial" w:eastAsia="Arial" w:hAnsi="Arial"/>
                <w:sz w:val="18"/>
                <w:szCs w:val="18"/>
                <w:b w:val="1"/>
                <w:bCs w:val="1"/>
                <w:color w:val="auto"/>
                <w:w w:val="93"/>
              </w:rPr>
              <w:t>For the three months ended March 31,</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860" w:type="dxa"/>
            <w:vAlign w:val="bottom"/>
            <w:gridSpan w:val="2"/>
          </w:tcPr>
          <w:p>
            <w:pPr>
              <w:ind w:left="28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28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28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860" w:type="dxa"/>
            <w:vAlign w:val="bottom"/>
            <w:gridSpan w:val="2"/>
          </w:tcPr>
          <w:p>
            <w:pPr>
              <w:ind w:left="28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28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INVESTMENT INCOME</w:t>
            </w:r>
          </w:p>
        </w:tc>
        <w:tc>
          <w:tcPr>
            <w:tcW w:w="2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INCREASE IN NET ASSETS RESULTING FROM OPERATIONS</w:t>
            </w:r>
          </w:p>
        </w:tc>
        <w:tc>
          <w:tcPr>
            <w:tcW w:w="28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80" w:type="dxa"/>
            <w:vAlign w:val="bottom"/>
            <w:vMerge w:val="restart"/>
          </w:tcPr>
          <w:p>
            <w:pPr>
              <w:jc w:val="right"/>
              <w:ind w:right="2470"/>
              <w:spacing w:after="0"/>
              <w:rPr>
                <w:sz w:val="20"/>
                <w:szCs w:val="20"/>
                <w:color w:val="auto"/>
              </w:rPr>
            </w:pPr>
            <w:r>
              <w:rPr>
                <w:rFonts w:ascii="Arial" w:cs="Arial" w:eastAsia="Arial" w:hAnsi="Arial"/>
                <w:sz w:val="18"/>
                <w:szCs w:val="18"/>
                <w:color w:val="auto"/>
              </w:rPr>
              <w:t>39</w:t>
            </w: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2019, the Company had investments in portfolio companies designated as affiliates under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6"/>
              </w:rPr>
              <w:t>Amount of</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4"/>
          </w:tcPr>
          <w:p>
            <w:pPr>
              <w:ind w:left="60"/>
              <w:spacing w:after="0" w:line="135" w:lineRule="exact"/>
              <w:rPr>
                <w:sz w:val="20"/>
                <w:szCs w:val="20"/>
                <w:color w:val="auto"/>
              </w:rPr>
            </w:pPr>
            <w:r>
              <w:rPr>
                <w:rFonts w:ascii="Arial" w:cs="Arial" w:eastAsia="Arial" w:hAnsi="Arial"/>
                <w:sz w:val="13"/>
                <w:szCs w:val="13"/>
                <w:b w:val="1"/>
                <w:bCs w:val="1"/>
                <w:color w:val="auto"/>
              </w:rPr>
              <w:t>Interest, Fees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or Dividends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gridSpan w:val="4"/>
            <w:vMerge w:val="restart"/>
          </w:tcPr>
          <w:p>
            <w:pPr>
              <w:ind w:left="42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20"/>
                <w:szCs w:val="20"/>
                <w:b w:val="1"/>
                <w:bCs w:val="1"/>
                <w:color w:val="auto"/>
                <w:vertAlign w:val="superscript"/>
              </w:rPr>
              <w:t>(4)</w:t>
            </w:r>
          </w:p>
        </w:tc>
        <w:tc>
          <w:tcPr>
            <w:tcW w:w="2200" w:type="dxa"/>
            <w:vAlign w:val="bottom"/>
          </w:tcPr>
          <w:p>
            <w:pPr>
              <w:spacing w:after="0"/>
              <w:rPr>
                <w:sz w:val="14"/>
                <w:szCs w:val="14"/>
                <w:color w:val="auto"/>
              </w:rPr>
            </w:pPr>
          </w:p>
        </w:tc>
        <w:tc>
          <w:tcPr>
            <w:tcW w:w="620" w:type="dxa"/>
            <w:vAlign w:val="bottom"/>
            <w:gridSpan w:val="4"/>
          </w:tcPr>
          <w:p>
            <w:pPr>
              <w:ind w:left="60"/>
              <w:spacing w:after="0"/>
              <w:rPr>
                <w:sz w:val="20"/>
                <w:szCs w:val="20"/>
                <w:color w:val="auto"/>
              </w:rPr>
            </w:pPr>
            <w:r>
              <w:rPr>
                <w:rFonts w:ascii="Arial" w:cs="Arial" w:eastAsia="Arial" w:hAnsi="Arial"/>
                <w:sz w:val="13"/>
                <w:szCs w:val="13"/>
                <w:b w:val="1"/>
                <w:bCs w:val="1"/>
                <w:color w:val="auto"/>
                <w:w w:val="98"/>
              </w:rPr>
              <w:t>Principal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0"/>
              </w:rPr>
              <w:t>Credited</w:t>
            </w: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w w:val="92"/>
              </w:rPr>
              <w:t>December 31, 2018</w:t>
            </w:r>
          </w:p>
        </w:tc>
        <w:tc>
          <w:tcPr>
            <w:tcW w:w="8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4"/>
              </w:rPr>
              <w:t xml:space="preserve">Gross Additions </w:t>
            </w:r>
            <w:r>
              <w:rPr>
                <w:rFonts w:ascii="Arial" w:cs="Arial" w:eastAsia="Arial" w:hAnsi="Arial"/>
                <w:sz w:val="20"/>
                <w:szCs w:val="20"/>
                <w:b w:val="1"/>
                <w:bCs w:val="1"/>
                <w:color w:val="auto"/>
                <w:w w:val="94"/>
                <w:vertAlign w:val="superscript"/>
              </w:rPr>
              <w:t>(2)</w:t>
            </w:r>
          </w:p>
        </w:tc>
        <w:tc>
          <w:tcPr>
            <w:tcW w:w="124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2"/>
              </w:rPr>
              <w:t xml:space="preserve">Gross Reductions </w:t>
            </w:r>
            <w:r>
              <w:rPr>
                <w:rFonts w:ascii="Arial" w:cs="Arial" w:eastAsia="Arial" w:hAnsi="Arial"/>
                <w:sz w:val="20"/>
                <w:szCs w:val="20"/>
                <w:b w:val="1"/>
                <w:bCs w:val="1"/>
                <w:color w:val="auto"/>
                <w:w w:val="92"/>
                <w:vertAlign w:val="superscript"/>
              </w:rPr>
              <w:t>(3)</w:t>
            </w: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3"/>
              </w:rPr>
              <w:t>Realized</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Unrealized</w:t>
            </w: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w w:val="99"/>
              </w:rPr>
              <w:t>March 31, 2019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2200" w:type="dxa"/>
            <w:vAlign w:val="bottom"/>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c>
          <w:tcPr>
            <w:tcW w:w="86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 xml:space="preserve">to Income </w:t>
            </w:r>
            <w:r>
              <w:rPr>
                <w:rFonts w:ascii="Arial" w:cs="Arial" w:eastAsia="Arial" w:hAnsi="Arial"/>
                <w:sz w:val="18"/>
                <w:szCs w:val="18"/>
                <w:b w:val="1"/>
                <w:bCs w:val="1"/>
                <w:color w:val="auto"/>
                <w:vertAlign w:val="superscript"/>
              </w:rPr>
              <w:t>(1)</w:t>
            </w:r>
          </w:p>
        </w:tc>
        <w:tc>
          <w:tcPr>
            <w:tcW w:w="14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520" w:type="dxa"/>
            <w:vAlign w:val="bottom"/>
            <w:tcBorders>
              <w:top w:val="single" w:sz="8" w:color="auto"/>
            </w:tcBorders>
            <w:gridSpan w:val="3"/>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rPr>
              <w:t>Affiliate investments</w:t>
            </w:r>
          </w:p>
        </w:tc>
        <w:tc>
          <w:tcPr>
            <w:tcW w:w="80" w:type="dxa"/>
            <w:vAlign w:val="bottom"/>
            <w:tcBorders>
              <w:top w:val="single" w:sz="8" w:color="CCEEFF"/>
            </w:tcBorders>
            <w:shd w:val="clear" w:color="auto" w:fill="CCEEFF"/>
          </w:tcPr>
          <w:p>
            <w:pPr>
              <w:spacing w:after="0"/>
              <w:rPr>
                <w:sz w:val="10"/>
                <w:szCs w:val="10"/>
                <w:color w:val="auto"/>
              </w:rPr>
            </w:pPr>
          </w:p>
        </w:tc>
        <w:tc>
          <w:tcPr>
            <w:tcW w:w="22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2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First Lien Debt (12.0% Cash, 1.0% PIK,</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Due 3/23/21)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5"/>
              </w:rPr>
              <w:t>14,838</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444</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14,384</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14,467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Burgaflex Holdings, LLC</w:t>
            </w: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7"/>
              </w:rPr>
              <w:t>Common Stock Class A (1,253,198 shares)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Burgaflex Holdings, LLC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w w:val="91"/>
              </w:rPr>
              <w:t>Common Stock Class B (900,000 shares)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444</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14,384</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14,467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Membership Unit Warrants (11.4% fully</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City Gear, LLC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111</w:t>
            </w:r>
          </w:p>
        </w:tc>
        <w:tc>
          <w:tcPr>
            <w:tcW w:w="4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3,184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3,184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111</w:t>
            </w:r>
          </w:p>
        </w:tc>
        <w:tc>
          <w:tcPr>
            <w:tcW w:w="4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(111)</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3,184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Subordinated Debt (15.6% Cash (3 month</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LIBOR + 13.0%, 0.5% Floor), Due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Eastport Holdings, LLC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4/29/20)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5"/>
              </w:rPr>
              <w:t>16,500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835</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16,500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187</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16,500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Eastport Holdings, LLC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Membership Units (22.9% ownership)</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17,610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(1,217)</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16,393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835</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34,110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187</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(1,404)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32,893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0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w w:val="94"/>
              </w:rPr>
              <w:t xml:space="preserve">GA Communications, Inc. </w:t>
            </w:r>
            <w:r>
              <w:rPr>
                <w:rFonts w:ascii="Arial" w:cs="Arial" w:eastAsia="Arial" w:hAnsi="Arial"/>
                <w:sz w:val="20"/>
                <w:szCs w:val="20"/>
                <w:color w:val="auto"/>
                <w:w w:val="94"/>
                <w:vertAlign w:val="superscript"/>
              </w:rPr>
              <w:t>(5)</w:t>
            </w:r>
          </w:p>
        </w:tc>
        <w:tc>
          <w:tcPr>
            <w:tcW w:w="2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Series A-1 Preferred Stock (1,998 shares,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4"/>
            <w:vMerge w:val="continue"/>
            <w:shd w:val="clear" w:color="auto" w:fill="CCEEFF"/>
          </w:tcPr>
          <w:p>
            <w:pPr>
              <w:spacing w:after="0"/>
              <w:rPr>
                <w:sz w:val="12"/>
                <w:szCs w:val="12"/>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8.0% PIK Dividend)</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Series B-1 Common Stock (200,000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GA Communications, Inc.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shares)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1,291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Subordinated Debt (13.0% Cash, Due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J&amp;J Produce Holdings, Inc.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6/16/19)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208</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6,338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J&amp;J Produce Holdings, Inc.</w:t>
            </w: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Common Stock (8,182 shares)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J&amp;J Produce Holdings, Inc.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w w:val="93"/>
              </w:rPr>
              <w:t>Common Stock Warrants (6,369 shares)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208</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6,210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6,338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LJS Partners, LLC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Common Stock (1,852,824 shares)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2,442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MMI Holdings, LLC</w:t>
            </w: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8"/>
              </w:rPr>
              <w:t>First Lien Debt (12.0% Cash, Due 1/31/20)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Subordinated Debt (6.0% Cash, Due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1/31/20)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0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rPr>
              <w:t xml:space="preserve">MMI Holdings, LLC </w:t>
            </w:r>
            <w:r>
              <w:rPr>
                <w:rFonts w:ascii="Arial" w:cs="Arial" w:eastAsia="Arial" w:hAnsi="Arial"/>
                <w:sz w:val="20"/>
                <w:szCs w:val="20"/>
                <w:color w:val="auto"/>
                <w:vertAlign w:val="superscript"/>
              </w:rPr>
              <w:t>(5)</w:t>
            </w:r>
          </w:p>
        </w:tc>
        <w:tc>
          <w:tcPr>
            <w:tcW w:w="2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8"/>
              </w:rPr>
              <w:t>Preferred Units (1,000 units, 6.0% PIK</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4"/>
            <w:vMerge w:val="continue"/>
            <w:shd w:val="clear" w:color="auto" w:fill="CCEEFF"/>
          </w:tcPr>
          <w:p>
            <w:pPr>
              <w:spacing w:after="0"/>
              <w:rPr>
                <w:sz w:val="12"/>
                <w:szCs w:val="12"/>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Dividend)</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1,636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MMI Holdings, LLC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w w:val="99"/>
              </w:rPr>
              <w:t>Common Membership Units (45 units)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4,797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4,827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RAM Payment, LLC</w:t>
            </w:r>
          </w:p>
        </w:tc>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1"/>
              </w:rPr>
              <w:t>First Lien Debt (11.2% Cash, Due 1/4/24)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460</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9,150</w:t>
            </w:r>
          </w:p>
        </w:tc>
        <w:tc>
          <w:tcPr>
            <w:tcW w:w="4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9,150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00" w:type="dxa"/>
            <w:vAlign w:val="bottom"/>
            <w:gridSpan w:val="4"/>
            <w:shd w:val="clear" w:color="auto" w:fill="CCEEFF"/>
          </w:tcPr>
          <w:p>
            <w:pPr>
              <w:spacing w:after="0" w:line="189" w:lineRule="exact"/>
              <w:rPr>
                <w:sz w:val="20"/>
                <w:szCs w:val="20"/>
                <w:color w:val="auto"/>
              </w:rPr>
            </w:pPr>
            <w:r>
              <w:rPr>
                <w:rFonts w:ascii="Arial" w:cs="Arial" w:eastAsia="Arial" w:hAnsi="Arial"/>
                <w:sz w:val="13"/>
                <w:szCs w:val="13"/>
                <w:color w:val="auto"/>
              </w:rPr>
              <w:t xml:space="preserve">RAM Payment, LLC </w:t>
            </w:r>
            <w:r>
              <w:rPr>
                <w:rFonts w:ascii="Arial" w:cs="Arial" w:eastAsia="Arial" w:hAnsi="Arial"/>
                <w:sz w:val="20"/>
                <w:szCs w:val="20"/>
                <w:color w:val="auto"/>
                <w:vertAlign w:val="superscript"/>
              </w:rPr>
              <w:t>(5)</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w w:val="90"/>
              </w:rPr>
              <w:t>Preferred Equity (86,000 Units, 8.0% PIK)</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876</w:t>
            </w:r>
          </w:p>
        </w:tc>
        <w:tc>
          <w:tcPr>
            <w:tcW w:w="4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460</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10,026</w:t>
            </w:r>
          </w:p>
        </w:tc>
        <w:tc>
          <w:tcPr>
            <w:tcW w:w="4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10,026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60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Sierra Hamilton Holdings</w:t>
            </w:r>
          </w:p>
        </w:tc>
        <w:tc>
          <w:tcPr>
            <w:tcW w:w="2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Corporation</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Common Stock (15,068,000 shares)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First Lien Debt (11.5% Cash (1 month</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US Bath Group, LLC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w w:val="93"/>
              </w:rPr>
              <w:t>LIBOR + 9.0%, 1.0% Floor), Due 1/2/23)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5"/>
              </w:rPr>
              <w:t>12,438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367</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12,750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(312)</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12,438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US Bath Group, LLC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Membership Units (500,000 units)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3,958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367</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14,833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(312)</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16,396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V12 Holdings, Inc.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Subordinated Debt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742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340" w:type="dxa"/>
            <w:vAlign w:val="bottom"/>
            <w:tcBorders>
              <w:bottom w:val="single" w:sz="8" w:color="auto"/>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i w:val="1"/>
                <w:iCs w:val="1"/>
                <w:color w:val="auto"/>
                <w:w w:val="96"/>
              </w:rPr>
              <w:t>Total Affiliate investments</w:t>
            </w:r>
          </w:p>
        </w:tc>
        <w:tc>
          <w:tcPr>
            <w:tcW w:w="260" w:type="dxa"/>
            <w:vAlign w:val="bottom"/>
            <w:tcBorders>
              <w:bottom w:val="single" w:sz="8" w:color="CCEEFF"/>
            </w:tcBorders>
            <w:gridSpan w:val="2"/>
            <w:shd w:val="clear" w:color="auto" w:fill="CCEEFF"/>
          </w:tcPr>
          <w:p>
            <w:pPr>
              <w:spacing w:after="0"/>
              <w:rPr>
                <w:sz w:val="14"/>
                <w:szCs w:val="14"/>
                <w:color w:val="auto"/>
              </w:rPr>
            </w:pPr>
          </w:p>
        </w:tc>
        <w:tc>
          <w:tcPr>
            <w:tcW w:w="22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gridSpan w:val="2"/>
            <w:shd w:val="clear" w:color="auto" w:fill="CCEEFF"/>
          </w:tcPr>
          <w:p>
            <w:pPr>
              <w:ind w:left="60"/>
              <w:spacing w:after="0" w:line="115" w:lineRule="exact"/>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gridSpan w:val="2"/>
            <w:shd w:val="clear" w:color="auto" w:fill="CCEEFF"/>
          </w:tcPr>
          <w:p>
            <w:pPr>
              <w:jc w:val="right"/>
              <w:ind w:right="140"/>
              <w:spacing w:after="0" w:line="115" w:lineRule="exact"/>
              <w:rPr>
                <w:sz w:val="20"/>
                <w:szCs w:val="20"/>
                <w:color w:val="auto"/>
              </w:rPr>
            </w:pPr>
            <w:r>
              <w:rPr>
                <w:rFonts w:ascii="Arial" w:cs="Arial" w:eastAsia="Arial" w:hAnsi="Arial"/>
                <w:sz w:val="13"/>
                <w:szCs w:val="13"/>
                <w:color w:val="auto"/>
              </w:rPr>
              <w:t>2,399</w:t>
            </w:r>
          </w:p>
        </w:tc>
        <w:tc>
          <w:tcPr>
            <w:tcW w:w="14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gridSpan w:val="2"/>
            <w:shd w:val="clear" w:color="auto" w:fill="CCEEFF"/>
          </w:tcPr>
          <w:p>
            <w:pPr>
              <w:jc w:val="right"/>
              <w:ind w:right="60"/>
              <w:spacing w:after="0" w:line="115" w:lineRule="exact"/>
              <w:rPr>
                <w:sz w:val="20"/>
                <w:szCs w:val="20"/>
                <w:color w:val="auto"/>
              </w:rPr>
            </w:pPr>
            <w:r>
              <w:rPr>
                <w:rFonts w:ascii="Arial" w:cs="Arial" w:eastAsia="Arial" w:hAnsi="Arial"/>
                <w:sz w:val="13"/>
                <w:szCs w:val="13"/>
                <w:color w:val="auto"/>
              </w:rPr>
              <w:t>92,939</w:t>
            </w:r>
          </w:p>
        </w:tc>
        <w:tc>
          <w:tcPr>
            <w:tcW w:w="440" w:type="dxa"/>
            <w:vAlign w:val="bottom"/>
            <w:tcBorders>
              <w:bottom w:val="single" w:sz="8" w:color="CCEEFF"/>
            </w:tcBorders>
            <w:gridSpan w:val="2"/>
            <w:shd w:val="clear" w:color="auto" w:fill="CCEEFF"/>
          </w:tcPr>
          <w:p>
            <w:pPr>
              <w:ind w:left="80"/>
              <w:spacing w:after="0" w:line="115"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2"/>
            <w:shd w:val="clear" w:color="auto" w:fill="CCEEFF"/>
          </w:tcPr>
          <w:p>
            <w:pPr>
              <w:jc w:val="right"/>
              <w:ind w:right="140"/>
              <w:spacing w:after="0" w:line="115" w:lineRule="exact"/>
              <w:rPr>
                <w:sz w:val="20"/>
                <w:szCs w:val="20"/>
                <w:color w:val="auto"/>
              </w:rPr>
            </w:pPr>
            <w:r>
              <w:rPr>
                <w:rFonts w:ascii="Arial" w:cs="Arial" w:eastAsia="Arial" w:hAnsi="Arial"/>
                <w:sz w:val="13"/>
                <w:szCs w:val="13"/>
                <w:color w:val="auto"/>
              </w:rPr>
              <w:t>10,536</w:t>
            </w:r>
          </w:p>
        </w:tc>
        <w:tc>
          <w:tcPr>
            <w:tcW w:w="46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120"/>
              <w:spacing w:after="0" w:line="115" w:lineRule="exact"/>
              <w:rPr>
                <w:sz w:val="20"/>
                <w:szCs w:val="20"/>
                <w:color w:val="auto"/>
              </w:rPr>
            </w:pPr>
            <w:r>
              <w:rPr>
                <w:rFonts w:ascii="Arial" w:cs="Arial" w:eastAsia="Arial" w:hAnsi="Arial"/>
                <w:sz w:val="13"/>
                <w:szCs w:val="13"/>
                <w:color w:val="auto"/>
              </w:rPr>
              <w:t>(312)</w:t>
            </w: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CCEEFF"/>
            </w:tcBorders>
            <w:gridSpan w:val="2"/>
            <w:shd w:val="clear" w:color="auto" w:fill="CCEEFF"/>
          </w:tcPr>
          <w:p>
            <w:pPr>
              <w:jc w:val="right"/>
              <w:ind w:right="100"/>
              <w:spacing w:after="0" w:line="115" w:lineRule="exact"/>
              <w:rPr>
                <w:sz w:val="20"/>
                <w:szCs w:val="20"/>
                <w:color w:val="auto"/>
              </w:rPr>
            </w:pPr>
            <w:r>
              <w:rPr>
                <w:rFonts w:ascii="Arial" w:cs="Arial" w:eastAsia="Arial" w:hAnsi="Arial"/>
                <w:sz w:val="13"/>
                <w:szCs w:val="13"/>
                <w:color w:val="auto"/>
              </w:rPr>
              <w:t>(111)</w:t>
            </w:r>
          </w:p>
        </w:tc>
        <w:tc>
          <w:tcPr>
            <w:tcW w:w="18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gridSpan w:val="2"/>
            <w:shd w:val="clear" w:color="auto" w:fill="CCEEFF"/>
          </w:tcPr>
          <w:p>
            <w:pPr>
              <w:jc w:val="right"/>
              <w:ind w:right="120"/>
              <w:spacing w:after="0" w:line="115" w:lineRule="exact"/>
              <w:rPr>
                <w:sz w:val="20"/>
                <w:szCs w:val="20"/>
                <w:color w:val="auto"/>
              </w:rPr>
            </w:pPr>
            <w:r>
              <w:rPr>
                <w:rFonts w:ascii="Arial" w:cs="Arial" w:eastAsia="Arial" w:hAnsi="Arial"/>
                <w:sz w:val="13"/>
                <w:szCs w:val="13"/>
                <w:color w:val="auto"/>
              </w:rPr>
              <w:t>(268)</w:t>
            </w:r>
          </w:p>
        </w:tc>
        <w:tc>
          <w:tcPr>
            <w:tcW w:w="10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ind w:right="80"/>
              <w:spacing w:after="0" w:line="115" w:lineRule="exact"/>
              <w:rPr>
                <w:sz w:val="20"/>
                <w:szCs w:val="20"/>
                <w:color w:val="auto"/>
              </w:rPr>
            </w:pPr>
            <w:r>
              <w:rPr>
                <w:rFonts w:ascii="Arial" w:cs="Arial" w:eastAsia="Arial" w:hAnsi="Arial"/>
                <w:sz w:val="13"/>
                <w:szCs w:val="13"/>
                <w:color w:val="auto"/>
              </w:rPr>
              <w:t>102,784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Amount of</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0"/>
              </w:rPr>
              <w:t>Interest, Fees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3"/>
              </w:rPr>
              <w:t>or Dividends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gridSpan w:val="4"/>
            <w:vMerge w:val="restart"/>
          </w:tcPr>
          <w:p>
            <w:pPr>
              <w:ind w:left="40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20"/>
                <w:szCs w:val="20"/>
                <w:b w:val="1"/>
                <w:bCs w:val="1"/>
                <w:color w:val="auto"/>
                <w:vertAlign w:val="superscript"/>
              </w:rPr>
              <w:t>(4)</w:t>
            </w: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Principal</w:t>
            </w:r>
          </w:p>
        </w:tc>
        <w:tc>
          <w:tcPr>
            <w:tcW w:w="6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Credited</w:t>
            </w:r>
          </w:p>
        </w:tc>
        <w:tc>
          <w:tcPr>
            <w:tcW w:w="6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December 31, 2018</w:t>
            </w:r>
          </w:p>
        </w:tc>
        <w:tc>
          <w:tcPr>
            <w:tcW w:w="110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89"/>
              </w:rPr>
              <w:t xml:space="preserve">Gross Additions </w:t>
            </w:r>
            <w:r>
              <w:rPr>
                <w:rFonts w:ascii="Arial" w:cs="Arial" w:eastAsia="Arial" w:hAnsi="Arial"/>
                <w:sz w:val="20"/>
                <w:szCs w:val="20"/>
                <w:b w:val="1"/>
                <w:bCs w:val="1"/>
                <w:color w:val="auto"/>
                <w:w w:val="89"/>
                <w:vertAlign w:val="superscript"/>
              </w:rPr>
              <w:t>(2)</w:t>
            </w:r>
          </w:p>
        </w:tc>
        <w:tc>
          <w:tcPr>
            <w:tcW w:w="130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w w:val="92"/>
              </w:rPr>
              <w:t xml:space="preserve">Gross Reductions </w:t>
            </w:r>
            <w:r>
              <w:rPr>
                <w:rFonts w:ascii="Arial" w:cs="Arial" w:eastAsia="Arial" w:hAnsi="Arial"/>
                <w:sz w:val="20"/>
                <w:szCs w:val="20"/>
                <w:b w:val="1"/>
                <w:bCs w:val="1"/>
                <w:color w:val="auto"/>
                <w:w w:val="92"/>
                <w:vertAlign w:val="superscript"/>
              </w:rPr>
              <w:t>(3)</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3"/>
              </w:rPr>
              <w:t>Realized</w:t>
            </w:r>
          </w:p>
        </w:tc>
        <w:tc>
          <w:tcPr>
            <w:tcW w:w="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March 31, 2019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2260" w:type="dxa"/>
            <w:vAlign w:val="bottom"/>
            <w:gridSpan w:val="2"/>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6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7"/>
              </w:rPr>
              <w:t>Amount</w:t>
            </w:r>
          </w:p>
        </w:tc>
        <w:tc>
          <w:tcPr>
            <w:tcW w:w="78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w w:val="99"/>
              </w:rPr>
              <w:t xml:space="preserve">to Income </w:t>
            </w:r>
            <w:r>
              <w:rPr>
                <w:rFonts w:ascii="Arial" w:cs="Arial" w:eastAsia="Arial" w:hAnsi="Arial"/>
                <w:sz w:val="18"/>
                <w:szCs w:val="18"/>
                <w:b w:val="1"/>
                <w:bCs w:val="1"/>
                <w:color w:val="auto"/>
                <w:w w:val="99"/>
                <w:vertAlign w:val="superscript"/>
              </w:rPr>
              <w:t>(1)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Fair Value</w:t>
            </w:r>
          </w:p>
        </w:tc>
        <w:tc>
          <w:tcPr>
            <w:tcW w:w="1100" w:type="dxa"/>
            <w:vAlign w:val="bottom"/>
            <w:gridSpan w:val="3"/>
            <w:vMerge w:val="continue"/>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w w:val="97"/>
              </w:rPr>
              <w:t>Gain/(Loss)</w:t>
            </w:r>
          </w:p>
        </w:tc>
        <w:tc>
          <w:tcPr>
            <w:tcW w:w="780" w:type="dxa"/>
            <w:vAlign w:val="bottom"/>
            <w:gridSpan w:val="4"/>
          </w:tcPr>
          <w:p>
            <w:pPr>
              <w:ind w:left="60"/>
              <w:spacing w:after="0"/>
              <w:rPr>
                <w:sz w:val="20"/>
                <w:szCs w:val="20"/>
                <w:color w:val="auto"/>
              </w:rPr>
            </w:pPr>
            <w:r>
              <w:rPr>
                <w:rFonts w:ascii="Arial" w:cs="Arial" w:eastAsia="Arial" w:hAnsi="Arial"/>
                <w:sz w:val="13"/>
                <w:szCs w:val="13"/>
                <w:b w:val="1"/>
                <w:bCs w:val="1"/>
                <w:color w:val="auto"/>
                <w:w w:val="97"/>
              </w:rPr>
              <w:t>Gain/(Loss)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500" w:type="dxa"/>
            <w:vAlign w:val="bottom"/>
            <w:tcBorders>
              <w:top w:val="single" w:sz="8" w:color="auto"/>
            </w:tcBorders>
            <w:gridSpan w:val="3"/>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rPr>
              <w:t>Control investments</w:t>
            </w:r>
          </w:p>
        </w:tc>
        <w:tc>
          <w:tcPr>
            <w:tcW w:w="60" w:type="dxa"/>
            <w:vAlign w:val="bottom"/>
            <w:tcBorders>
              <w:top w:val="single" w:sz="8" w:color="CCEEFF"/>
            </w:tcBorders>
            <w:shd w:val="clear" w:color="auto" w:fill="CCEEFF"/>
          </w:tcPr>
          <w:p>
            <w:pPr>
              <w:spacing w:after="0"/>
              <w:rPr>
                <w:sz w:val="10"/>
                <w:szCs w:val="10"/>
                <w:color w:val="auto"/>
              </w:rPr>
            </w:pPr>
          </w:p>
        </w:tc>
        <w:tc>
          <w:tcPr>
            <w:tcW w:w="22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2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Second Lien Debt (6.0% PIK, Due</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AAE Acquisition, LLC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8/24/19)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20,411</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16,327</w:t>
            </w: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4,084</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(3,151)</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17,260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AAE Acquisition, LLC</w:t>
            </w:r>
          </w:p>
        </w:tc>
        <w:tc>
          <w:tcPr>
            <w:tcW w:w="2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Membership Units (2.2% fully diluted)</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AAE Acquisition, LLC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Warrants (37.8% fully diluted)</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16,327</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4,084</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(3,151)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17,260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6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5"/>
              </w:rPr>
              <w:t>CableOrganizer Acquisition,</w:t>
            </w:r>
          </w:p>
        </w:tc>
        <w:tc>
          <w:tcPr>
            <w:tcW w:w="2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3"/>
              </w:rPr>
              <w:t>First Lien Debt (8.0% Cash, Due 6/30/21)</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1,708</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6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5"/>
              </w:rPr>
              <w:t>CableOrganizer Acquisition,</w:t>
            </w:r>
          </w:p>
        </w:tc>
        <w:tc>
          <w:tcPr>
            <w:tcW w:w="2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3"/>
              </w:rPr>
              <w:t>First Lien Debt (8.0% Cash, Due 6/30/21)</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3,689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8,889</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(1,827)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6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5"/>
              </w:rPr>
              <w:t>CableOrganizer Acquisition,</w:t>
            </w:r>
          </w:p>
        </w:tc>
        <w:tc>
          <w:tcPr>
            <w:tcW w:w="22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Preferred Units - Series A1 (7,200,000</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units)</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5,373</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6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5"/>
              </w:rPr>
              <w:t>CableOrganizer Acquisition,</w:t>
            </w:r>
          </w:p>
        </w:tc>
        <w:tc>
          <w:tcPr>
            <w:tcW w:w="22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Preferred Units - Series A (4,000,000</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units)</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6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5"/>
              </w:rPr>
              <w:t>CableOrganizer Acquisition,</w:t>
            </w:r>
          </w:p>
        </w:tc>
        <w:tc>
          <w:tcPr>
            <w:tcW w:w="2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Stock (14.9% fully diluted)</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6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5"/>
              </w:rPr>
              <w:t>CableOrganizer Acquisition,</w:t>
            </w:r>
          </w:p>
        </w:tc>
        <w:tc>
          <w:tcPr>
            <w:tcW w:w="22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Warrants (40.0% fully</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10,597</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5,665</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(5,373)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(1,827)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6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1"/>
              </w:rPr>
              <w:t>Capitala Senior Loan Fund II,</w:t>
            </w:r>
          </w:p>
        </w:tc>
        <w:tc>
          <w:tcPr>
            <w:tcW w:w="2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LLC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Membership Units (80.0% ownership)</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13,695</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13,930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13,695</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13,930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Subordinated Debt (10.0% Cash, Due</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Micro Precision, LLC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1/1/19)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1,862</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1,862</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9"/>
              </w:rPr>
              <w:t>Subordinated Debt (14.0% Cash, 4.0%</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Micro Precision, LLC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PIK, Due 1/1/19)</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4,369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4,325</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44</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Micro Precision, LLC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Series A Preferred Units (47 units)</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2,817</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9,004</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44</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(15.0% Cash, Due</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10/30/20)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7,500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7,500</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rPr>
              <w:t xml:space="preserve">Navis Holdings, Inc. </w:t>
            </w:r>
            <w:r>
              <w:rPr>
                <w:rFonts w:ascii="Arial" w:cs="Arial" w:eastAsia="Arial" w:hAnsi="Arial"/>
                <w:sz w:val="20"/>
                <w:szCs w:val="20"/>
                <w:color w:val="auto"/>
                <w:vertAlign w:val="superscript"/>
              </w:rPr>
              <w:t>(5)</w:t>
            </w:r>
          </w:p>
        </w:tc>
        <w:tc>
          <w:tcPr>
            <w:tcW w:w="22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9"/>
              </w:rPr>
              <w:t>Class A Preferred Stock (1,000 shares,</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4"/>
            <w:vMerge w:val="continue"/>
            <w:shd w:val="clear" w:color="auto" w:fill="CCEEFF"/>
          </w:tcPr>
          <w:p>
            <w:pPr>
              <w:spacing w:after="0"/>
              <w:rPr>
                <w:sz w:val="12"/>
                <w:szCs w:val="12"/>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10.0% Cash Dividend)</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Navis Holdings, Inc.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Stock (300,000 shares)</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4,348</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12,848</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12,033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(9.0% Cash (1 month</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LIBOR + 7.0%, 1.0% Floor, 2.0%</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Portrait Studio, LLC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Ceiling), Due 12/31/22)</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780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1,260</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(9.5% Cash (1 month</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LIBOR + 7.0%, 1.0% Floor, 5.0%</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Portrait Studio, LLC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Ceiling), Due 12/31/22)</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4,500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4,500</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Portrait Studio, LLC</w:t>
            </w:r>
          </w:p>
        </w:tc>
        <w:tc>
          <w:tcPr>
            <w:tcW w:w="2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Preferred Units (4,350,000 Units)</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2,174</w:t>
            </w:r>
          </w:p>
        </w:tc>
        <w:tc>
          <w:tcPr>
            <w:tcW w:w="3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(585)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Portrait Studio, LLC</w:t>
            </w:r>
          </w:p>
        </w:tc>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Membership Units (150,000 Units)</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6,674</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1,260</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320" w:type="dxa"/>
            <w:vAlign w:val="bottom"/>
            <w:tcBorders>
              <w:bottom w:val="single" w:sz="8" w:color="auto"/>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i w:val="1"/>
                <w:iCs w:val="1"/>
                <w:color w:val="auto"/>
                <w:w w:val="95"/>
              </w:rPr>
              <w:t>Total Control investments</w:t>
            </w:r>
          </w:p>
        </w:tc>
        <w:tc>
          <w:tcPr>
            <w:tcW w:w="240" w:type="dxa"/>
            <w:vAlign w:val="bottom"/>
            <w:tcBorders>
              <w:bottom w:val="single" w:sz="8" w:color="CCEEFF"/>
            </w:tcBorders>
            <w:gridSpan w:val="2"/>
            <w:shd w:val="clear" w:color="auto" w:fill="CCEEFF"/>
          </w:tcPr>
          <w:p>
            <w:pPr>
              <w:spacing w:after="0"/>
              <w:rPr>
                <w:sz w:val="14"/>
                <w:szCs w:val="14"/>
                <w:color w:val="auto"/>
              </w:rPr>
            </w:pPr>
          </w:p>
        </w:tc>
        <w:tc>
          <w:tcPr>
            <w:tcW w:w="22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CCEEFF"/>
            </w:tcBorders>
            <w:gridSpan w:val="2"/>
            <w:shd w:val="clear" w:color="auto" w:fill="CCEEFF"/>
          </w:tcPr>
          <w:p>
            <w:pPr>
              <w:jc w:val="right"/>
              <w:ind w:right="60"/>
              <w:spacing w:after="0" w:line="115" w:lineRule="exact"/>
              <w:rPr>
                <w:sz w:val="20"/>
                <w:szCs w:val="20"/>
                <w:color w:val="auto"/>
              </w:rPr>
            </w:pPr>
            <w:r>
              <w:rPr>
                <w:rFonts w:ascii="Arial" w:cs="Arial" w:eastAsia="Arial" w:hAnsi="Arial"/>
                <w:sz w:val="13"/>
                <w:szCs w:val="13"/>
                <w:color w:val="auto"/>
              </w:rPr>
              <w:t>749</w:t>
            </w:r>
          </w:p>
        </w:tc>
        <w:tc>
          <w:tcPr>
            <w:tcW w:w="220" w:type="dxa"/>
            <w:vAlign w:val="bottom"/>
            <w:tcBorders>
              <w:bottom w:val="single" w:sz="8" w:color="CCEEFF"/>
            </w:tcBorders>
            <w:gridSpan w:val="2"/>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gridSpan w:val="2"/>
            <w:shd w:val="clear" w:color="auto" w:fill="CCEEFF"/>
          </w:tcPr>
          <w:p>
            <w:pPr>
              <w:jc w:val="right"/>
              <w:ind w:right="140"/>
              <w:spacing w:after="0" w:line="115" w:lineRule="exact"/>
              <w:rPr>
                <w:sz w:val="20"/>
                <w:szCs w:val="20"/>
                <w:color w:val="auto"/>
              </w:rPr>
            </w:pPr>
            <w:r>
              <w:rPr>
                <w:rFonts w:ascii="Arial" w:cs="Arial" w:eastAsia="Arial" w:hAnsi="Arial"/>
                <w:sz w:val="13"/>
                <w:szCs w:val="13"/>
                <w:color w:val="auto"/>
              </w:rPr>
              <w:t>69,145</w:t>
            </w:r>
          </w:p>
        </w:tc>
        <w:tc>
          <w:tcPr>
            <w:tcW w:w="38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60"/>
              <w:spacing w:after="0" w:line="115" w:lineRule="exact"/>
              <w:rPr>
                <w:sz w:val="20"/>
                <w:szCs w:val="20"/>
                <w:color w:val="auto"/>
              </w:rPr>
            </w:pPr>
            <w:r>
              <w:rPr>
                <w:rFonts w:ascii="Arial" w:cs="Arial" w:eastAsia="Arial" w:hAnsi="Arial"/>
                <w:sz w:val="13"/>
                <w:szCs w:val="13"/>
                <w:color w:val="auto"/>
              </w:rPr>
              <w:t>11,053</w:t>
            </w:r>
          </w:p>
        </w:tc>
        <w:tc>
          <w:tcPr>
            <w:tcW w:w="480" w:type="dxa"/>
            <w:vAlign w:val="bottom"/>
            <w:tcBorders>
              <w:bottom w:val="single" w:sz="8" w:color="CCEEFF"/>
            </w:tcBorders>
            <w:gridSpan w:val="2"/>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line="115" w:lineRule="exact"/>
              <w:rPr>
                <w:sz w:val="20"/>
                <w:szCs w:val="20"/>
                <w:color w:val="auto"/>
              </w:rPr>
            </w:pPr>
            <w:r>
              <w:rPr>
                <w:rFonts w:ascii="Arial" w:cs="Arial" w:eastAsia="Arial" w:hAnsi="Arial"/>
                <w:sz w:val="13"/>
                <w:szCs w:val="13"/>
                <w:color w:val="auto"/>
              </w:rPr>
              <w:t>(5,853)</w:t>
            </w:r>
          </w:p>
        </w:tc>
        <w:tc>
          <w:tcPr>
            <w:tcW w:w="8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gridSpan w:val="2"/>
            <w:shd w:val="clear" w:color="auto" w:fill="CCEEFF"/>
          </w:tcPr>
          <w:p>
            <w:pPr>
              <w:jc w:val="right"/>
              <w:ind w:right="40"/>
              <w:spacing w:after="0" w:line="115" w:lineRule="exact"/>
              <w:rPr>
                <w:sz w:val="20"/>
                <w:szCs w:val="20"/>
                <w:color w:val="auto"/>
              </w:rPr>
            </w:pPr>
            <w:r>
              <w:rPr>
                <w:rFonts w:ascii="Arial" w:cs="Arial" w:eastAsia="Arial" w:hAnsi="Arial"/>
                <w:sz w:val="13"/>
                <w:szCs w:val="13"/>
                <w:color w:val="auto"/>
              </w:rPr>
              <w:t>(1,827)</w:t>
            </w:r>
          </w:p>
        </w:tc>
        <w:tc>
          <w:tcPr>
            <w:tcW w:w="240" w:type="dxa"/>
            <w:vAlign w:val="bottom"/>
            <w:tcBorders>
              <w:bottom w:val="single" w:sz="8" w:color="CCEEFF"/>
            </w:tcBorders>
            <w:gridSpan w:val="2"/>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gridSpan w:val="2"/>
            <w:shd w:val="clear" w:color="auto" w:fill="CCEEFF"/>
          </w:tcPr>
          <w:p>
            <w:pPr>
              <w:jc w:val="right"/>
              <w:ind w:right="60"/>
              <w:spacing w:after="0" w:line="115" w:lineRule="exact"/>
              <w:rPr>
                <w:sz w:val="20"/>
                <w:szCs w:val="20"/>
                <w:color w:val="auto"/>
              </w:rPr>
            </w:pPr>
            <w:r>
              <w:rPr>
                <w:rFonts w:ascii="Arial" w:cs="Arial" w:eastAsia="Arial" w:hAnsi="Arial"/>
                <w:sz w:val="13"/>
                <w:szCs w:val="13"/>
                <w:color w:val="auto"/>
              </w:rPr>
              <w:t>(4,276)</w:t>
            </w:r>
          </w:p>
        </w:tc>
        <w:tc>
          <w:tcPr>
            <w:tcW w:w="160" w:type="dxa"/>
            <w:vAlign w:val="bottom"/>
            <w:tcBorders>
              <w:bottom w:val="single" w:sz="8" w:color="CCEEFF"/>
            </w:tcBorders>
            <w:gridSpan w:val="2"/>
            <w:shd w:val="clear" w:color="auto" w:fill="CCEEFF"/>
          </w:tcPr>
          <w:p>
            <w:pPr>
              <w:ind w:left="40"/>
              <w:spacing w:after="0" w:line="115"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60"/>
              <w:spacing w:after="0" w:line="115" w:lineRule="exact"/>
              <w:rPr>
                <w:sz w:val="20"/>
                <w:szCs w:val="20"/>
                <w:color w:val="auto"/>
              </w:rPr>
            </w:pPr>
            <w:r>
              <w:rPr>
                <w:rFonts w:ascii="Arial" w:cs="Arial" w:eastAsia="Arial" w:hAnsi="Arial"/>
                <w:sz w:val="13"/>
                <w:szCs w:val="13"/>
                <w:color w:val="auto"/>
              </w:rPr>
              <w:t>68,242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total amount of interest, original issue discount, fees, and dividends credited to income for the portion of the period an investment was included in Affiliate or Control categories, respectively.</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340" w:right="2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and sales. Gross reductions also includes transfers out of Affiliate or Control classification.</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41" w:name="page42"/>
    <w:bookmarkEnd w:id="41"/>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year ended December 31, 2018, the Company had investments in portfolio companies designated as affiliates under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Amount of</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or Dividends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gridSpan w:val="3"/>
            <w:vMerge w:val="restart"/>
          </w:tcPr>
          <w:p>
            <w:pPr>
              <w:jc w:val="right"/>
              <w:ind w:right="208"/>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20"/>
                <w:szCs w:val="20"/>
                <w:b w:val="1"/>
                <w:bCs w:val="1"/>
                <w:color w:val="auto"/>
                <w:vertAlign w:val="superscript"/>
              </w:rPr>
              <w:t>(4)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w w:val="98"/>
              </w:rPr>
              <w:t>Principal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Credited</w:t>
            </w: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w w:val="90"/>
              </w:rPr>
              <w:t>December 31, 2017</w:t>
            </w:r>
          </w:p>
        </w:tc>
        <w:tc>
          <w:tcPr>
            <w:tcW w:w="8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89"/>
              </w:rPr>
              <w:t xml:space="preserve">Gross Additions </w:t>
            </w:r>
            <w:r>
              <w:rPr>
                <w:rFonts w:ascii="Arial" w:cs="Arial" w:eastAsia="Arial" w:hAnsi="Arial"/>
                <w:sz w:val="20"/>
                <w:szCs w:val="20"/>
                <w:b w:val="1"/>
                <w:bCs w:val="1"/>
                <w:color w:val="auto"/>
                <w:w w:val="89"/>
                <w:vertAlign w:val="superscript"/>
              </w:rPr>
              <w:t>(2)</w:t>
            </w:r>
          </w:p>
        </w:tc>
        <w:tc>
          <w:tcPr>
            <w:tcW w:w="130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w w:val="92"/>
              </w:rPr>
              <w:t xml:space="preserve">Gross Reductions </w:t>
            </w:r>
            <w:r>
              <w:rPr>
                <w:rFonts w:ascii="Arial" w:cs="Arial" w:eastAsia="Arial" w:hAnsi="Arial"/>
                <w:sz w:val="20"/>
                <w:szCs w:val="20"/>
                <w:b w:val="1"/>
                <w:bCs w:val="1"/>
                <w:color w:val="auto"/>
                <w:w w:val="92"/>
                <w:vertAlign w:val="superscript"/>
              </w:rPr>
              <w:t>(3)</w:t>
            </w:r>
          </w:p>
        </w:tc>
        <w:tc>
          <w:tcPr>
            <w:tcW w:w="6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3"/>
              </w:rPr>
              <w:t>Realized</w:t>
            </w:r>
          </w:p>
        </w:tc>
        <w:tc>
          <w:tcPr>
            <w:tcW w:w="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w w:val="90"/>
              </w:rPr>
              <w:t>December 31, 2018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gridSpan w:val="2"/>
          </w:tcPr>
          <w:p>
            <w:pPr>
              <w:ind w:left="520"/>
              <w:spacing w:after="0"/>
              <w:rPr>
                <w:sz w:val="20"/>
                <w:szCs w:val="20"/>
                <w:color w:val="auto"/>
              </w:rPr>
            </w:pPr>
            <w:r>
              <w:rPr>
                <w:rFonts w:ascii="Arial" w:cs="Arial" w:eastAsia="Arial" w:hAnsi="Arial"/>
                <w:sz w:val="13"/>
                <w:szCs w:val="13"/>
                <w:b w:val="1"/>
                <w:bCs w:val="1"/>
                <w:color w:val="auto"/>
              </w:rPr>
              <w:t>Type of Investment</w:t>
            </w:r>
          </w:p>
        </w:tc>
        <w:tc>
          <w:tcPr>
            <w:tcW w:w="5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4"/>
                <w:szCs w:val="14"/>
                <w:color w:val="auto"/>
              </w:rPr>
            </w:pPr>
          </w:p>
        </w:tc>
        <w:tc>
          <w:tcPr>
            <w:tcW w:w="900" w:type="dxa"/>
            <w:vAlign w:val="bottom"/>
            <w:gridSpan w:val="3"/>
          </w:tcPr>
          <w:p>
            <w:pPr>
              <w:jc w:val="center"/>
              <w:ind w:right="140"/>
              <w:spacing w:after="0" w:line="162" w:lineRule="exact"/>
              <w:rPr>
                <w:sz w:val="20"/>
                <w:szCs w:val="20"/>
                <w:color w:val="auto"/>
              </w:rPr>
            </w:pPr>
            <w:r>
              <w:rPr>
                <w:rFonts w:ascii="Arial" w:cs="Arial" w:eastAsia="Arial" w:hAnsi="Arial"/>
                <w:sz w:val="12"/>
                <w:szCs w:val="12"/>
                <w:b w:val="1"/>
                <w:bCs w:val="1"/>
                <w:color w:val="auto"/>
                <w:w w:val="90"/>
              </w:rPr>
              <w:t xml:space="preserve">to Income </w:t>
            </w:r>
            <w:r>
              <w:rPr>
                <w:rFonts w:ascii="Arial" w:cs="Arial" w:eastAsia="Arial" w:hAnsi="Arial"/>
                <w:sz w:val="18"/>
                <w:szCs w:val="18"/>
                <w:b w:val="1"/>
                <w:bCs w:val="1"/>
                <w:color w:val="auto"/>
                <w:w w:val="90"/>
                <w:vertAlign w:val="superscript"/>
              </w:rPr>
              <w:t>(1)</w:t>
            </w:r>
          </w:p>
        </w:tc>
        <w:tc>
          <w:tcPr>
            <w:tcW w:w="14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w w:val="95"/>
              </w:rPr>
              <w:t>Gain/(Loss)</w:t>
            </w:r>
          </w:p>
        </w:tc>
        <w:tc>
          <w:tcPr>
            <w:tcW w:w="780" w:type="dxa"/>
            <w:vAlign w:val="bottom"/>
            <w:gridSpan w:val="4"/>
          </w:tcPr>
          <w:p>
            <w:pPr>
              <w:ind w:left="60"/>
              <w:spacing w:after="0"/>
              <w:rPr>
                <w:sz w:val="20"/>
                <w:szCs w:val="20"/>
                <w:color w:val="auto"/>
              </w:rPr>
            </w:pPr>
            <w:r>
              <w:rPr>
                <w:rFonts w:ascii="Arial" w:cs="Arial" w:eastAsia="Arial" w:hAnsi="Arial"/>
                <w:sz w:val="13"/>
                <w:szCs w:val="13"/>
                <w:b w:val="1"/>
                <w:bCs w:val="1"/>
                <w:color w:val="auto"/>
                <w:w w:val="97"/>
              </w:rPr>
              <w:t>Gain/(Loss)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60" w:type="dxa"/>
            <w:vAlign w:val="bottom"/>
            <w:tcBorders>
              <w:bottom w:val="single" w:sz="8" w:color="auto"/>
            </w:tcBorders>
            <w:gridSpan w:val="2"/>
            <w:shd w:val="clear" w:color="auto" w:fill="CCEEFF"/>
          </w:tcPr>
          <w:p>
            <w:pPr>
              <w:spacing w:after="0" w:line="122" w:lineRule="exact"/>
              <w:rPr>
                <w:sz w:val="20"/>
                <w:szCs w:val="20"/>
                <w:color w:val="auto"/>
              </w:rPr>
            </w:pPr>
            <w:r>
              <w:rPr>
                <w:rFonts w:ascii="Arial" w:cs="Arial" w:eastAsia="Arial" w:hAnsi="Arial"/>
                <w:sz w:val="13"/>
                <w:szCs w:val="13"/>
                <w:b w:val="1"/>
                <w:bCs w:val="1"/>
                <w:i w:val="1"/>
                <w:iCs w:val="1"/>
                <w:color w:val="auto"/>
                <w:w w:val="81"/>
              </w:rPr>
              <w:t>Affiliate investments</w:t>
            </w:r>
          </w:p>
        </w:tc>
        <w:tc>
          <w:tcPr>
            <w:tcW w:w="2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0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AAE Acquisition, LLC</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Second Lien Debt (6.0% Cash, Due</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8/24/19)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479</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15,603</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320</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(16,165)</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3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AAE Acquisition, LLC</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Membership Units (2.2% fully diluted)</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AAE Acquisition, LLC</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Warrants (37.8% fully diluted)</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479</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15,603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(16,182)</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4"/>
              </w:rPr>
              <w:t>Burgaflex Holdings, LLC</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First Lien Debt (12.0% Cash, 1.0% PIK,</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3/23/21)</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0"/>
              </w:rPr>
              <w:t>14,801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1,390</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14,801</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14,384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4"/>
              </w:rPr>
              <w:t>Burgaflex Holdings, LLC</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7"/>
              </w:rPr>
              <w:t>Subordinated Debt (14.0% Cash, Due</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8/9/19)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116</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4"/>
              </w:rPr>
              <w:t>Burgaflex Holdings, LLC</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7"/>
              </w:rPr>
              <w:t>Subordinated Debt (12.0% Cash, Due</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8/9/19)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199</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5,828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(5,828)</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4"/>
              </w:rPr>
              <w:t>Burgaflex Holdings, LLC</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Class A (1,253,198</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4"/>
              </w:rPr>
              <w:t>Burgaflex Holdings, LLC</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Class B (900,000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300</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1,705</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9,285</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15,101</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(8,828)</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(1,174)</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14,384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5"/>
              </w:rPr>
              <w:t>Chef'n Corporation</w:t>
            </w: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Series A Preferred Stock (1,000,000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(644)</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(644)</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City Gear, LLC</w:t>
            </w: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7"/>
              </w:rPr>
              <w:t>Subordinated Debt (13.0% Cash, Due</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10/20/19)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918</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8,231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(8,231)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0"/>
              </w:rPr>
              <w:t>City Gear, LLC</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97"/>
              </w:rPr>
              <w:t>(5)</w:t>
            </w: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3"/>
              </w:rPr>
              <w:t>Preferred Membership Units (2.8% fully</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1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diluted, 9.0% Cash Dividend)</w:t>
            </w: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117</w:t>
            </w:r>
          </w:p>
        </w:tc>
        <w:tc>
          <w:tcPr>
            <w:tcW w:w="140" w:type="dxa"/>
            <w:vAlign w:val="bottom"/>
            <w:shd w:val="clear" w:color="auto" w:fill="CCEEFF"/>
          </w:tcPr>
          <w:p>
            <w:pPr>
              <w:spacing w:after="0"/>
              <w:rPr>
                <w:sz w:val="5"/>
                <w:szCs w:val="5"/>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1,269</w:t>
            </w: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(1,269)</w:t>
            </w:r>
          </w:p>
        </w:tc>
        <w:tc>
          <w:tcPr>
            <w:tcW w:w="60" w:type="dxa"/>
            <w:vAlign w:val="bottom"/>
            <w:shd w:val="clear" w:color="auto" w:fill="CCEEFF"/>
          </w:tcPr>
          <w:p>
            <w:pPr>
              <w:spacing w:after="0"/>
              <w:rPr>
                <w:sz w:val="5"/>
                <w:szCs w:val="5"/>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1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6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City Gear, LLC</w:t>
            </w: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3"/>
              </w:rPr>
              <w:t>Membership Unit Warrants (11.4% fully</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8,248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(1,908)</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1,908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(5,064)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1,035</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17,748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(11,408)</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1,908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(5,064)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8"/>
              </w:rPr>
              <w:t>Eastport Holdings, LLC</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Subordinated Debt (15.8% Cash (3</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month LIBOR + 13.0%, 0.5% Floor),</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4/29/20)</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0"/>
              </w:rPr>
              <w:t>16,500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1,168</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15,496</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16,500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8"/>
              </w:rPr>
              <w:t>Eastport Holdings, LLC</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Membership Units (22.9% ownership)</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14,347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17,610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1,168</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20,229</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(1,470)</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15,351</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34,110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4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w w:val="89"/>
              </w:rPr>
              <w:t>GA Communications, Inc.</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(5)</w:t>
            </w: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Series A-1 Preferred Stock (1,998</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340" w:type="dxa"/>
            <w:vAlign w:val="bottom"/>
            <w:gridSpan w:val="3"/>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1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shares, 8.0% PIK Dividend)</w:t>
            </w: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5"/>
                <w:szCs w:val="5"/>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3,225</w:t>
            </w: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276</w:t>
            </w:r>
          </w:p>
        </w:tc>
        <w:tc>
          <w:tcPr>
            <w:tcW w:w="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5"/>
                <w:szCs w:val="5"/>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(19)</w:t>
            </w: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3,482</w:t>
            </w: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1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6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89"/>
              </w:rPr>
              <w:t>GA Communications, Inc.</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Series B-1 Common Stock (200,000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1,932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5,157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276</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(626)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6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w w:val="98"/>
              </w:rPr>
              <w:t>J&amp;J Produce Holdings, Inc.</w:t>
            </w: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7"/>
              </w:rPr>
              <w:t>Subordinated Debt (13.0% Cash, Due</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6/16/19)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6,406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805</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6,170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2"/>
          </w:tcPr>
          <w:p>
            <w:pPr>
              <w:spacing w:after="0"/>
              <w:rPr>
                <w:sz w:val="11"/>
                <w:szCs w:val="11"/>
                <w:color w:val="auto"/>
              </w:rPr>
            </w:pPr>
          </w:p>
        </w:tc>
        <w:tc>
          <w:tcPr>
            <w:tcW w:w="4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60" w:type="dxa"/>
            <w:vAlign w:val="bottom"/>
            <w:gridSpan w:val="5"/>
            <w:shd w:val="clear" w:color="auto" w:fill="CCEEFF"/>
          </w:tcPr>
          <w:p>
            <w:pPr>
              <w:spacing w:after="0" w:line="135" w:lineRule="exact"/>
              <w:rPr>
                <w:sz w:val="20"/>
                <w:szCs w:val="20"/>
                <w:color w:val="auto"/>
              </w:rPr>
            </w:pPr>
            <w:r>
              <w:rPr>
                <w:rFonts w:ascii="Arial" w:cs="Arial" w:eastAsia="Arial" w:hAnsi="Arial"/>
                <w:sz w:val="13"/>
                <w:szCs w:val="13"/>
                <w:color w:val="auto"/>
                <w:w w:val="98"/>
              </w:rPr>
              <w:t>J&amp;J Produce Holdings, Inc.</w:t>
            </w:r>
          </w:p>
        </w:tc>
        <w:tc>
          <w:tcPr>
            <w:tcW w:w="2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Common Stock (8,182 shares)</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2"/>
          </w:tcPr>
          <w:p>
            <w:pPr>
              <w:spacing w:after="0"/>
              <w:rPr>
                <w:sz w:val="11"/>
                <w:szCs w:val="11"/>
                <w:color w:val="auto"/>
              </w:rPr>
            </w:pPr>
          </w:p>
        </w:tc>
        <w:tc>
          <w:tcPr>
            <w:tcW w:w="4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60" w:type="dxa"/>
            <w:vAlign w:val="bottom"/>
            <w:gridSpan w:val="5"/>
            <w:shd w:val="clear" w:color="auto" w:fill="CCEEFF"/>
          </w:tcPr>
          <w:p>
            <w:pPr>
              <w:spacing w:after="0"/>
              <w:rPr>
                <w:sz w:val="20"/>
                <w:szCs w:val="20"/>
                <w:color w:val="auto"/>
              </w:rPr>
            </w:pPr>
            <w:r>
              <w:rPr>
                <w:rFonts w:ascii="Arial" w:cs="Arial" w:eastAsia="Arial" w:hAnsi="Arial"/>
                <w:sz w:val="13"/>
                <w:szCs w:val="13"/>
                <w:color w:val="auto"/>
                <w:w w:val="98"/>
              </w:rPr>
              <w:t>J&amp;J Produce Holdings, Inc.</w:t>
            </w: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1"/>
              </w:rPr>
              <w:t>Common Stock Warrants (6,369 shares)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805</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6,170</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LJS Partners, LLC</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Stock (1,587,848 shares)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7,650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293</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(4,925)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7,650</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293</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(4,925)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MJC Holdings, LLC</w:t>
            </w: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Series A Preferred Units (2,000,000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4"/>
              </w:rPr>
              <w:t>MMI Holdings, LLC</w:t>
            </w: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(12.0% Cash, Due</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1/31/20)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317</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4"/>
              </w:rPr>
              <w:t>MMI Holdings, LLC</w:t>
            </w: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Subordinated Debt (6.0% Cash, Due</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1/31/20)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94"/>
              </w:rPr>
              <w:t>MMI Holdings, LLC</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97"/>
              </w:rPr>
              <w:t>(5)</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Preferred Units (1,000 units, 6.0% PIK</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1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Dividend)</w:t>
            </w: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5"/>
                <w:szCs w:val="5"/>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1,520</w:t>
            </w: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5"/>
                <w:szCs w:val="5"/>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1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6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4"/>
              </w:rPr>
              <w:t>MMI Holdings, LLC</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6"/>
              </w:rPr>
              <w:t>Common Membership Units (45 units)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341</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4,713</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4,797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6"/>
              </w:rPr>
              <w:t>MTI Holdings, LLC</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Membership Units (2,000,000 units)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1"/>
              </w:rPr>
              <w:t>Sierra Hamilton Holdings</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Corporation</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Stock (15,068,000 shares)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8,528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(1,674)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8,528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(1,674)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60" w:type="dxa"/>
            <w:vAlign w:val="bottom"/>
            <w:gridSpan w:val="5"/>
            <w:shd w:val="clear" w:color="auto" w:fill="CCEEFF"/>
          </w:tcPr>
          <w:p>
            <w:pPr>
              <w:spacing w:after="0"/>
              <w:rPr>
                <w:sz w:val="20"/>
                <w:szCs w:val="20"/>
                <w:color w:val="auto"/>
              </w:rPr>
            </w:pPr>
            <w:r>
              <w:rPr>
                <w:rFonts w:ascii="Arial" w:cs="Arial" w:eastAsia="Arial" w:hAnsi="Arial"/>
                <w:sz w:val="13"/>
                <w:szCs w:val="13"/>
                <w:color w:val="auto"/>
                <w:w w:val="95"/>
              </w:rPr>
              <w:t>Source Capital Penray, LLC</w:t>
            </w:r>
          </w:p>
        </w:tc>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Membership Units (11.3% ownership)</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908"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121</w:t>
            </w:r>
          </w:p>
        </w:tc>
        <w:tc>
          <w:tcPr>
            <w:tcW w:w="3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(101)</w:t>
            </w: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88"/>
              </w:rPr>
              <w:t>STX Healthcare Management</w:t>
            </w:r>
          </w:p>
        </w:tc>
        <w:tc>
          <w:tcPr>
            <w:tcW w:w="2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Services, Inc.</w:t>
            </w:r>
          </w:p>
        </w:tc>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(1,200,000 shares)</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c>
          <w:tcPr>
            <w:tcW w:w="2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(93)</w:t>
            </w: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(93)</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US Bath Group, LLC</w:t>
            </w:r>
          </w:p>
        </w:tc>
        <w:tc>
          <w:tcPr>
            <w:tcW w:w="21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6"/>
              </w:rPr>
              <w:t>First Lien Debt (11.4% Cash (1 month</w:t>
            </w: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LIBOR + 9.0%, 1.0% Floor), Due</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1/2/23)</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12,750</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1,806</w:t>
            </w:r>
          </w:p>
        </w:tc>
        <w:tc>
          <w:tcPr>
            <w:tcW w:w="3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15,000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(2,250)</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12,750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Bath Group, LLC</w:t>
            </w:r>
          </w:p>
        </w:tc>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Membership Units (500,000 units)</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1,583</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1,806</w:t>
            </w:r>
          </w:p>
        </w:tc>
        <w:tc>
          <w:tcPr>
            <w:tcW w:w="3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15,500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(2,250)</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1,583</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14,833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U.S. Well Services, LLC</w:t>
            </w:r>
          </w:p>
        </w:tc>
        <w:tc>
          <w:tcPr>
            <w:tcW w:w="21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9"/>
              </w:rPr>
              <w:t>First Lien Debt (8.3% Cash (1 month</w:t>
            </w: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LIBOR + 6.0%, 1.0% Floor), Due</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2/2/22)</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156</w:t>
            </w:r>
          </w:p>
        </w:tc>
        <w:tc>
          <w:tcPr>
            <w:tcW w:w="3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2,299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(2,299)</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U.S. Well Services, LLC</w:t>
            </w:r>
          </w:p>
        </w:tc>
        <w:tc>
          <w:tcPr>
            <w:tcW w:w="21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First Lien Debt (13.3% PIK (1 month</w:t>
            </w: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LIBOR + 11.0%, 1.0% Floor), Due</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2/2/22)</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567</w:t>
            </w:r>
          </w:p>
        </w:tc>
        <w:tc>
          <w:tcPr>
            <w:tcW w:w="3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9,516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409</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(9,925)</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21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Class A Units (5,680,688 Units)</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15,004</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(6,260)</w:t>
            </w:r>
          </w:p>
        </w:tc>
        <w:tc>
          <w:tcPr>
            <w:tcW w:w="2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(8,744)</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Well Services, LLC</w:t>
            </w:r>
          </w:p>
        </w:tc>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B Units (2,076,298 Units)</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955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(514)</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723</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27,774</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409</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(18,925)</w:t>
            </w:r>
          </w:p>
        </w:tc>
        <w:tc>
          <w:tcPr>
            <w:tcW w:w="2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(9,258)</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V12 Holdings, Inc.</w:t>
            </w:r>
          </w:p>
        </w:tc>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Subordinated Debt</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1,035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(154)</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1,035</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(232)</w:t>
            </w:r>
          </w:p>
        </w:tc>
        <w:tc>
          <w:tcPr>
            <w:tcW w:w="2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(154)</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742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340" w:type="dxa"/>
            <w:vAlign w:val="bottom"/>
            <w:tcBorders>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i w:val="1"/>
                <w:iCs w:val="1"/>
                <w:color w:val="auto"/>
                <w:w w:val="96"/>
              </w:rPr>
              <w:t>Total Affiliate investments</w:t>
            </w:r>
          </w:p>
        </w:tc>
        <w:tc>
          <w:tcPr>
            <w:tcW w:w="20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220"/>
              <w:spacing w:after="0" w:line="122"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140"/>
              <w:spacing w:after="0" w:line="122" w:lineRule="exact"/>
              <w:rPr>
                <w:sz w:val="20"/>
                <w:szCs w:val="20"/>
                <w:color w:val="auto"/>
              </w:rPr>
            </w:pPr>
            <w:r>
              <w:rPr>
                <w:rFonts w:ascii="Arial" w:cs="Arial" w:eastAsia="Arial" w:hAnsi="Arial"/>
                <w:sz w:val="13"/>
                <w:szCs w:val="13"/>
                <w:color w:val="auto"/>
              </w:rPr>
              <w:t>8,183</w:t>
            </w:r>
          </w:p>
        </w:tc>
        <w:tc>
          <w:tcPr>
            <w:tcW w:w="3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CCEEFF"/>
            </w:tcBorders>
            <w:gridSpan w:val="2"/>
            <w:shd w:val="clear" w:color="auto" w:fill="CCEEFF"/>
          </w:tcPr>
          <w:p>
            <w:pPr>
              <w:jc w:val="right"/>
              <w:ind w:right="60"/>
              <w:spacing w:after="0" w:line="122" w:lineRule="exact"/>
              <w:rPr>
                <w:sz w:val="20"/>
                <w:szCs w:val="20"/>
                <w:color w:val="auto"/>
              </w:rPr>
            </w:pPr>
            <w:r>
              <w:rPr>
                <w:rFonts w:ascii="Arial" w:cs="Arial" w:eastAsia="Arial" w:hAnsi="Arial"/>
                <w:sz w:val="13"/>
                <w:szCs w:val="13"/>
                <w:color w:val="auto"/>
              </w:rPr>
              <w:t>103,957</w:t>
            </w:r>
          </w:p>
        </w:tc>
        <w:tc>
          <w:tcPr>
            <w:tcW w:w="440" w:type="dxa"/>
            <w:vAlign w:val="bottom"/>
            <w:tcBorders>
              <w:bottom w:val="single" w:sz="8" w:color="CCEEFF"/>
            </w:tcBorders>
            <w:gridSpan w:val="2"/>
            <w:shd w:val="clear" w:color="auto" w:fill="CCEEFF"/>
          </w:tcPr>
          <w:p>
            <w:pPr>
              <w:jc w:val="right"/>
              <w:ind w:right="300"/>
              <w:spacing w:after="0" w:line="12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52,258</w:t>
            </w:r>
          </w:p>
        </w:tc>
        <w:tc>
          <w:tcPr>
            <w:tcW w:w="440" w:type="dxa"/>
            <w:vAlign w:val="bottom"/>
            <w:tcBorders>
              <w:bottom w:val="single" w:sz="8" w:color="CCEEFF"/>
            </w:tcBorders>
            <w:gridSpan w:val="2"/>
            <w:shd w:val="clear" w:color="auto" w:fill="CCEEFF"/>
          </w:tcPr>
          <w:p>
            <w:pPr>
              <w:jc w:val="right"/>
              <w:ind w:right="320"/>
              <w:spacing w:after="0" w:line="12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right"/>
              <w:ind w:right="100"/>
              <w:spacing w:after="0" w:line="122" w:lineRule="exact"/>
              <w:rPr>
                <w:sz w:val="20"/>
                <w:szCs w:val="20"/>
                <w:color w:val="auto"/>
              </w:rPr>
            </w:pPr>
            <w:r>
              <w:rPr>
                <w:rFonts w:ascii="Arial" w:cs="Arial" w:eastAsia="Arial" w:hAnsi="Arial"/>
                <w:sz w:val="13"/>
                <w:szCs w:val="13"/>
                <w:color w:val="auto"/>
              </w:rPr>
              <w:t>(60,214)</w:t>
            </w:r>
          </w:p>
        </w:tc>
        <w:tc>
          <w:tcPr>
            <w:tcW w:w="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CCEEFF"/>
            </w:tcBorders>
            <w:gridSpan w:val="2"/>
            <w:shd w:val="clear" w:color="auto" w:fill="CCEEFF"/>
          </w:tcPr>
          <w:p>
            <w:pPr>
              <w:jc w:val="right"/>
              <w:ind w:right="60"/>
              <w:spacing w:after="0" w:line="122" w:lineRule="exact"/>
              <w:rPr>
                <w:sz w:val="20"/>
                <w:szCs w:val="20"/>
                <w:color w:val="auto"/>
              </w:rPr>
            </w:pPr>
            <w:r>
              <w:rPr>
                <w:rFonts w:ascii="Arial" w:cs="Arial" w:eastAsia="Arial" w:hAnsi="Arial"/>
                <w:sz w:val="13"/>
                <w:szCs w:val="13"/>
                <w:color w:val="auto"/>
              </w:rPr>
              <w:t>2,920</w:t>
            </w:r>
          </w:p>
        </w:tc>
        <w:tc>
          <w:tcPr>
            <w:tcW w:w="260" w:type="dxa"/>
            <w:vAlign w:val="bottom"/>
            <w:tcBorders>
              <w:bottom w:val="single" w:sz="8" w:color="CCEEFF"/>
            </w:tcBorders>
            <w:gridSpan w:val="2"/>
            <w:shd w:val="clear" w:color="auto" w:fill="CCEEFF"/>
          </w:tcPr>
          <w:p>
            <w:pPr>
              <w:jc w:val="right"/>
              <w:ind w:right="120"/>
              <w:spacing w:after="0" w:line="122"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gridSpan w:val="2"/>
            <w:shd w:val="clear" w:color="auto" w:fill="CCEEFF"/>
          </w:tcPr>
          <w:p>
            <w:pPr>
              <w:jc w:val="right"/>
              <w:ind w:right="60"/>
              <w:spacing w:after="0" w:line="122" w:lineRule="exact"/>
              <w:rPr>
                <w:sz w:val="20"/>
                <w:szCs w:val="20"/>
                <w:color w:val="auto"/>
              </w:rPr>
            </w:pPr>
            <w:r>
              <w:rPr>
                <w:rFonts w:ascii="Arial" w:cs="Arial" w:eastAsia="Arial" w:hAnsi="Arial"/>
                <w:sz w:val="13"/>
                <w:szCs w:val="13"/>
                <w:color w:val="auto"/>
              </w:rPr>
              <w:t>(5,982)</w:t>
            </w:r>
          </w:p>
        </w:tc>
        <w:tc>
          <w:tcPr>
            <w:tcW w:w="420" w:type="dxa"/>
            <w:vAlign w:val="bottom"/>
            <w:tcBorders>
              <w:bottom w:val="single" w:sz="8" w:color="CCEEFF"/>
            </w:tcBorders>
            <w:gridSpan w:val="2"/>
            <w:shd w:val="clear" w:color="auto" w:fill="CCEEFF"/>
          </w:tcPr>
          <w:p>
            <w:pPr>
              <w:jc w:val="right"/>
              <w:ind w:right="320"/>
              <w:spacing w:after="0" w:line="122"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60"/>
              <w:spacing w:after="0" w:line="122" w:lineRule="exact"/>
              <w:rPr>
                <w:sz w:val="20"/>
                <w:szCs w:val="20"/>
                <w:color w:val="auto"/>
              </w:rPr>
            </w:pPr>
            <w:r>
              <w:rPr>
                <w:rFonts w:ascii="Arial" w:cs="Arial" w:eastAsia="Arial" w:hAnsi="Arial"/>
                <w:sz w:val="13"/>
                <w:szCs w:val="13"/>
                <w:color w:val="auto"/>
              </w:rPr>
              <w:t>92,939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Amount of</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gridSpan w:val="4"/>
            <w:vMerge w:val="restart"/>
          </w:tcPr>
          <w:p>
            <w:pPr>
              <w:ind w:left="40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20"/>
                <w:szCs w:val="20"/>
                <w:b w:val="1"/>
                <w:bCs w:val="1"/>
                <w:color w:val="auto"/>
                <w:vertAlign w:val="superscript"/>
              </w:rPr>
              <w:t>(4)</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b w:val="1"/>
                <w:bCs w:val="1"/>
                <w:color w:val="auto"/>
              </w:rPr>
              <w:t>Principal</w:t>
            </w:r>
          </w:p>
        </w:tc>
        <w:tc>
          <w:tcPr>
            <w:tcW w:w="8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Credited</w:t>
            </w:r>
          </w:p>
        </w:tc>
        <w:tc>
          <w:tcPr>
            <w:tcW w:w="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w w:val="97"/>
              </w:rPr>
              <w:t>December 31, 2017</w:t>
            </w:r>
          </w:p>
        </w:tc>
        <w:tc>
          <w:tcPr>
            <w:tcW w:w="116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4"/>
              </w:rPr>
              <w:t xml:space="preserve">Gross Additions </w:t>
            </w:r>
            <w:r>
              <w:rPr>
                <w:rFonts w:ascii="Arial" w:cs="Arial" w:eastAsia="Arial" w:hAnsi="Arial"/>
                <w:sz w:val="20"/>
                <w:szCs w:val="20"/>
                <w:b w:val="1"/>
                <w:bCs w:val="1"/>
                <w:color w:val="auto"/>
                <w:w w:val="94"/>
                <w:vertAlign w:val="superscript"/>
              </w:rPr>
              <w:t>(2)</w:t>
            </w:r>
          </w:p>
        </w:tc>
        <w:tc>
          <w:tcPr>
            <w:tcW w:w="120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89"/>
              </w:rPr>
              <w:t xml:space="preserve">Gross Reductions </w:t>
            </w:r>
            <w:r>
              <w:rPr>
                <w:rFonts w:ascii="Arial" w:cs="Arial" w:eastAsia="Arial" w:hAnsi="Arial"/>
                <w:sz w:val="20"/>
                <w:szCs w:val="20"/>
                <w:b w:val="1"/>
                <w:bCs w:val="1"/>
                <w:color w:val="auto"/>
                <w:w w:val="89"/>
                <w:vertAlign w:val="superscript"/>
              </w:rPr>
              <w:t>(3)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7"/>
              </w:rPr>
              <w:t>Realized</w:t>
            </w:r>
          </w:p>
        </w:tc>
        <w:tc>
          <w:tcPr>
            <w:tcW w:w="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w w:val="90"/>
              </w:rPr>
              <w:t>December 31, 2018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Pr>
          <w:p>
            <w:pPr>
              <w:ind w:left="520"/>
              <w:spacing w:after="0"/>
              <w:rPr>
                <w:sz w:val="20"/>
                <w:szCs w:val="20"/>
                <w:color w:val="auto"/>
              </w:rPr>
            </w:pPr>
            <w:r>
              <w:rPr>
                <w:rFonts w:ascii="Arial" w:cs="Arial" w:eastAsia="Arial" w:hAnsi="Arial"/>
                <w:sz w:val="13"/>
                <w:szCs w:val="13"/>
                <w:b w:val="1"/>
                <w:bCs w:val="1"/>
                <w:color w:val="auto"/>
              </w:rPr>
              <w:t>Type of Investment</w:t>
            </w:r>
          </w:p>
        </w:tc>
        <w:tc>
          <w:tcPr>
            <w:tcW w:w="6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3"/>
          </w:tcPr>
          <w:p>
            <w:pPr>
              <w:jc w:val="center"/>
              <w:ind w:right="60"/>
              <w:spacing w:after="0" w:line="162" w:lineRule="exact"/>
              <w:rPr>
                <w:sz w:val="20"/>
                <w:szCs w:val="20"/>
                <w:color w:val="auto"/>
              </w:rPr>
            </w:pPr>
            <w:r>
              <w:rPr>
                <w:rFonts w:ascii="Arial" w:cs="Arial" w:eastAsia="Arial" w:hAnsi="Arial"/>
                <w:sz w:val="12"/>
                <w:szCs w:val="12"/>
                <w:b w:val="1"/>
                <w:bCs w:val="1"/>
                <w:color w:val="auto"/>
                <w:w w:val="93"/>
              </w:rPr>
              <w:t xml:space="preserve">to Income </w:t>
            </w:r>
            <w:r>
              <w:rPr>
                <w:rFonts w:ascii="Arial" w:cs="Arial" w:eastAsia="Arial" w:hAnsi="Arial"/>
                <w:sz w:val="18"/>
                <w:szCs w:val="18"/>
                <w:b w:val="1"/>
                <w:bCs w:val="1"/>
                <w:color w:val="auto"/>
                <w:w w:val="93"/>
                <w:vertAlign w:val="superscript"/>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Fair Value</w:t>
            </w:r>
          </w:p>
        </w:tc>
        <w:tc>
          <w:tcPr>
            <w:tcW w:w="116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760" w:type="dxa"/>
            <w:vAlign w:val="bottom"/>
            <w:gridSpan w:val="4"/>
          </w:tcPr>
          <w:p>
            <w:pPr>
              <w:ind w:left="40"/>
              <w:spacing w:after="0"/>
              <w:rPr>
                <w:sz w:val="20"/>
                <w:szCs w:val="20"/>
                <w:color w:val="auto"/>
              </w:rPr>
            </w:pPr>
            <w:r>
              <w:rPr>
                <w:rFonts w:ascii="Arial" w:cs="Arial" w:eastAsia="Arial" w:hAnsi="Arial"/>
                <w:sz w:val="13"/>
                <w:szCs w:val="13"/>
                <w:b w:val="1"/>
                <w:bCs w:val="1"/>
                <w:color w:val="auto"/>
                <w:w w:val="97"/>
              </w:rPr>
              <w:t>Gain/(Loss)</w:t>
            </w:r>
          </w:p>
        </w:tc>
        <w:tc>
          <w:tcPr>
            <w:tcW w:w="780" w:type="dxa"/>
            <w:vAlign w:val="bottom"/>
            <w:gridSpan w:val="4"/>
          </w:tcPr>
          <w:p>
            <w:pPr>
              <w:ind w:left="60"/>
              <w:spacing w:after="0"/>
              <w:rPr>
                <w:sz w:val="20"/>
                <w:szCs w:val="20"/>
                <w:color w:val="auto"/>
              </w:rPr>
            </w:pPr>
            <w:r>
              <w:rPr>
                <w:rFonts w:ascii="Arial" w:cs="Arial" w:eastAsia="Arial" w:hAnsi="Arial"/>
                <w:sz w:val="13"/>
                <w:szCs w:val="13"/>
                <w:b w:val="1"/>
                <w:bCs w:val="1"/>
                <w:color w:val="auto"/>
                <w:w w:val="97"/>
              </w:rPr>
              <w:t>Gain/(Loss)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4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b w:val="1"/>
                <w:bCs w:val="1"/>
                <w:i w:val="1"/>
                <w:iCs w:val="1"/>
                <w:color w:val="auto"/>
                <w:w w:val="81"/>
              </w:rPr>
              <w:t>Control investments</w:t>
            </w:r>
          </w:p>
        </w:tc>
        <w:tc>
          <w:tcPr>
            <w:tcW w:w="2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00" w:type="dxa"/>
            <w:vAlign w:val="bottom"/>
            <w:tcBorders>
              <w:top w:val="single" w:sz="8" w:color="CCEEFF"/>
            </w:tcBorders>
            <w:gridSpan w:val="2"/>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AAE Acquisition, LLC</w:t>
            </w: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w w:val="99"/>
              </w:rPr>
              <w:t>Second Lien Debt (6.0% Cash, Due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8/24/19)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5"/>
              </w:rPr>
              <w:t>16,327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16,327</w:t>
            </w: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16,327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AAE Acquisition, LLC</w:t>
            </w:r>
          </w:p>
        </w:tc>
        <w:tc>
          <w:tcPr>
            <w:tcW w:w="21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94"/>
              </w:rPr>
              <w:t>Membership Units (2.2% fully diluted)</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AAE Acquisition, LLC</w:t>
            </w:r>
          </w:p>
        </w:tc>
        <w:tc>
          <w:tcPr>
            <w:tcW w:w="21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Warrants (37.8% fully diluted)</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16,344</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16,327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0"/>
              </w:rPr>
              <w:t>CableOrganizer Acquisition,</w:t>
            </w: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rPr>
              <w:t>First Lien Debt (10.0% Cash, Due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5/24/19)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1,708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1,708</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0"/>
              </w:rPr>
              <w:t>CableOrganizer Acquisition,</w:t>
            </w: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w w:val="89"/>
              </w:rPr>
              <w:t>First Lien Debt (12.0% Cash, 4.0% PIK,</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Due 6/30/19)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8,889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12,373</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515</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(2,354)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(1,646)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0"/>
              </w:rPr>
              <w:t>CableOrganizer Acquisition,</w:t>
            </w:r>
          </w:p>
        </w:tc>
        <w:tc>
          <w:tcPr>
            <w:tcW w:w="8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Preferred Units (4,000,000 units)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2,354</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(2,354)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0"/>
              </w:rPr>
              <w:t>CableOrganizer Acquisition,</w:t>
            </w:r>
          </w:p>
        </w:tc>
        <w:tc>
          <w:tcPr>
            <w:tcW w:w="8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8"/>
              </w:rPr>
              <w:t>Common Stock (21.3% fully diluted)</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118</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0"/>
              </w:rPr>
              <w:t>CableOrganizer Acquisition,</w:t>
            </w: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w w:val="94"/>
              </w:rPr>
              <w:t>Common Stock Warrants (10.0% fully</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diluted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12,551</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4,577</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(2,354)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(1,646)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(2,531)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10,597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4"/>
              </w:rPr>
              <w:t>Capitala Senior Loan Fund</w:t>
            </w:r>
          </w:p>
        </w:tc>
        <w:tc>
          <w:tcPr>
            <w:tcW w:w="8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II, LLC</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4"/>
              </w:rPr>
              <w:t>Membership Units (80.0% ownership)</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13,600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13,695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13,600</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13,695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rPr>
              <w:t>Subordinated Debt (15.8% Cash (3</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97"/>
              </w:rPr>
              <w:t>month LIBOR + 13.0%, 0.5% Floor),</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Due 4/29/20)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16,500</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493</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(15,231)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(1,762)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Eastport Holdings, LLC</w:t>
            </w:r>
          </w:p>
        </w:tc>
        <w:tc>
          <w:tcPr>
            <w:tcW w:w="21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94"/>
              </w:rPr>
              <w:t>Membership Units (22.9% ownership)</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26,449</w:t>
            </w:r>
          </w:p>
        </w:tc>
        <w:tc>
          <w:tcPr>
            <w:tcW w:w="3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(4,733)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(21,716)</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42,949</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493</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(19,964)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(23,478)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8"/>
              </w:rPr>
              <w:t>Kelle's Transport Service,</w:t>
            </w: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rPr>
              <w:t>First Lien Debt (4.0% Cash, Due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2/15/20)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2,000</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1,300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8"/>
              </w:rPr>
              <w:t>Kelle's Transport Service,</w:t>
            </w: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rPr>
              <w:t>First Lien Debt (2.2% Cash, Due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2/15/20)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9,560</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(3,669)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4,109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8"/>
              </w:rPr>
              <w:t>Kelle's Transport Service,</w:t>
            </w:r>
          </w:p>
        </w:tc>
        <w:tc>
          <w:tcPr>
            <w:tcW w:w="8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1"/>
              </w:rPr>
              <w:t>Membership Units (27.5% fully diluted)</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11,560</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1,300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(3,669)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4,109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Micro Precision, LLC</w:t>
            </w: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w w:val="93"/>
              </w:rPr>
              <w:t>Subordinated Debt (10.0% Cash, Due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1/1/19)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1,862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1,862</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rPr>
              <w:t>Micro Precision, LLC</w:t>
            </w: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w w:val="91"/>
              </w:rPr>
              <w:t>Subordinated Debt (14.0% Cash, 4.0%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PIK, Due 1/1/19)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4,325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4,154</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171</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Micro Precision, LLC</w:t>
            </w:r>
          </w:p>
        </w:tc>
        <w:tc>
          <w:tcPr>
            <w:tcW w:w="21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Series A Preferred Units (47 units)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1,629</w:t>
            </w:r>
          </w:p>
        </w:tc>
        <w:tc>
          <w:tcPr>
            <w:tcW w:w="3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1,188</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2,817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787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7,645</w:t>
            </w:r>
          </w:p>
        </w:tc>
        <w:tc>
          <w:tcPr>
            <w:tcW w:w="3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171</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1,188</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9,004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88"/>
              </w:rPr>
              <w:t>Navis Holdings, Inc.</w:t>
            </w: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rPr>
              <w:t>First Lien Debt (15.0% Cash, Due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10/30/20)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7,500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6,500</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88"/>
              </w:rPr>
              <w:t>Navis Holdings, Inc.</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97"/>
              </w:rPr>
              <w:t>(5)</w:t>
            </w:r>
          </w:p>
        </w:tc>
        <w:tc>
          <w:tcPr>
            <w:tcW w:w="1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w w:val="90"/>
              </w:rPr>
              <w:t>Class A Preferred Stock (1,000 shares,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14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color w:val="auto"/>
              </w:rPr>
              <w:t>10.0% Cash Dividend)</w:t>
            </w: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5"/>
                <w:szCs w:val="5"/>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5"/>
                <w:szCs w:val="5"/>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14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88"/>
              </w:rPr>
              <w:t>Navis Holdings, Inc.</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Common Stock (300,000 shares)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5,005</w:t>
            </w:r>
          </w:p>
        </w:tc>
        <w:tc>
          <w:tcPr>
            <w:tcW w:w="3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(657)</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12,505</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(657)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12,848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8"/>
              </w:rPr>
              <w:t>On-Site Fuel Service, Inc.</w:t>
            </w: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rPr>
              <w:t>First Lien Debt (18.0% Cash, Due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12/19/18)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11,020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(11,020)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8"/>
              </w:rPr>
              <w:t>On-Site Fuel Service, Inc.</w:t>
            </w: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w w:val="93"/>
              </w:rPr>
              <w:t>Subordinated Debt (18.0% Cash, Due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12/19/18)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11,588</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(11,020)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(568)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98"/>
              </w:rPr>
              <w:t>On-Site Fuel Service, Inc.</w:t>
            </w:r>
          </w:p>
        </w:tc>
        <w:tc>
          <w:tcPr>
            <w:tcW w:w="21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5"/>
              </w:rPr>
              <w:t>Series A Preferred Stock (32,782 shares)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(3,278)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3,278</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98"/>
              </w:rPr>
              <w:t>On-Site Fuel Service, Inc.</w:t>
            </w:r>
          </w:p>
        </w:tc>
        <w:tc>
          <w:tcPr>
            <w:tcW w:w="21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5"/>
              </w:rPr>
              <w:t>Series B Preferred Stock (23,648 shares)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(2,364)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2,364</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98"/>
              </w:rPr>
              <w:t>On-Site Fuel Service, Inc.</w:t>
            </w:r>
          </w:p>
        </w:tc>
        <w:tc>
          <w:tcPr>
            <w:tcW w:w="21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Common Stock (33,058 shares)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11,588</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11,020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(11,020)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(16,695)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5,107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89"/>
              </w:rPr>
              <w:t>Portrait Studio, LLC</w:t>
            </w: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w w:val="96"/>
              </w:rPr>
              <w:t>First Lien Debt (9.0% Cash (1 month</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LIBOR + 7.0%, 1.0% Floor, 2.0%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Ceiling), Due 12/31/22)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1,860</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2,400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(4,260)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89"/>
              </w:rPr>
              <w:t>Portrait Studio, LLC</w:t>
            </w: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w w:val="96"/>
              </w:rPr>
              <w:t>First Lien Debt (9.4% Cash (1 month</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LIBOR + 7.0%, 1.0% Floor, 5.0%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Ceiling), Due 12/31/22)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4,500</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89"/>
              </w:rPr>
              <w:t>Portrait Studio, LLC</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Preferred Units (4,350,000 Units)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2,450</w:t>
            </w:r>
          </w:p>
        </w:tc>
        <w:tc>
          <w:tcPr>
            <w:tcW w:w="3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(276)</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2,174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89"/>
              </w:rPr>
              <w:t>Portrait Studio, LLC</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Membership Units (150,000 Units)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8,810</w:t>
            </w: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2,400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(4,260)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320" w:type="dxa"/>
            <w:vAlign w:val="bottom"/>
            <w:tcBorders>
              <w:bottom w:val="single" w:sz="8" w:color="auto"/>
            </w:tcBorders>
            <w:gridSpan w:val="3"/>
            <w:shd w:val="clear" w:color="auto" w:fill="CCEEFF"/>
          </w:tcPr>
          <w:p>
            <w:pPr>
              <w:spacing w:after="0" w:line="102" w:lineRule="exact"/>
              <w:rPr>
                <w:sz w:val="20"/>
                <w:szCs w:val="20"/>
                <w:color w:val="auto"/>
              </w:rPr>
            </w:pPr>
            <w:r>
              <w:rPr>
                <w:rFonts w:ascii="Arial" w:cs="Arial" w:eastAsia="Arial" w:hAnsi="Arial"/>
                <w:sz w:val="11"/>
                <w:szCs w:val="11"/>
                <w:b w:val="1"/>
                <w:bCs w:val="1"/>
                <w:i w:val="1"/>
                <w:iCs w:val="1"/>
                <w:color w:val="auto"/>
                <w:w w:val="95"/>
              </w:rPr>
              <w:t>Total Control investments</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6,802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gridSpan w:val="2"/>
            <w:shd w:val="clear" w:color="auto" w:fill="CCEEFF"/>
          </w:tcPr>
          <w:p>
            <w:pPr>
              <w:jc w:val="right"/>
              <w:ind w:right="140"/>
              <w:spacing w:after="0" w:line="115" w:lineRule="exact"/>
              <w:rPr>
                <w:sz w:val="20"/>
                <w:szCs w:val="20"/>
                <w:color w:val="auto"/>
              </w:rPr>
            </w:pPr>
            <w:r>
              <w:rPr>
                <w:rFonts w:ascii="Arial" w:cs="Arial" w:eastAsia="Arial" w:hAnsi="Arial"/>
                <w:sz w:val="13"/>
                <w:szCs w:val="13"/>
                <w:color w:val="auto"/>
              </w:rPr>
              <w:t>107,608</w:t>
            </w:r>
          </w:p>
        </w:tc>
        <w:tc>
          <w:tcPr>
            <w:tcW w:w="38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140"/>
              <w:spacing w:after="0" w:line="115" w:lineRule="exact"/>
              <w:rPr>
                <w:sz w:val="20"/>
                <w:szCs w:val="20"/>
                <w:color w:val="auto"/>
              </w:rPr>
            </w:pPr>
            <w:r>
              <w:rPr>
                <w:rFonts w:ascii="Arial" w:cs="Arial" w:eastAsia="Arial" w:hAnsi="Arial"/>
                <w:sz w:val="13"/>
                <w:szCs w:val="13"/>
                <w:color w:val="auto"/>
              </w:rPr>
              <w:t>50,905</w:t>
            </w:r>
          </w:p>
        </w:tc>
        <w:tc>
          <w:tcPr>
            <w:tcW w:w="38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60"/>
              <w:spacing w:after="0" w:line="115" w:lineRule="exact"/>
              <w:rPr>
                <w:sz w:val="20"/>
                <w:szCs w:val="20"/>
                <w:color w:val="auto"/>
              </w:rPr>
            </w:pPr>
            <w:r>
              <w:rPr>
                <w:rFonts w:ascii="Arial" w:cs="Arial" w:eastAsia="Arial" w:hAnsi="Arial"/>
                <w:sz w:val="13"/>
                <w:szCs w:val="13"/>
                <w:color w:val="auto"/>
              </w:rPr>
              <w:t>(50,898)</w:t>
            </w:r>
          </w:p>
        </w:tc>
        <w:tc>
          <w:tcPr>
            <w:tcW w:w="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CCEEFF"/>
            </w:tcBorders>
            <w:gridSpan w:val="2"/>
            <w:shd w:val="clear" w:color="auto" w:fill="CCEEFF"/>
          </w:tcPr>
          <w:p>
            <w:pPr>
              <w:jc w:val="right"/>
              <w:ind w:right="60"/>
              <w:spacing w:after="0" w:line="115" w:lineRule="exact"/>
              <w:rPr>
                <w:sz w:val="20"/>
                <w:szCs w:val="20"/>
                <w:color w:val="auto"/>
              </w:rPr>
            </w:pPr>
            <w:r>
              <w:rPr>
                <w:rFonts w:ascii="Arial" w:cs="Arial" w:eastAsia="Arial" w:hAnsi="Arial"/>
                <w:sz w:val="13"/>
                <w:szCs w:val="13"/>
                <w:color w:val="auto"/>
              </w:rPr>
              <w:t>(22,010)</w:t>
            </w:r>
          </w:p>
        </w:tc>
        <w:tc>
          <w:tcPr>
            <w:tcW w:w="200" w:type="dxa"/>
            <w:vAlign w:val="bottom"/>
            <w:tcBorders>
              <w:bottom w:val="single" w:sz="8" w:color="CCEEFF"/>
            </w:tcBorders>
            <w:gridSpan w:val="2"/>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60"/>
              <w:spacing w:after="0" w:line="115" w:lineRule="exact"/>
              <w:rPr>
                <w:sz w:val="20"/>
                <w:szCs w:val="20"/>
                <w:color w:val="auto"/>
              </w:rPr>
            </w:pPr>
            <w:r>
              <w:rPr>
                <w:rFonts w:ascii="Arial" w:cs="Arial" w:eastAsia="Arial" w:hAnsi="Arial"/>
                <w:sz w:val="13"/>
                <w:szCs w:val="13"/>
                <w:color w:val="auto"/>
              </w:rPr>
              <w:t>(16,460)</w:t>
            </w:r>
          </w:p>
        </w:tc>
        <w:tc>
          <w:tcPr>
            <w:tcW w:w="200" w:type="dxa"/>
            <w:vAlign w:val="bottom"/>
            <w:tcBorders>
              <w:bottom w:val="single" w:sz="8" w:color="CCEEFF"/>
            </w:tcBorders>
            <w:gridSpan w:val="2"/>
            <w:shd w:val="clear" w:color="auto" w:fill="CCEEFF"/>
          </w:tcPr>
          <w:p>
            <w:pPr>
              <w:ind w:left="40"/>
              <w:spacing w:after="0" w:line="115"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gridSpan w:val="2"/>
            <w:shd w:val="clear" w:color="auto" w:fill="CCEEFF"/>
          </w:tcPr>
          <w:p>
            <w:pPr>
              <w:jc w:val="right"/>
              <w:ind w:right="60"/>
              <w:spacing w:after="0" w:line="115" w:lineRule="exact"/>
              <w:rPr>
                <w:sz w:val="20"/>
                <w:szCs w:val="20"/>
                <w:color w:val="auto"/>
              </w:rPr>
            </w:pPr>
            <w:r>
              <w:rPr>
                <w:rFonts w:ascii="Arial" w:cs="Arial" w:eastAsia="Arial" w:hAnsi="Arial"/>
                <w:sz w:val="13"/>
                <w:szCs w:val="13"/>
                <w:color w:val="auto"/>
              </w:rPr>
              <w:t>69,145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hanging="332"/>
        <w:spacing w:after="0" w:line="25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total amount of interest, original issue discount, fees and dividends credited to income for the portion of the year an investment was included in Affiliate or Control categories, respectively.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Gross additions include increases in the cost basis of investments resulting from new portfolio investments, follow-on investments, accrued PIK and</w:t>
      </w:r>
    </w:p>
    <w:p>
      <w:pPr>
        <w:sectPr>
          <w:pgSz w:w="11900" w:h="16838" w:orient="portrait"/>
          <w:cols w:equalWidth="0" w:num="1">
            <w:col w:w="11420"/>
          </w:cols>
          <w:pgMar w:left="240" w:top="877" w:right="239" w:bottom="0" w:gutter="0" w:footer="0" w:header="0"/>
        </w:sectPr>
      </w:pPr>
    </w:p>
    <w:bookmarkStart w:id="44" w:name="page45"/>
    <w:bookmarkEnd w:id="44"/>
    <w:p>
      <w:pPr>
        <w:ind w:left="332"/>
        <w:spacing w:after="0"/>
        <w:rPr>
          <w:sz w:val="20"/>
          <w:szCs w:val="20"/>
          <w:color w:val="auto"/>
        </w:rPr>
      </w:pPr>
      <w:r>
        <w:rPr>
          <w:rFonts w:ascii="Arial" w:cs="Arial" w:eastAsia="Arial" w:hAnsi="Arial"/>
          <w:sz w:val="18"/>
          <w:szCs w:val="18"/>
          <w:color w:val="auto"/>
        </w:rPr>
        <w:t>accretion of original issue discount. Gross additions also include transfers into Affiliate or Control classification.</w:t>
      </w:r>
    </w:p>
    <w:p>
      <w:pPr>
        <w:spacing w:after="0" w:line="23" w:lineRule="exact"/>
        <w:rPr>
          <w:sz w:val="20"/>
          <w:szCs w:val="20"/>
          <w:color w:val="auto"/>
        </w:rPr>
      </w:pPr>
    </w:p>
    <w:p>
      <w:pPr>
        <w:ind w:left="332" w:hanging="332"/>
        <w:spacing w:after="0" w:line="250" w:lineRule="auto"/>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and sales. Gross reductions also includes transfers out of Affiliate or Control classification.</w:t>
      </w:r>
    </w:p>
    <w:p>
      <w:pPr>
        <w:ind w:left="332" w:hanging="332"/>
        <w:spacing w:after="0"/>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 6.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non-interested directors. The Investment Advisory Agreement was most recently re-approved by the Board, including a majority of our non-interested directors, at an in-person meeting on July 26, 2018.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89" w:lineRule="exact"/>
        <w:rPr>
          <w:sz w:val="20"/>
          <w:szCs w:val="20"/>
          <w:color w:val="auto"/>
        </w:rPr>
      </w:pPr>
    </w:p>
    <w:p>
      <w:pPr>
        <w:ind w:left="740" w:hanging="84"/>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248" w:lineRule="exact"/>
        <w:rPr>
          <w:rFonts w:ascii="Arial" w:cs="Arial" w:eastAsia="Arial" w:hAnsi="Arial"/>
          <w:sz w:val="16"/>
          <w:szCs w:val="16"/>
          <w:color w:val="auto"/>
        </w:rPr>
      </w:pPr>
    </w:p>
    <w:p>
      <w:pPr>
        <w:ind w:right="20" w:firstLine="656"/>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169" w:lineRule="exact"/>
        <w:rPr>
          <w:sz w:val="20"/>
          <w:szCs w:val="20"/>
          <w:color w:val="auto"/>
        </w:rPr>
      </w:pPr>
    </w:p>
    <w:p>
      <w:pPr>
        <w:ind w:left="740" w:hanging="84"/>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225" w:lineRule="exact"/>
        <w:rPr>
          <w:rFonts w:ascii="Arial" w:cs="Arial" w:eastAsia="Arial" w:hAnsi="Arial"/>
          <w:sz w:val="18"/>
          <w:szCs w:val="18"/>
          <w:color w:val="auto"/>
        </w:rPr>
      </w:pPr>
    </w:p>
    <w:p>
      <w:pPr>
        <w:jc w:val="both"/>
        <w:ind w:firstLine="656"/>
        <w:spacing w:after="0" w:line="279" w:lineRule="auto"/>
        <w:tabs>
          <w:tab w:leader="none" w:pos="761" w:val="left"/>
        </w:tabs>
        <w:numPr>
          <w:ilvl w:val="0"/>
          <w:numId w:val="16"/>
        </w:numPr>
        <w:rPr>
          <w:rFonts w:ascii="Arial" w:cs="Arial" w:eastAsia="Arial" w:hAnsi="Arial"/>
          <w:sz w:val="17"/>
          <w:szCs w:val="17"/>
          <w:color w:val="auto"/>
        </w:rPr>
      </w:pPr>
      <w:r>
        <w:rPr>
          <w:rFonts w:ascii="Arial" w:cs="Arial" w:eastAsia="Arial" w:hAnsi="Arial"/>
          <w:sz w:val="17"/>
          <w:szCs w:val="17"/>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71" w:lineRule="exact"/>
        <w:rPr>
          <w:rFonts w:ascii="Arial" w:cs="Arial" w:eastAsia="Arial" w:hAnsi="Arial"/>
          <w:sz w:val="17"/>
          <w:szCs w:val="17"/>
          <w:color w:val="auto"/>
        </w:rPr>
      </w:pPr>
    </w:p>
    <w:p>
      <w:pPr>
        <w:jc w:val="both"/>
        <w:ind w:firstLine="656"/>
        <w:spacing w:after="0" w:line="264" w:lineRule="auto"/>
        <w:tabs>
          <w:tab w:leader="none" w:pos="7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March 31, 2019 and December 31, 2018, the Company had incentive fees payable to the Investment Advisor of $3.5 million and $2.5 million, respectively.</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three months ended March 31, 2019 and 2018, the Company incurred $2.1 million and $2.3 million in base management fees, respectively. The Company incurred $1.0 million and $0.2 million in incentive fees related to pre-incentive fee net investment income for the three months ended March 31, 2019 and 2018, respectively. For the three months ended March 31, 2019 and 2018, no incentive fees were waived by our Investment Advisor.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648"/>
        <w:spacing w:after="0" w:line="273" w:lineRule="auto"/>
        <w:rPr>
          <w:sz w:val="20"/>
          <w:szCs w:val="20"/>
          <w:color w:val="auto"/>
        </w:rPr>
      </w:pPr>
      <w:r>
        <w:rPr>
          <w:rFonts w:ascii="Arial" w:cs="Arial" w:eastAsia="Arial" w:hAnsi="Arial"/>
          <w:sz w:val="17"/>
          <w:szCs w:val="17"/>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the chief accounting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July 26, 2018.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March 31, 2019 and 2018, the Company paid the Administrator $0.4 million and $0.4 million, respectively, for the Company’s allocable portion of the Administrator’s overhead.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March 31, 2019 and December 31, 2018, the Company had $3.5 million and $2.5 million, respectively, of management and incentive fees payable to the Investment Advisor.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The Administrator also serves as the administrator to FSC II. See Note 4 for a further description of this transaction.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may invest in the same unitranche facility as CSLF II, whereby CSLF II provides the first-out portion of the unitranche facility and the Company and other lenders provide the last-out portion of the unitranche facility. Under a guarantee agreement, the Company may be required to purchase its pro-rata portion of first-out loans from CSLF II upon certain triggering events, including acceleration upon payment default of the underlying borrower. As of March 31, 2019, the Company has evaluated the fair value of the guarantee under the guidance of ASC Topic 460 — </w:t>
      </w:r>
      <w:r>
        <w:rPr>
          <w:rFonts w:ascii="Arial" w:cs="Arial" w:eastAsia="Arial" w:hAnsi="Arial"/>
          <w:sz w:val="17"/>
          <w:szCs w:val="17"/>
          <w:i w:val="1"/>
          <w:iCs w:val="1"/>
          <w:color w:val="auto"/>
        </w:rPr>
        <w:t>Guarantees</w:t>
      </w:r>
      <w:r>
        <w:rPr>
          <w:rFonts w:ascii="Arial" w:cs="Arial" w:eastAsia="Arial" w:hAnsi="Arial"/>
          <w:sz w:val="17"/>
          <w:szCs w:val="17"/>
          <w:color w:val="auto"/>
        </w:rPr>
        <w:t xml:space="preserve"> and determined that the fair value of the guarantee is immaterial as the risk of payment default for first-out loans in CSLF II is considered remote. The maximum exposure to credit risk as of March 31, 2019 is $7.3 million and extends to the stated maturity of the underlying loans in CSLF II.</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through its wholly owned subsidiary, uses debenture leverage provided through the SBA to fund a portion of its investment portfolio. As of March 31, 2019 and December 31, 2018, the Company had $150.0 million and $165.7 million, respectively, of SBA-guaranteed debentures outstanding. The Company has issued all SBA-guaranteed debentures that were permitted under each of the Legacy Funds’ respective SBIC licenses (as applicable), and there are no unused SBA debenture commitments remaining. On March 1, 2019, Fund II repaid its outstanding SBA debentures and relinquished its SBIC license. SBA-guaranteed debentures are secured by a lien on all assets of Fund III and were secured by a lien on all assets of Fund II prior to March 1, 2019. As of March 31, 2019 Fund III had total assets of $277.2 million. As of December 31, 2018, Fund II and Fund III had total assets of $332.7 million.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table summarizes the interest expense and annual charges, deferred financing costs, average balance outstanding, and average stated interest and annual charge rate on the SBA-guaranteed debentures for the three months ended March 31, 2019 and 2018 (dollars in thousands):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2019</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March 31, 2018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and annual charges</w:t>
            </w:r>
          </w:p>
        </w:tc>
        <w:tc>
          <w:tcPr>
            <w:tcW w:w="2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285</w:t>
            </w:r>
          </w:p>
        </w:tc>
        <w:tc>
          <w:tcPr>
            <w:tcW w:w="3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2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160,292</w:t>
            </w:r>
          </w:p>
        </w:tc>
        <w:tc>
          <w:tcPr>
            <w:tcW w:w="240" w:type="dxa"/>
            <w:vAlign w:val="bottom"/>
            <w:vMerge w:val="continue"/>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170,700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and annual charge rate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2019 and December 31, 2018, the Company’s issued and outstanding SBA-guaranteed debentures mature as follows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SBA Annual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Fixed Maturity Date</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Interest Rate</w:t>
            </w: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Charge</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September 1, 2020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3.215%</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15,700</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March 1, 2023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2.351%</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23"/>
        </w:trPr>
        <w:tc>
          <w:tcPr>
            <w:tcW w:w="54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Interest was payable quarterly beginning August 31, 2017.</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Notes for the three months ended March 31, 2019 and 2018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1"/>
              </w:rPr>
              <w:t>For the three months ended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2019</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March 31, 2018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4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660"/>
              <w:spacing w:after="0"/>
              <w:rPr>
                <w:sz w:val="20"/>
                <w:szCs w:val="20"/>
                <w:color w:val="auto"/>
              </w:rPr>
            </w:pPr>
            <w:r>
              <w:rPr>
                <w:rFonts w:ascii="Arial" w:cs="Arial" w:eastAsia="Arial" w:hAnsi="Arial"/>
                <w:sz w:val="18"/>
                <w:szCs w:val="18"/>
                <w:color w:val="auto"/>
              </w:rPr>
              <w:t>Average outstanding balance</w:t>
            </w:r>
          </w:p>
        </w:tc>
        <w:tc>
          <w:tcPr>
            <w:tcW w:w="4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gridSpan w:val="2"/>
            <w:vMerge w:val="continue"/>
          </w:tcPr>
          <w:p>
            <w:pPr>
              <w:spacing w:after="0"/>
              <w:rPr>
                <w:sz w:val="17"/>
                <w:szCs w:val="17"/>
                <w:color w:val="auto"/>
              </w:rPr>
            </w:pPr>
          </w:p>
        </w:tc>
        <w:tc>
          <w:tcPr>
            <w:tcW w:w="4100" w:type="dxa"/>
            <w:vAlign w:val="bottom"/>
            <w:vMerge w:val="continue"/>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40" w:type="dxa"/>
            <w:vAlign w:val="bottom"/>
            <w:vMerge w:val="continue"/>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right"/>
              <w:ind w:right="2690"/>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 Interest was payable quarterly beginning August 31, 2017.</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is initially 1.5913 shares per $25.00 principal amount of 2022 Convertible Notes (equivalent to an initial conversion price of approximately $15.71 per share of common stock). The initial conversion premium is approximately 14.0%.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Convertible Notes for the three months ended March 31, 2019 and 2018 (dollars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2019</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March 31, 2018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26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40" w:type="dxa"/>
            <w:vAlign w:val="bottom"/>
            <w:vMerge w:val="continue"/>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17, 2014, the Company entered into a senior secured revolving credit agreement (the “Credit Facility”) with ING Capital, LLC, as administrative agent, arranger, and bookrunner, and the lenders party thereto. The Credit Facility was amended on May 22, 2015, June 16, 2017, July 19, 2018, and February 22, 2019 (the “Amendments”). The Amendments were affected, among other things, in order to increase the total borrowings allowed under the Credit Facility, allow for stock repurchases, extend the maturity date, reduce the minimum required interest coverage ratio, reduce the minimum required net asset value, and reduce the minimum required asset coverage ratio. The Credit Facility currently provides for borrowings up to $114.5 million and may be increased up to $200.0 million pursuant to its “accordion” feature. The Credit Facility matures on June 16, 2021.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ind w:firstLine="648"/>
        <w:spacing w:after="0" w:line="269"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has been selected, the interest rate on the applicable amount borrowed will reset after the applicable tenor period and be based on the then applicable selected LIBOR (e.g., borrowings for which the Company has elected the one month LIBOR will reset on the one month anniversary of the period based on the then selected LIBOR). For any given borrowing under the Credit Facility, the Company intends to elect what it believes to be an appropriate LIBOR taking into account the Company’s needs at the time as well as the Company’s view of future interest rate movements. The Credit Facility provides for the ability to step-down the pricing of the Credit Facility from LIBOR plus 3.00% to LIBOR plus 2.75% when certain conditions are met.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unused commitment fees, average outstanding balance, and average stated interest rate on the Credit Facility for the three months ended March 31, 2019 and 2018 (dollars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23"/>
        </w:trPr>
        <w:tc>
          <w:tcPr>
            <w:tcW w:w="5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2019</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March 31, 2018</w:t>
            </w:r>
          </w:p>
        </w:tc>
        <w:tc>
          <w:tcPr>
            <w:tcW w:w="160" w:type="dxa"/>
            <w:vAlign w:val="bottom"/>
          </w:tcPr>
          <w:p>
            <w:pPr>
              <w:spacing w:after="0"/>
              <w:rPr>
                <w:sz w:val="19"/>
                <w:szCs w:val="19"/>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2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r>
      <w:tr>
        <w:trPr>
          <w:trHeight w:val="263"/>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and financing expenses</w:t>
            </w:r>
          </w:p>
        </w:tc>
        <w:tc>
          <w:tcPr>
            <w:tcW w:w="26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Borders>
              <w:bottom w:val="single" w:sz="8" w:color="CCEEFF"/>
            </w:tcBorders>
          </w:tcPr>
          <w:p>
            <w:pPr>
              <w:spacing w:after="0"/>
              <w:rPr>
                <w:sz w:val="22"/>
                <w:szCs w:val="22"/>
                <w:color w:val="auto"/>
              </w:rPr>
            </w:pPr>
          </w:p>
        </w:tc>
      </w:tr>
      <w:tr>
        <w:trPr>
          <w:trHeight w:val="197"/>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outstanding balance</w:t>
            </w:r>
          </w:p>
        </w:tc>
        <w:tc>
          <w:tcPr>
            <w:tcW w:w="2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15,666</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16,344</w:t>
            </w:r>
          </w:p>
        </w:tc>
        <w:tc>
          <w:tcPr>
            <w:tcW w:w="160" w:type="dxa"/>
            <w:vAlign w:val="bottom"/>
            <w:shd w:val="clear" w:color="auto" w:fill="CCEEFF"/>
          </w:tcPr>
          <w:p>
            <w:pPr>
              <w:spacing w:after="0"/>
              <w:rPr>
                <w:sz w:val="17"/>
                <w:szCs w:val="17"/>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Average stated interest rate</w:t>
            </w: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4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r>
    </w:tbl>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March 31, 2019 and December 31, 2018, the Company had $25.0 million and $10.0 million, respectively, outstanding under the Credit Facility. The Credit Facility is secured by investments and cash held by the Company, exclusive of assets pledged as collateral for the Company’s SBA debentures. Assets pledged to secure the Credit Facility had a carrying value of $210.8 million and $158.9 million, respectively, at March 31, 2019 and December 31, 2018. As part of the terms of the Credit Facility, the Company may not make cash distributions with respect to any taxable year that exceed 110% (125% if the Company is not in default and our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carrying value and fair value of the Company’s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the level of each financial liability within the fair value hierarchy (dollars in thousands):</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Carrying</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71"/>
        </w:trPr>
        <w:tc>
          <w:tcPr>
            <w:tcW w:w="3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190"/>
              <w:spacing w:after="0" w:line="271" w:lineRule="exact"/>
              <w:rPr>
                <w:sz w:val="20"/>
                <w:szCs w:val="20"/>
                <w:color w:val="auto"/>
              </w:rPr>
            </w:pPr>
            <w:r>
              <w:rPr>
                <w:rFonts w:ascii="Arial" w:cs="Arial" w:eastAsia="Arial" w:hAnsi="Arial"/>
                <w:sz w:val="18"/>
                <w:szCs w:val="18"/>
                <w:b w:val="1"/>
                <w:bCs w:val="1"/>
                <w:color w:val="auto"/>
                <w:w w:val="95"/>
              </w:rPr>
              <w:t xml:space="preserve">Value </w:t>
            </w:r>
            <w:r>
              <w:rPr>
                <w:rFonts w:ascii="Arial" w:cs="Arial" w:eastAsia="Arial" w:hAnsi="Arial"/>
                <w:sz w:val="30"/>
                <w:szCs w:val="30"/>
                <w:b w:val="1"/>
                <w:bCs w:val="1"/>
                <w:color w:val="auto"/>
                <w:w w:val="95"/>
                <w:vertAlign w:val="superscript"/>
              </w:rPr>
              <w:t>(1)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2022 Notes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75,443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75,443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Credit Facility</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25,068</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25,068</w:t>
            </w:r>
          </w:p>
        </w:tc>
        <w:tc>
          <w:tcPr>
            <w:tcW w:w="120" w:type="dxa"/>
            <w:vAlign w:val="bottom"/>
            <w:tcBorders>
              <w:bottom w:val="single" w:sz="8" w:color="CCEEFF"/>
            </w:tcBorders>
          </w:tcPr>
          <w:p>
            <w:pPr>
              <w:spacing w:after="0"/>
              <w:rPr>
                <w:sz w:val="19"/>
                <w:szCs w:val="19"/>
                <w:color w:val="auto"/>
              </w:rPr>
            </w:pPr>
          </w:p>
        </w:tc>
      </w:tr>
      <w:tr>
        <w:trPr>
          <w:trHeight w:val="22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302,088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303,097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127,593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175,504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7"/>
          <w:szCs w:val="17"/>
          <w:color w:val="auto"/>
        </w:rPr>
        <w:t>The following table presents the carrying value and fair value of the Company’s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the level of each financial liability within the fair value hierarchy (dollars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Carrying</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71"/>
        </w:trPr>
        <w:tc>
          <w:tcPr>
            <w:tcW w:w="3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190"/>
              <w:spacing w:after="0" w:line="271" w:lineRule="exact"/>
              <w:rPr>
                <w:sz w:val="20"/>
                <w:szCs w:val="20"/>
                <w:color w:val="auto"/>
              </w:rPr>
            </w:pPr>
            <w:r>
              <w:rPr>
                <w:rFonts w:ascii="Arial" w:cs="Arial" w:eastAsia="Arial" w:hAnsi="Arial"/>
                <w:sz w:val="18"/>
                <w:szCs w:val="18"/>
                <w:b w:val="1"/>
                <w:bCs w:val="1"/>
                <w:color w:val="auto"/>
                <w:w w:val="95"/>
              </w:rPr>
              <w:t xml:space="preserve">Value </w:t>
            </w:r>
            <w:r>
              <w:rPr>
                <w:rFonts w:ascii="Arial" w:cs="Arial" w:eastAsia="Arial" w:hAnsi="Arial"/>
                <w:sz w:val="30"/>
                <w:szCs w:val="30"/>
                <w:b w:val="1"/>
                <w:bCs w:val="1"/>
                <w:color w:val="auto"/>
                <w:w w:val="95"/>
                <w:vertAlign w:val="superscript"/>
              </w:rPr>
              <w:t>(1)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165,436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165,436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2022 Notes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74,700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74,700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Credit Facility</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10,030</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10,030</w:t>
            </w:r>
          </w:p>
        </w:tc>
        <w:tc>
          <w:tcPr>
            <w:tcW w:w="120" w:type="dxa"/>
            <w:vAlign w:val="bottom"/>
            <w:tcBorders>
              <w:bottom w:val="single" w:sz="8" w:color="CCEEFF"/>
            </w:tcBorders>
          </w:tcPr>
          <w:p>
            <w:pPr>
              <w:spacing w:after="0"/>
              <w:rPr>
                <w:sz w:val="19"/>
                <w:szCs w:val="19"/>
                <w:color w:val="auto"/>
              </w:rPr>
            </w:pPr>
          </w:p>
        </w:tc>
      </w:tr>
      <w:tr>
        <w:trPr>
          <w:trHeight w:val="22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302,788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299,712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124,246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175,466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fair value of the Credit Facility was based on future contractual cash payments discounted at estimated market interest rates for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months ended March 31, 2019 and 2018, the Company recognized directors’ fees expense of $0.1 million and $0.1 million, respectively. No compensation is expected to be paid to directors who are “interested persons” of the Company, as such term is defined in Section 2(a)(19) of the 1940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Summarized Financial Information of Our Unconsolidated 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holds a control interest, as defined by the 1940 Act, in six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March 31, 2019 and December 31, 2018, and for the three months ended March 31, 2019 and March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AAE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AAE Acquisition, LLC, formed on May 21, 2004 as a Delaware limited liability company, is an aerial equipment rental and services business primarily serving the Gulf Coast region. The income (loss) the Company generated from AAE Acquisition, LLC, which includes all interest, dividends, PIK interest and PIK dividends, fees, and unrealized appreciation (depreciation), was $(2.9) million and $0.7 million for the three months ended March 31, 2019 and March 31,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loss the Company generated from CableOrganizer Acquisition, LLC, which includes all interest, dividends, PIK interest and PIK dividends, fees, realized loss, and unrealized appreciation (depreciation), was $(1.7) million and $(0.9) million for the three months ended March 31, 2019 and March 31, 2018,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Micro Precision, LLC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Micro Precision, LLC, formed on August 5, 2011 as a Delaware limited liability company, is a prime contractor supplying critical parts and mechanical assemblies to the U.S. Department of Defense as well as designer and manufacturer of locomotive air horns. The income (loss) the Company generated from Micro Precision, LLC, which includes all interest, dividends, PIK interest and PIK dividends, fees, and unrealized appreciation (depreciation), was $0.3 million and $(0.2) million for the three months ended March 31, 2019 and March 31, 2018,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Navis Holdings, Inc., incorporated in Delaware on December 21, 2010, designs and manufactures leading machinery for the global knit and woven finishing textile industries. The income (loss) the Company generated from Navis Holdings, Inc., which includes all interest, dividends, PIK interest and PIK dividends, fees, and unrealized appreciation (depreciation) was $(0.5) million and $0.5 million for the three months ended March 31, 2019 and March 31,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Portrait Studio,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Portrait Studio, LLC, formed on December 12, 2017 as a Delaware limited liability company, is a professional and personal imaging platform, operating retail studios throughout the U.S. and an ecommerce virtual studio web portal. The loss the Company generated from Portrait Studio, LLC, which includes all interest, dividends, PIK interest, and PIK dividends, fees, and unrealized depreciation, was $(0.5) million and $(0.3) million for the three months ended March 31, 2019 and March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(loss) the Company generated from Eastport Holdings, LLC, which includes all interest, dividends, PIK interest and dividends, fees, and unrealized appreciation (depreciation), was $(0.6) million and $0.6 million for the three months ended March 31, 2019 and March 31, 2018,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8"/>
              </w:rPr>
              <w:t>March 31,</w:t>
            </w:r>
          </w:p>
        </w:tc>
        <w:tc>
          <w:tcPr>
            <w:tcW w:w="118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gridSpan w:val="2"/>
          </w:tcPr>
          <w:p>
            <w:pPr>
              <w:ind w:left="660"/>
              <w:spacing w:after="0"/>
              <w:rPr>
                <w:sz w:val="20"/>
                <w:szCs w:val="20"/>
                <w:color w:val="auto"/>
              </w:rPr>
            </w:pPr>
            <w:r>
              <w:rPr>
                <w:rFonts w:ascii="Arial" w:cs="Arial" w:eastAsia="Arial" w:hAnsi="Arial"/>
                <w:sz w:val="18"/>
                <w:szCs w:val="18"/>
                <w:b w:val="1"/>
                <w:bCs w:val="1"/>
                <w:color w:val="auto"/>
              </w:rPr>
              <w:t>Balance Sheets – AAE Acquisition, LLC</w:t>
            </w: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Noncurrent assets</w:t>
            </w: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21,928</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9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54,684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1,726</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9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4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(27,287)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710"/>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53" w:name="page54"/>
    <w:bookmarkEnd w:id="53"/>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ind w:left="80"/>
              <w:spacing w:after="0"/>
              <w:rPr>
                <w:sz w:val="20"/>
                <w:szCs w:val="20"/>
                <w:color w:val="auto"/>
              </w:rPr>
            </w:pPr>
            <w:r>
              <w:rPr>
                <w:rFonts w:ascii="Arial" w:cs="Arial" w:eastAsia="Arial" w:hAnsi="Arial"/>
                <w:sz w:val="18"/>
                <w:szCs w:val="18"/>
                <w:b w:val="1"/>
                <w:bCs w:val="1"/>
                <w:color w:val="auto"/>
              </w:rPr>
              <w:t>For the three months ended</w:t>
            </w:r>
          </w:p>
        </w:tc>
      </w:tr>
      <w:tr>
        <w:trPr>
          <w:trHeight w:val="205"/>
        </w:trPr>
        <w:tc>
          <w:tcPr>
            <w:tcW w:w="7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5"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7"/>
                <w:szCs w:val="17"/>
                <w:color w:val="auto"/>
              </w:rPr>
            </w:pPr>
          </w:p>
        </w:tc>
      </w:tr>
      <w:tr>
        <w:trPr>
          <w:trHeight w:val="234"/>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AAE Acquisition, LLC</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100" w:type="dxa"/>
            <w:vAlign w:val="bottom"/>
            <w:shd w:val="clear" w:color="auto" w:fill="CCEEFF"/>
          </w:tcPr>
          <w:p>
            <w:pPr>
              <w:spacing w:after="0"/>
              <w:rPr>
                <w:sz w:val="18"/>
                <w:szCs w:val="18"/>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5,001</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4,855</w:t>
            </w:r>
          </w:p>
        </w:tc>
      </w:tr>
      <w:tr>
        <w:trPr>
          <w:trHeight w:val="210"/>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18" w:right="23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80910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80910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Balance Sheets – CableOrganizer Acquisition,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3,034</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3,116</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(1,494)</w:t>
            </w: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(1,348)</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6376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18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41" w:lineRule="exact"/>
        <w:rPr>
          <w:sz w:val="20"/>
          <w:szCs w:val="20"/>
          <w:color w:val="auto"/>
        </w:rPr>
      </w:pPr>
    </w:p>
    <w:p>
      <w:pPr>
        <w:sectPr>
          <w:pgSz w:w="11900" w:h="16838" w:orient="portrait"/>
          <w:cols w:equalWidth="0" w:num="2">
            <w:col w:w="7980" w:space="720"/>
            <w:col w:w="2720"/>
          </w:cols>
          <w:pgMar w:left="240" w:top="918" w:right="239" w:bottom="1440" w:gutter="0" w:footer="0" w:header="0"/>
          <w:type w:val="continuous"/>
        </w:sectPr>
      </w:pPr>
    </w:p>
    <w:tbl>
      <w:tblPr>
        <w:tblLayout w:type="fixed"/>
        <w:tblInd w:w="6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2,874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7,067</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3,689</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5"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CableOrganizer Acquisition, LLC</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2,229</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18" w:right="2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80910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80910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Balance Sheets – Micro Precision,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1,909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(961)</w:t>
            </w:r>
          </w:p>
        </w:tc>
        <w:tc>
          <w:tcPr>
            <w:tcW w:w="4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6376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18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41" w:lineRule="exact"/>
        <w:rPr>
          <w:sz w:val="20"/>
          <w:szCs w:val="20"/>
          <w:color w:val="auto"/>
        </w:rPr>
      </w:pPr>
    </w:p>
    <w:p>
      <w:pPr>
        <w:sectPr>
          <w:pgSz w:w="11900" w:h="16838" w:orient="portrait"/>
          <w:cols w:equalWidth="0" w:num="2">
            <w:col w:w="7980" w:space="720"/>
            <w:col w:w="2720"/>
          </w:cols>
          <w:pgMar w:left="240" w:top="918"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tcPr>
          <w:p>
            <w:pPr>
              <w:spacing w:after="0"/>
              <w:rPr>
                <w:sz w:val="16"/>
                <w:szCs w:val="16"/>
                <w:color w:val="auto"/>
              </w:rPr>
            </w:pPr>
          </w:p>
        </w:tc>
        <w:tc>
          <w:tcPr>
            <w:tcW w:w="32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4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10"/>
              <w:spacing w:after="0" w:line="19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7,128</w:t>
            </w: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10"/>
              <w:spacing w:after="0" w:line="19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rPr>
              <w:t>5,880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Noncurrent assets</w:t>
            </w:r>
          </w:p>
        </w:tc>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19,399</w:t>
            </w:r>
          </w:p>
        </w:tc>
        <w:tc>
          <w:tcPr>
            <w:tcW w:w="4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19,436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7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20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19,932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2,965</w:t>
            </w:r>
          </w:p>
        </w:tc>
        <w:tc>
          <w:tcPr>
            <w:tcW w:w="4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7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520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jc w:val="right"/>
              <w:ind w:right="2710"/>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type w:val="continuous"/>
        </w:sectPr>
      </w:pPr>
    </w:p>
    <w:bookmarkStart w:id="54" w:name="page55"/>
    <w:bookmarkEnd w:id="54"/>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05"/>
        </w:trPr>
        <w:tc>
          <w:tcPr>
            <w:tcW w:w="7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5"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7"/>
                <w:szCs w:val="17"/>
                <w:color w:val="auto"/>
              </w:rPr>
            </w:pPr>
          </w:p>
        </w:tc>
      </w:tr>
      <w:tr>
        <w:trPr>
          <w:trHeight w:val="234"/>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Micro Precision, LLC</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8"/>
                <w:szCs w:val="18"/>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1,581</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1,308</w:t>
            </w:r>
          </w:p>
        </w:tc>
      </w:tr>
      <w:tr>
        <w:trPr>
          <w:trHeight w:val="210"/>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18" w:right="23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80910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80910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Balance Sheets – Navis Holdings,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1,216</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6376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18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41" w:lineRule="exact"/>
        <w:rPr>
          <w:sz w:val="20"/>
          <w:szCs w:val="20"/>
          <w:color w:val="auto"/>
        </w:rPr>
      </w:pPr>
    </w:p>
    <w:p>
      <w:pPr>
        <w:sectPr>
          <w:pgSz w:w="11900" w:h="16838" w:orient="portrait"/>
          <w:cols w:equalWidth="0" w:num="2">
            <w:col w:w="7980" w:space="720"/>
            <w:col w:w="2720"/>
          </w:cols>
          <w:pgMar w:left="240" w:top="918"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tcPr>
          <w:p>
            <w:pPr>
              <w:spacing w:after="0"/>
              <w:rPr>
                <w:sz w:val="16"/>
                <w:szCs w:val="16"/>
                <w:color w:val="auto"/>
              </w:rPr>
            </w:pPr>
          </w:p>
        </w:tc>
        <w:tc>
          <w:tcPr>
            <w:tcW w:w="43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3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4,875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rPr>
              <w:t>5,868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Noncurrent assets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4,723</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8,113</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720" w:type="dxa"/>
            <w:vAlign w:val="bottom"/>
            <w:gridSpan w:val="2"/>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96"/>
              </w:rPr>
              <w:t>March 31,</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5"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Statements of Operations – Navis Holdings, Inc.</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Cost of goods sold</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2,645</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7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income</w:t>
            </w:r>
          </w:p>
        </w:tc>
        <w:tc>
          <w:tcPr>
            <w:tcW w:w="37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96"/>
              </w:rPr>
              <w:t>March 31,</w:t>
            </w:r>
          </w:p>
        </w:tc>
        <w:tc>
          <w:tcPr>
            <w:tcW w:w="118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660"/>
              <w:spacing w:after="0"/>
              <w:rPr>
                <w:sz w:val="20"/>
                <w:szCs w:val="20"/>
                <w:color w:val="auto"/>
              </w:rPr>
            </w:pPr>
            <w:r>
              <w:rPr>
                <w:rFonts w:ascii="Arial" w:cs="Arial" w:eastAsia="Arial" w:hAnsi="Arial"/>
                <w:sz w:val="18"/>
                <w:szCs w:val="18"/>
                <w:b w:val="1"/>
                <w:bCs w:val="1"/>
                <w:color w:val="auto"/>
              </w:rPr>
              <w:t>Balance Sheets – Portrait Studio, LLC</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Noncurrent assets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3,765</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7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7,509</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7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2710"/>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type w:val="continuous"/>
        </w:sectPr>
      </w:pPr>
    </w:p>
    <w:bookmarkStart w:id="55" w:name="page56"/>
    <w:bookmarkEnd w:id="55"/>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05"/>
        </w:trPr>
        <w:tc>
          <w:tcPr>
            <w:tcW w:w="7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5"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7"/>
                <w:szCs w:val="17"/>
                <w:color w:val="auto"/>
              </w:rPr>
            </w:pPr>
          </w:p>
        </w:tc>
      </w:tr>
      <w:tr>
        <w:trPr>
          <w:trHeight w:val="234"/>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Portrait Studio, LLC</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100" w:type="dxa"/>
            <w:vAlign w:val="bottom"/>
            <w:shd w:val="clear" w:color="auto" w:fill="CCEEFF"/>
          </w:tcPr>
          <w:p>
            <w:pPr>
              <w:spacing w:after="0"/>
              <w:rPr>
                <w:sz w:val="18"/>
                <w:szCs w:val="18"/>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1,077</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r>
      <w:tr>
        <w:trPr>
          <w:trHeight w:val="210"/>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18" w:right="239" w:bottom="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80910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80910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Balance Sheets - Eastport Holdings,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8,598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10,438</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(1,178)</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(1,319)</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6376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18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1" w:lineRule="exact"/>
        <w:rPr>
          <w:sz w:val="20"/>
          <w:szCs w:val="20"/>
          <w:color w:val="auto"/>
        </w:rPr>
      </w:pPr>
    </w:p>
    <w:p>
      <w:pPr>
        <w:sectPr>
          <w:pgSz w:w="11900" w:h="16838" w:orient="portrait"/>
          <w:cols w:equalWidth="0" w:num="2">
            <w:col w:w="7980" w:space="720"/>
            <w:col w:w="2720"/>
          </w:cols>
          <w:pgMar w:left="240" w:top="918" w:right="239" w:bottom="0" w:gutter="0" w:footer="0" w:header="0"/>
          <w:type w:val="continuous"/>
        </w:sectPr>
      </w:pPr>
    </w:p>
    <w:tbl>
      <w:tblPr>
        <w:tblLayout w:type="fixed"/>
        <w:tblInd w:w="6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96,859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198,360</w:t>
            </w: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198,962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295,219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163,389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144,928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55,493</w:t>
            </w: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56,951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76,337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20"/>
              <w:spacing w:after="0" w:line="205" w:lineRule="exact"/>
              <w:rPr>
                <w:sz w:val="20"/>
                <w:szCs w:val="20"/>
                <w:color w:val="auto"/>
              </w:rPr>
            </w:pPr>
            <w:r>
              <w:rPr>
                <w:rFonts w:ascii="Arial" w:cs="Arial" w:eastAsia="Arial" w:hAnsi="Arial"/>
                <w:sz w:val="18"/>
                <w:szCs w:val="18"/>
                <w:b w:val="1"/>
                <w:bCs w:val="1"/>
                <w:color w:val="auto"/>
                <w:w w:val="98"/>
              </w:rPr>
              <w:t>March 31,</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5"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Eastport Holdings, LLC</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117,670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79,857</w:t>
            </w: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93,021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(1,748)</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accordance with the provisions of ASC Topic 260 -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 basic earnings per share is computed by dividing earnings available to common stockholders by the weighted average number of shares outstanding during the period. Other potentially dilutive common shares, and the related impact to earnings, are considered when calculating earnings per share. For the three months ended March 31, 2019 and March 31, 2018, 3.3 million in convertible shares related to the 2022 Convertible Notes were considered anti-dilutive.</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information sets forth the computation of the weighted average basic and diluted net increase (decrease) in net assets per share resulting from operations for the three months ended March 31, 2019 and March 31, 2018 (dollars in thousands, except share and per share data):</w:t>
      </w:r>
    </w:p>
    <w:p>
      <w:pPr>
        <w:spacing w:after="0" w:line="156"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w:t>
            </w:r>
          </w:p>
        </w:tc>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March 31, 2019</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March 31, 2018</w:t>
            </w:r>
          </w:p>
        </w:tc>
        <w:tc>
          <w:tcPr>
            <w:tcW w:w="120" w:type="dxa"/>
            <w:vAlign w:val="bottom"/>
          </w:tcPr>
          <w:p>
            <w:pPr>
              <w:spacing w:after="0"/>
              <w:rPr>
                <w:sz w:val="19"/>
                <w:szCs w:val="19"/>
                <w:color w:val="auto"/>
              </w:rPr>
            </w:pPr>
          </w:p>
        </w:tc>
      </w:tr>
      <w:tr>
        <w:trPr>
          <w:trHeight w:val="210"/>
        </w:trPr>
        <w:tc>
          <w:tcPr>
            <w:tcW w:w="8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16,062,906</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15,959,215</w:t>
            </w: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net assets per share resulting from operations – basic and diluted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Distributions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distributions are recorded on the record date. Stockholders have the option to receive payment of the distribution in cash, shares of common stock, or a combination of cash and common stock.</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three months ended March 31, 2019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280" w:type="dxa"/>
            <w:vAlign w:val="bottom"/>
          </w:tcPr>
          <w:p>
            <w:pPr>
              <w:spacing w:after="0"/>
              <w:rPr>
                <w:sz w:val="18"/>
                <w:szCs w:val="18"/>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DRIP</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Cash</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280" w:type="dxa"/>
            <w:vAlign w:val="bottom"/>
          </w:tcPr>
          <w:p>
            <w:pPr>
              <w:spacing w:after="0"/>
              <w:rPr>
                <w:sz w:val="18"/>
                <w:szCs w:val="18"/>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Share</w:t>
            </w:r>
          </w:p>
        </w:tc>
      </w:tr>
      <w:tr>
        <w:trPr>
          <w:trHeight w:val="234"/>
        </w:trPr>
        <w:tc>
          <w:tcPr>
            <w:tcW w:w="1740" w:type="dxa"/>
            <w:vAlign w:val="bottom"/>
            <w:gridSpan w:val="2"/>
          </w:tcPr>
          <w:p>
            <w:pPr>
              <w:ind w:left="260"/>
              <w:spacing w:after="0"/>
              <w:rPr>
                <w:sz w:val="20"/>
                <w:szCs w:val="20"/>
                <w:color w:val="auto"/>
              </w:rPr>
            </w:pPr>
            <w:r>
              <w:rPr>
                <w:rFonts w:ascii="Arial" w:cs="Arial" w:eastAsia="Arial" w:hAnsi="Arial"/>
                <w:sz w:val="18"/>
                <w:szCs w:val="18"/>
                <w:b w:val="1"/>
                <w:bCs w:val="1"/>
                <w:color w:val="auto"/>
              </w:rPr>
              <w:t>Date Declared</w:t>
            </w:r>
          </w:p>
        </w:tc>
        <w:tc>
          <w:tcPr>
            <w:tcW w:w="1720" w:type="dxa"/>
            <w:vAlign w:val="bottom"/>
            <w:gridSpan w:val="2"/>
          </w:tcPr>
          <w:p>
            <w:pPr>
              <w:ind w:left="320"/>
              <w:spacing w:after="0"/>
              <w:rPr>
                <w:sz w:val="20"/>
                <w:szCs w:val="20"/>
                <w:color w:val="auto"/>
              </w:rPr>
            </w:pPr>
            <w:r>
              <w:rPr>
                <w:rFonts w:ascii="Arial" w:cs="Arial" w:eastAsia="Arial" w:hAnsi="Arial"/>
                <w:sz w:val="18"/>
                <w:szCs w:val="18"/>
                <w:b w:val="1"/>
                <w:bCs w:val="1"/>
                <w:color w:val="auto"/>
              </w:rPr>
              <w:t>Record Date</w:t>
            </w:r>
          </w:p>
        </w:tc>
        <w:tc>
          <w:tcPr>
            <w:tcW w:w="1620" w:type="dxa"/>
            <w:vAlign w:val="bottom"/>
          </w:tcPr>
          <w:p>
            <w:pPr>
              <w:ind w:left="26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Per Share</w:t>
            </w: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Distribution</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280" w:type="dxa"/>
            <w:vAlign w:val="bottom"/>
          </w:tcPr>
          <w:p>
            <w:pPr>
              <w:spacing w:after="0"/>
              <w:rPr>
                <w:sz w:val="20"/>
                <w:szCs w:val="20"/>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Value</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24, 2019</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January 2, 2019</w:t>
            </w:r>
          </w:p>
        </w:tc>
        <w:tc>
          <w:tcPr>
            <w:tcW w:w="1720" w:type="dxa"/>
            <w:vAlign w:val="bottom"/>
            <w:gridSpan w:val="2"/>
          </w:tcPr>
          <w:p>
            <w:pPr>
              <w:spacing w:after="0"/>
              <w:rPr>
                <w:sz w:val="20"/>
                <w:szCs w:val="20"/>
                <w:color w:val="auto"/>
              </w:rPr>
            </w:pPr>
            <w:r>
              <w:rPr>
                <w:rFonts w:ascii="Arial" w:cs="Arial" w:eastAsia="Arial" w:hAnsi="Arial"/>
                <w:sz w:val="18"/>
                <w:szCs w:val="18"/>
                <w:color w:val="auto"/>
              </w:rPr>
              <w:t>February 20, 2019</w:t>
            </w:r>
          </w:p>
        </w:tc>
        <w:tc>
          <w:tcPr>
            <w:tcW w:w="1620" w:type="dxa"/>
            <w:vAlign w:val="bottom"/>
          </w:tcPr>
          <w:p>
            <w:pPr>
              <w:spacing w:after="0"/>
              <w:rPr>
                <w:sz w:val="20"/>
                <w:szCs w:val="20"/>
                <w:color w:val="auto"/>
              </w:rPr>
            </w:pPr>
            <w:r>
              <w:rPr>
                <w:rFonts w:ascii="Arial" w:cs="Arial" w:eastAsia="Arial" w:hAnsi="Arial"/>
                <w:sz w:val="18"/>
                <w:szCs w:val="18"/>
                <w:color w:val="auto"/>
              </w:rPr>
              <w:t>February 27, 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1,253</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10,570</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2019</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March 28, 2019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11,756</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r>
      <w:tr>
        <w:trPr>
          <w:trHeight w:val="223"/>
        </w:trPr>
        <w:tc>
          <w:tcPr>
            <w:tcW w:w="3460" w:type="dxa"/>
            <w:vAlign w:val="bottom"/>
            <w:gridSpan w:val="4"/>
          </w:tcPr>
          <w:p>
            <w:pPr>
              <w:ind w:left="180"/>
              <w:spacing w:after="0"/>
              <w:rPr>
                <w:sz w:val="20"/>
                <w:szCs w:val="20"/>
                <w:color w:val="auto"/>
              </w:rPr>
            </w:pPr>
            <w:r>
              <w:rPr>
                <w:rFonts w:ascii="Arial" w:cs="Arial" w:eastAsia="Arial" w:hAnsi="Arial"/>
                <w:sz w:val="18"/>
                <w:szCs w:val="18"/>
                <w:color w:val="auto"/>
                <w:w w:val="93"/>
              </w:rPr>
              <w:t>Total Distributions Declared and Distributed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32,596</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918" w:right="239" w:bottom="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three months ended March 31, 2018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280" w:type="dxa"/>
            <w:vAlign w:val="bottom"/>
          </w:tcPr>
          <w:p>
            <w:pPr>
              <w:spacing w:after="0"/>
              <w:rPr>
                <w:sz w:val="18"/>
                <w:szCs w:val="18"/>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DRIP</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Cash</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280" w:type="dxa"/>
            <w:vAlign w:val="bottom"/>
          </w:tcPr>
          <w:p>
            <w:pPr>
              <w:spacing w:after="0"/>
              <w:rPr>
                <w:sz w:val="18"/>
                <w:szCs w:val="18"/>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Share</w:t>
            </w:r>
          </w:p>
        </w:tc>
      </w:tr>
      <w:tr>
        <w:trPr>
          <w:trHeight w:val="234"/>
        </w:trPr>
        <w:tc>
          <w:tcPr>
            <w:tcW w:w="1740" w:type="dxa"/>
            <w:vAlign w:val="bottom"/>
            <w:gridSpan w:val="2"/>
          </w:tcPr>
          <w:p>
            <w:pPr>
              <w:ind w:left="260"/>
              <w:spacing w:after="0"/>
              <w:rPr>
                <w:sz w:val="20"/>
                <w:szCs w:val="20"/>
                <w:color w:val="auto"/>
              </w:rPr>
            </w:pPr>
            <w:r>
              <w:rPr>
                <w:rFonts w:ascii="Arial" w:cs="Arial" w:eastAsia="Arial" w:hAnsi="Arial"/>
                <w:sz w:val="18"/>
                <w:szCs w:val="18"/>
                <w:b w:val="1"/>
                <w:bCs w:val="1"/>
                <w:color w:val="auto"/>
              </w:rPr>
              <w:t>Date Declared</w:t>
            </w:r>
          </w:p>
        </w:tc>
        <w:tc>
          <w:tcPr>
            <w:tcW w:w="1720" w:type="dxa"/>
            <w:vAlign w:val="bottom"/>
            <w:gridSpan w:val="2"/>
          </w:tcPr>
          <w:p>
            <w:pPr>
              <w:ind w:left="320"/>
              <w:spacing w:after="0"/>
              <w:rPr>
                <w:sz w:val="20"/>
                <w:szCs w:val="20"/>
                <w:color w:val="auto"/>
              </w:rPr>
            </w:pPr>
            <w:r>
              <w:rPr>
                <w:rFonts w:ascii="Arial" w:cs="Arial" w:eastAsia="Arial" w:hAnsi="Arial"/>
                <w:sz w:val="18"/>
                <w:szCs w:val="18"/>
                <w:b w:val="1"/>
                <w:bCs w:val="1"/>
                <w:color w:val="auto"/>
              </w:rPr>
              <w:t>Record Date</w:t>
            </w:r>
          </w:p>
        </w:tc>
        <w:tc>
          <w:tcPr>
            <w:tcW w:w="1620" w:type="dxa"/>
            <w:vAlign w:val="bottom"/>
          </w:tcPr>
          <w:p>
            <w:pPr>
              <w:ind w:left="26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Per Share</w:t>
            </w: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Distribution</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280" w:type="dxa"/>
            <w:vAlign w:val="bottom"/>
          </w:tcPr>
          <w:p>
            <w:pPr>
              <w:spacing w:after="0"/>
              <w:rPr>
                <w:sz w:val="20"/>
                <w:szCs w:val="20"/>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Value</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22, 2018</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January 2, 2018</w:t>
            </w:r>
          </w:p>
        </w:tc>
        <w:tc>
          <w:tcPr>
            <w:tcW w:w="1720" w:type="dxa"/>
            <w:vAlign w:val="bottom"/>
            <w:gridSpan w:val="2"/>
          </w:tcPr>
          <w:p>
            <w:pPr>
              <w:spacing w:after="0"/>
              <w:rPr>
                <w:sz w:val="20"/>
                <w:szCs w:val="20"/>
                <w:color w:val="auto"/>
              </w:rPr>
            </w:pPr>
            <w:r>
              <w:rPr>
                <w:rFonts w:ascii="Arial" w:cs="Arial" w:eastAsia="Arial" w:hAnsi="Arial"/>
                <w:sz w:val="18"/>
                <w:szCs w:val="18"/>
                <w:color w:val="auto"/>
              </w:rPr>
              <w:t>February 20, 2018</w:t>
            </w:r>
          </w:p>
        </w:tc>
        <w:tc>
          <w:tcPr>
            <w:tcW w:w="1620" w:type="dxa"/>
            <w:vAlign w:val="bottom"/>
          </w:tcPr>
          <w:p>
            <w:pPr>
              <w:spacing w:after="0"/>
              <w:rPr>
                <w:sz w:val="20"/>
                <w:szCs w:val="20"/>
                <w:color w:val="auto"/>
              </w:rPr>
            </w:pPr>
            <w:r>
              <w:rPr>
                <w:rFonts w:ascii="Arial" w:cs="Arial" w:eastAsia="Arial" w:hAnsi="Arial"/>
                <w:sz w:val="18"/>
                <w:szCs w:val="18"/>
                <w:color w:val="auto"/>
              </w:rPr>
              <w:t>February 27, 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1,275</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8,076</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23, 2018</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March 29, 2018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0.0833</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7,631</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r>
      <w:tr>
        <w:trPr>
          <w:trHeight w:val="223"/>
        </w:trPr>
        <w:tc>
          <w:tcPr>
            <w:tcW w:w="3460" w:type="dxa"/>
            <w:vAlign w:val="bottom"/>
            <w:gridSpan w:val="4"/>
          </w:tcPr>
          <w:p>
            <w:pPr>
              <w:ind w:left="180"/>
              <w:spacing w:after="0"/>
              <w:rPr>
                <w:sz w:val="20"/>
                <w:szCs w:val="20"/>
                <w:color w:val="auto"/>
              </w:rPr>
            </w:pPr>
            <w:r>
              <w:rPr>
                <w:rFonts w:ascii="Arial" w:cs="Arial" w:eastAsia="Arial" w:hAnsi="Arial"/>
                <w:sz w:val="18"/>
                <w:szCs w:val="18"/>
                <w:color w:val="auto"/>
                <w:w w:val="93"/>
              </w:rPr>
              <w:t>Total Distributions Declared and Distributed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22,987</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schedule of financial highlights for the three months ended March 31, 2019 and 2018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4"/>
              </w:rPr>
              <w:t>For the three months ended</w:t>
            </w:r>
          </w:p>
        </w:tc>
      </w:tr>
      <w:tr>
        <w:trPr>
          <w:trHeight w:val="223"/>
        </w:trPr>
        <w:tc>
          <w:tcPr>
            <w:tcW w:w="7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3"/>
              </w:rPr>
              <w:t>March 31, 2019</w:t>
            </w:r>
          </w:p>
        </w:tc>
        <w:tc>
          <w:tcPr>
            <w:tcW w:w="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 2018</w:t>
            </w:r>
          </w:p>
        </w:tc>
        <w:tc>
          <w:tcPr>
            <w:tcW w:w="160" w:type="dxa"/>
            <w:vAlign w:val="bottom"/>
          </w:tcPr>
          <w:p>
            <w:pPr>
              <w:spacing w:after="0"/>
              <w:rPr>
                <w:sz w:val="19"/>
                <w:szCs w:val="19"/>
                <w:color w:val="auto"/>
              </w:rPr>
            </w:pP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11.88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13.91</w:t>
            </w:r>
          </w:p>
        </w:tc>
      </w:tr>
      <w:tr>
        <w:trPr>
          <w:trHeight w:val="257"/>
        </w:trPr>
        <w:tc>
          <w:tcPr>
            <w:tcW w:w="7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r>
      <w:tr>
        <w:trPr>
          <w:trHeight w:val="257"/>
        </w:trPr>
        <w:tc>
          <w:tcPr>
            <w:tcW w:w="7180" w:type="dxa"/>
            <w:vAlign w:val="bottom"/>
          </w:tcPr>
          <w:p>
            <w:pPr>
              <w:spacing w:after="0" w:line="256" w:lineRule="exact"/>
              <w:rPr>
                <w:sz w:val="20"/>
                <w:szCs w:val="20"/>
                <w:color w:val="auto"/>
              </w:rPr>
            </w:pPr>
            <w:r>
              <w:rPr>
                <w:rFonts w:ascii="Arial" w:cs="Arial" w:eastAsia="Arial" w:hAnsi="Arial"/>
                <w:sz w:val="18"/>
                <w:szCs w:val="18"/>
                <w:color w:val="auto"/>
              </w:rPr>
              <w:t>Net realized loss on investments</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r>
      <w:tr>
        <w:trPr>
          <w:trHeight w:val="257"/>
        </w:trPr>
        <w:tc>
          <w:tcPr>
            <w:tcW w:w="7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unrealized appreciation (depreciation) on investments</w:t>
            </w:r>
            <w:r>
              <w:rPr>
                <w:rFonts w:ascii="Arial" w:cs="Arial" w:eastAsia="Arial" w:hAnsi="Arial"/>
                <w:sz w:val="29"/>
                <w:szCs w:val="29"/>
                <w:color w:val="auto"/>
                <w:vertAlign w:val="superscript"/>
              </w:rPr>
              <w:t>(1)</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57"/>
        </w:trPr>
        <w:tc>
          <w:tcPr>
            <w:tcW w:w="7180" w:type="dxa"/>
            <w:vAlign w:val="bottom"/>
          </w:tcPr>
          <w:p>
            <w:pPr>
              <w:spacing w:after="0" w:line="256" w:lineRule="exact"/>
              <w:rPr>
                <w:sz w:val="20"/>
                <w:szCs w:val="20"/>
                <w:color w:val="auto"/>
              </w:rPr>
            </w:pPr>
            <w:r>
              <w:rPr>
                <w:rFonts w:ascii="Arial" w:cs="Arial" w:eastAsia="Arial" w:hAnsi="Arial"/>
                <w:sz w:val="18"/>
                <w:szCs w:val="18"/>
                <w:color w:val="auto"/>
              </w:rPr>
              <w:t>Tax benefit (provision)</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 from net investment income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r>
      <w:tr>
        <w:trPr>
          <w:trHeight w:val="270"/>
        </w:trPr>
        <w:tc>
          <w:tcPr>
            <w:tcW w:w="7180" w:type="dxa"/>
            <w:vAlign w:val="bottom"/>
          </w:tcPr>
          <w:p>
            <w:pPr>
              <w:spacing w:after="0" w:line="269" w:lineRule="exact"/>
              <w:rPr>
                <w:sz w:val="20"/>
                <w:szCs w:val="20"/>
                <w:color w:val="auto"/>
              </w:rPr>
            </w:pPr>
            <w:r>
              <w:rPr>
                <w:rFonts w:ascii="Arial" w:cs="Arial" w:eastAsia="Arial" w:hAnsi="Arial"/>
                <w:sz w:val="18"/>
                <w:szCs w:val="18"/>
                <w:color w:val="auto"/>
              </w:rPr>
              <w:t>Other</w:t>
            </w:r>
            <w:r>
              <w:rPr>
                <w:rFonts w:ascii="Arial" w:cs="Arial" w:eastAsia="Arial" w:hAnsi="Arial"/>
                <w:sz w:val="30"/>
                <w:szCs w:val="30"/>
                <w:color w:val="auto"/>
                <w:vertAlign w:val="superscript"/>
              </w:rPr>
              <w:t>(7)</w:t>
            </w: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71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186,734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218,204</w:t>
            </w:r>
          </w:p>
        </w:tc>
        <w:tc>
          <w:tcPr>
            <w:tcW w:w="16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16,084,143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15,974,218</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7.96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r>
      <w:tr>
        <w:trPr>
          <w:trHeight w:val="257"/>
        </w:trPr>
        <w:tc>
          <w:tcPr>
            <w:tcW w:w="7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(2)</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14.60%</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w:t>
            </w:r>
          </w:p>
        </w:tc>
      </w:tr>
      <w:tr>
        <w:trPr>
          <w:trHeight w:val="216"/>
        </w:trPr>
        <w:tc>
          <w:tcPr>
            <w:tcW w:w="718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7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(9)</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w:t>
            </w:r>
          </w:p>
        </w:tc>
      </w:tr>
      <w:tr>
        <w:trPr>
          <w:trHeight w:val="257"/>
        </w:trPr>
        <w:tc>
          <w:tcPr>
            <w:tcW w:w="7180" w:type="dxa"/>
            <w:vAlign w:val="bottom"/>
          </w:tcPr>
          <w:p>
            <w:pPr>
              <w:spacing w:after="0" w:line="256" w:lineRule="exact"/>
              <w:rPr>
                <w:sz w:val="20"/>
                <w:szCs w:val="20"/>
                <w:color w:val="auto"/>
              </w:rPr>
            </w:pPr>
            <w:r>
              <w:rPr>
                <w:rFonts w:ascii="Arial" w:cs="Arial" w:eastAsia="Arial" w:hAnsi="Arial"/>
                <w:sz w:val="18"/>
                <w:szCs w:val="18"/>
                <w:color w:val="auto"/>
              </w:rPr>
              <w:t>Ratio of incentive fee to average net assets</w:t>
            </w:r>
            <w:r>
              <w:rPr>
                <w:rFonts w:ascii="Arial" w:cs="Arial" w:eastAsia="Arial" w:hAnsi="Arial"/>
                <w:sz w:val="29"/>
                <w:szCs w:val="29"/>
                <w:color w:val="auto"/>
                <w:vertAlign w:val="superscript"/>
              </w:rPr>
              <w:t>(6)(10)</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0.55%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r>
      <w:tr>
        <w:trPr>
          <w:trHeight w:val="257"/>
        </w:trPr>
        <w:tc>
          <w:tcPr>
            <w:tcW w:w="7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interest and financing expenses to average net assets</w:t>
            </w:r>
            <w:r>
              <w:rPr>
                <w:rFonts w:ascii="Arial" w:cs="Arial" w:eastAsia="Arial" w:hAnsi="Arial"/>
                <w:sz w:val="29"/>
                <w:szCs w:val="29"/>
                <w:color w:val="auto"/>
                <w:vertAlign w:val="superscript"/>
              </w:rPr>
              <w:t>(8)</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9.48%</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r>
      <w:tr>
        <w:trPr>
          <w:trHeight w:val="257"/>
        </w:trPr>
        <w:tc>
          <w:tcPr>
            <w:tcW w:w="7180" w:type="dxa"/>
            <w:vAlign w:val="bottom"/>
          </w:tcPr>
          <w:p>
            <w:pPr>
              <w:spacing w:after="0" w:line="256" w:lineRule="exact"/>
              <w:rPr>
                <w:sz w:val="20"/>
                <w:szCs w:val="20"/>
                <w:color w:val="auto"/>
              </w:rPr>
            </w:pPr>
            <w:r>
              <w:rPr>
                <w:rFonts w:ascii="Arial" w:cs="Arial" w:eastAsia="Arial" w:hAnsi="Arial"/>
                <w:sz w:val="18"/>
                <w:szCs w:val="18"/>
                <w:color w:val="auto"/>
              </w:rPr>
              <w:t>Ratio of tax (benefit) provision to average net assets</w:t>
            </w:r>
            <w:r>
              <w:rPr>
                <w:rFonts w:ascii="Arial" w:cs="Arial" w:eastAsia="Arial" w:hAnsi="Arial"/>
                <w:sz w:val="29"/>
                <w:szCs w:val="29"/>
                <w:color w:val="auto"/>
                <w:vertAlign w:val="superscript"/>
              </w:rPr>
              <w:t>(8)</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r>
      <w:tr>
        <w:trPr>
          <w:trHeight w:val="257"/>
        </w:trPr>
        <w:tc>
          <w:tcPr>
            <w:tcW w:w="7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other operating expenses to average net assets</w:t>
            </w:r>
            <w:r>
              <w:rPr>
                <w:rFonts w:ascii="Arial" w:cs="Arial" w:eastAsia="Arial" w:hAnsi="Arial"/>
                <w:sz w:val="29"/>
                <w:szCs w:val="29"/>
                <w:color w:val="auto"/>
                <w:vertAlign w:val="superscript"/>
              </w:rPr>
              <w:t>(8)</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w:t>
            </w:r>
          </w:p>
        </w:tc>
      </w:tr>
      <w:tr>
        <w:trPr>
          <w:trHeight w:val="257"/>
        </w:trPr>
        <w:tc>
          <w:tcPr>
            <w:tcW w:w="7180" w:type="dxa"/>
            <w:vAlign w:val="bottom"/>
          </w:tcPr>
          <w:p>
            <w:pPr>
              <w:spacing w:after="0" w:line="256" w:lineRule="exact"/>
              <w:rPr>
                <w:sz w:val="20"/>
                <w:szCs w:val="20"/>
                <w:color w:val="auto"/>
              </w:rPr>
            </w:pPr>
            <w:r>
              <w:rPr>
                <w:rFonts w:ascii="Arial" w:cs="Arial" w:eastAsia="Arial" w:hAnsi="Arial"/>
                <w:sz w:val="18"/>
                <w:szCs w:val="18"/>
                <w:color w:val="auto"/>
              </w:rPr>
              <w:t>Ratio of total expenses including tax (benefit) provision to average net assets</w:t>
            </w:r>
            <w:r>
              <w:rPr>
                <w:rFonts w:ascii="Arial" w:cs="Arial" w:eastAsia="Arial" w:hAnsi="Arial"/>
                <w:sz w:val="29"/>
                <w:szCs w:val="29"/>
                <w:color w:val="auto"/>
                <w:vertAlign w:val="superscript"/>
              </w:rPr>
              <w:t>(6)(9)</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16.56%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14.75%</w:t>
            </w:r>
          </w:p>
        </w:tc>
      </w:tr>
      <w:tr>
        <w:trPr>
          <w:trHeight w:val="257"/>
        </w:trPr>
        <w:tc>
          <w:tcPr>
            <w:tcW w:w="7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(3)</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r>
      <w:tr>
        <w:trPr>
          <w:trHeight w:val="257"/>
        </w:trPr>
        <w:tc>
          <w:tcPr>
            <w:tcW w:w="7180" w:type="dxa"/>
            <w:vAlign w:val="bottom"/>
          </w:tcPr>
          <w:p>
            <w:pPr>
              <w:spacing w:after="0" w:line="256"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9"/>
                <w:szCs w:val="29"/>
                <w:color w:val="auto"/>
                <w:vertAlign w:val="superscript"/>
              </w:rPr>
              <w:t>(4)</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303,046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314,132</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per common share</w:t>
            </w: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19.66</w:t>
            </w:r>
          </w:p>
        </w:tc>
      </w:tr>
      <w:tr>
        <w:trPr>
          <w:trHeight w:val="390"/>
        </w:trPr>
        <w:tc>
          <w:tcPr>
            <w:tcW w:w="7180" w:type="dxa"/>
            <w:vAlign w:val="bottom"/>
          </w:tcPr>
          <w:p>
            <w:pPr>
              <w:spacing w:after="0"/>
              <w:rPr>
                <w:sz w:val="20"/>
                <w:szCs w:val="20"/>
                <w:color w:val="auto"/>
              </w:rPr>
            </w:pPr>
            <w:r>
              <w:rPr>
                <w:rFonts w:ascii="Arial" w:cs="Arial" w:eastAsia="Arial" w:hAnsi="Arial"/>
                <w:sz w:val="18"/>
                <w:szCs w:val="18"/>
                <w:color w:val="auto"/>
              </w:rPr>
              <w:t>Asset coverage ratio per unit</w:t>
            </w:r>
            <w:r>
              <w:rPr>
                <w:rFonts w:ascii="Arial" w:cs="Arial" w:eastAsia="Arial" w:hAnsi="Arial"/>
                <w:sz w:val="30"/>
                <w:szCs w:val="30"/>
                <w:color w:val="auto"/>
                <w:vertAlign w:val="superscript"/>
              </w:rPr>
              <w:t>(5)</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2,228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2,569</w:t>
            </w:r>
          </w:p>
        </w:tc>
      </w:tr>
    </w:tbl>
    <w:p>
      <w:pPr>
        <w:spacing w:after="0" w:line="68"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23" w:lineRule="exact"/>
        <w:rPr>
          <w:rFonts w:ascii="Arial" w:cs="Arial" w:eastAsia="Arial" w:hAnsi="Arial"/>
          <w:sz w:val="18"/>
          <w:szCs w:val="18"/>
          <w:color w:val="auto"/>
        </w:rPr>
      </w:pPr>
    </w:p>
    <w:p>
      <w:pPr>
        <w:jc w:val="both"/>
        <w:ind w:left="380" w:hanging="372"/>
        <w:spacing w:after="0" w:line="25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380" w:right="20" w:hanging="372"/>
        <w:spacing w:after="0" w:line="25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the daily weighted average balance of debt outstanding during the period.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left="380" w:hanging="372"/>
        <w:spacing w:after="0" w:line="268"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March 31, 2019 and March 31, 2018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indebtedness.</w:t>
      </w:r>
    </w:p>
    <w:p>
      <w:pPr>
        <w:spacing w:after="0" w:line="3" w:lineRule="exact"/>
        <w:rPr>
          <w:rFonts w:ascii="Arial" w:cs="Arial" w:eastAsia="Arial" w:hAnsi="Arial"/>
          <w:sz w:val="17"/>
          <w:szCs w:val="17"/>
          <w:color w:val="auto"/>
        </w:rPr>
      </w:pPr>
    </w:p>
    <w:p>
      <w:pPr>
        <w:ind w:left="380" w:hanging="372"/>
        <w:spacing w:after="0" w:line="250"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ratio of waived incentive fees to average net assets was 0.00% and 0.00%, respectively, for the three months ended March 31, 2019 and March 31, 2018.</w:t>
      </w:r>
    </w:p>
    <w:p>
      <w:pPr>
        <w:ind w:left="380" w:hanging="372"/>
        <w:spacing w:after="0" w:line="281"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Ratios are annualized. Incentive fees included within the ratio are not annualized.</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Ratio is not annualized.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March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 2019, the Company’s Board declared normal monthly distributions for April, May, and June of 2019 as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ind w:left="164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300" w:type="dxa"/>
            <w:vAlign w:val="bottom"/>
            <w:gridSpan w:val="2"/>
          </w:tcPr>
          <w:p>
            <w:pPr>
              <w:ind w:left="600"/>
              <w:spacing w:after="0"/>
              <w:rPr>
                <w:sz w:val="20"/>
                <w:szCs w:val="20"/>
                <w:color w:val="auto"/>
              </w:rPr>
            </w:pPr>
            <w:r>
              <w:rPr>
                <w:rFonts w:ascii="Arial" w:cs="Arial" w:eastAsia="Arial" w:hAnsi="Arial"/>
                <w:sz w:val="18"/>
                <w:szCs w:val="18"/>
                <w:b w:val="1"/>
                <w:bCs w:val="1"/>
                <w:color w:val="auto"/>
              </w:rPr>
              <w:t>Record Date</w:t>
            </w:r>
          </w:p>
        </w:tc>
        <w:tc>
          <w:tcPr>
            <w:tcW w:w="2160" w:type="dxa"/>
            <w:vAlign w:val="bottom"/>
          </w:tcPr>
          <w:p>
            <w:pPr>
              <w:ind w:left="54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ind w:left="80"/>
              <w:spacing w:after="0"/>
              <w:rPr>
                <w:sz w:val="20"/>
                <w:szCs w:val="20"/>
                <w:color w:val="auto"/>
              </w:rPr>
            </w:pPr>
            <w:r>
              <w:rPr>
                <w:rFonts w:ascii="Arial" w:cs="Arial" w:eastAsia="Arial" w:hAnsi="Arial"/>
                <w:sz w:val="18"/>
                <w:szCs w:val="18"/>
                <w:b w:val="1"/>
                <w:bCs w:val="1"/>
                <w:color w:val="auto"/>
              </w:rPr>
              <w:t>Distributions per Share</w:t>
            </w: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2019</w:t>
            </w:r>
          </w:p>
        </w:tc>
        <w:tc>
          <w:tcPr>
            <w:tcW w:w="1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22, 2019</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29, 2019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April 1, 2019</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May 23, 2019</w:t>
            </w:r>
          </w:p>
        </w:tc>
        <w:tc>
          <w:tcPr>
            <w:tcW w:w="2160" w:type="dxa"/>
            <w:vAlign w:val="bottom"/>
          </w:tcPr>
          <w:p>
            <w:pPr>
              <w:spacing w:after="0"/>
              <w:rPr>
                <w:sz w:val="20"/>
                <w:szCs w:val="20"/>
                <w:color w:val="auto"/>
              </w:rPr>
            </w:pPr>
            <w:r>
              <w:rPr>
                <w:rFonts w:ascii="Arial" w:cs="Arial" w:eastAsia="Arial" w:hAnsi="Arial"/>
                <w:sz w:val="18"/>
                <w:szCs w:val="18"/>
                <w:color w:val="auto"/>
              </w:rPr>
              <w:t>May 30, 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April 1, 2019</w:t>
            </w:r>
          </w:p>
        </w:tc>
        <w:tc>
          <w:tcPr>
            <w:tcW w:w="2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June 20, 2019</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June 27, 2019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1, 2019, the Company invested $10.6 million in first lien debt and $0.4 million in equity of Family Quest Holdings,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Some of the statements in the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181" w:lineRule="exact"/>
        <w:rPr>
          <w:sz w:val="20"/>
          <w:szCs w:val="20"/>
          <w:color w:val="auto"/>
        </w:rPr>
      </w:pPr>
    </w:p>
    <w:p>
      <w:pPr>
        <w:ind w:left="1620" w:hanging="315"/>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660" w:right="20" w:hanging="342"/>
        <w:spacing w:after="0" w:line="277" w:lineRule="auto"/>
        <w:tabs>
          <w:tab w:leader="none" w:pos="1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1660" w:hanging="342"/>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lending and investment activities;</w:t>
      </w:r>
    </w:p>
    <w:p>
      <w:pPr>
        <w:spacing w:after="0" w:line="236" w:lineRule="exact"/>
        <w:rPr>
          <w:rFonts w:ascii="Arial" w:cs="Arial" w:eastAsia="Arial" w:hAnsi="Arial"/>
          <w:sz w:val="17"/>
          <w:szCs w:val="17"/>
          <w:color w:val="auto"/>
        </w:rPr>
      </w:pPr>
    </w:p>
    <w:p>
      <w:pPr>
        <w:ind w:left="1660" w:hanging="342"/>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if we use leverage as part of our investment strategy; and</w:t>
      </w:r>
    </w:p>
    <w:p>
      <w:pPr>
        <w:spacing w:after="0" w:line="236" w:lineRule="exact"/>
        <w:rPr>
          <w:rFonts w:ascii="Arial" w:cs="Arial" w:eastAsia="Arial" w:hAnsi="Arial"/>
          <w:sz w:val="17"/>
          <w:szCs w:val="17"/>
          <w:color w:val="auto"/>
        </w:rPr>
      </w:pPr>
    </w:p>
    <w:p>
      <w:pPr>
        <w:ind w:left="1660" w:right="20" w:hanging="342"/>
        <w:spacing w:after="0" w:line="277" w:lineRule="auto"/>
        <w:tabs>
          <w:tab w:leader="none" w:pos="1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our Annual Report on Form 10-K and in this quarterly report on Form 10-Q.</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both"/>
        <w:ind w:firstLine="648"/>
        <w:spacing w:after="0" w:line="270"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2018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$30.0 million in trailing twelve-month earnings before interest, tax, depreciation, and amortization (‘‘EBITDA’’).</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invest in first lien loans, second lien loans, and subordinated loans, and, to a lesser extent, equity securities issued by lower middle-market companies and traditional middle-market companies.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(or 150%, if certain requirements are met, after November 1, 2019) after such borrowing, with certain limited exceptions.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On November 1, 2018, the Board, including a ‘‘required majority’’ (as such term is defined in Section 57(o) of the 1940 Act) approved the application of the modified asset coverage. As a result, our asset coverage requirements for senior securities will be changed from 200% to 150%, effective November 1, 2019.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w:t>
      </w:r>
    </w:p>
    <w:p>
      <w:pPr>
        <w:jc w:val="both"/>
        <w:ind w:firstLine="8"/>
        <w:spacing w:after="0" w:line="292" w:lineRule="auto"/>
        <w:tabs>
          <w:tab w:leader="none" w:pos="22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retained their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SBA debentures and relinquished its SBIC license.</w:t>
      </w:r>
    </w:p>
    <w:p>
      <w:pPr>
        <w:spacing w:after="0" w:line="1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U.S. Small Business Administration (“SBA”) guaranteed debt payable. Fund III, our subsidiary, is licensed under the Small Business Investment Company (“SBIC”) Act and has elected to be regulated as a BDC under the 1940 Act. Fund II, our subsidiary, was licensed under the SBIC Act until March 1, 2019 and has elected to be regulated as a BDC under the 1940 Act.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 Taxable Subsidiaries allow the Company to make equity investments in companies organized as pass-through entities while continuing to satisfy the requirements of a RIC under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is considered an investment company as defined in Accounting Standards Codification (“ASC”) Topic 946 —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Investment Companies </w:t>
      </w:r>
      <w:r>
        <w:rPr>
          <w:rFonts w:ascii="Arial" w:cs="Arial" w:eastAsia="Arial" w:hAnsi="Arial"/>
          <w:sz w:val="18"/>
          <w:szCs w:val="18"/>
          <w:color w:val="auto"/>
        </w:rPr>
        <w:t>(“ASC 946”). The accompanying unaudited consolidated financial statements have been prepared on the accrual basis of accounting in</w:t>
      </w:r>
      <w:r>
        <w:rPr>
          <w:rFonts w:ascii="Arial" w:cs="Arial" w:eastAsia="Arial" w:hAnsi="Arial"/>
          <w:sz w:val="18"/>
          <w:szCs w:val="18"/>
          <w:i w:val="1"/>
          <w:iCs w:val="1"/>
          <w:color w:val="auto"/>
        </w:rPr>
        <w:t xml:space="preserve"> </w:t>
      </w:r>
      <w:r>
        <w:rPr>
          <w:rFonts w:ascii="Arial" w:cs="Arial" w:eastAsia="Arial" w:hAnsi="Arial"/>
          <w:sz w:val="18"/>
          <w:szCs w:val="18"/>
          <w:color w:val="auto"/>
        </w:rPr>
        <w:t>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March 31, 2019 and December 31, 2018 and for the periods ended March 31, 2019 and March 31, 2018 are presented on a consolidated basis. The effects of all intercompany transactions between the Company and its subsidiaries (Fund II, Fund III,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provided under Regulation S-X and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and the Taxable Subsidiaries) in its consolidated financial statements. The Company does not consolidate its interest in Capitala Senior Loan Fund II, LLC (‘‘CSLF II’’) because the investment is not considered a substantially wholly owned investment company subsidiary. Further, CSLF II is a joint venture for which shared power exists relating to the decisions that most significantly impact the economic performance of the entity. See Note 4 to the consolidated financial statements for a description of the Company’s investment in CSLF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amendment, structuring or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(the “1934 Act”), other applicable federal and state securities laws and ongoing stock exchange listing fees;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our chief accounting officer, and their respective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Valuations based on unadjusted quoted prices in active markets for identical assets or liabilities that the Company has the 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5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648"/>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income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uses net asset value (“NAV”) as the fair value for its equity investment in CSLF II. CSLF II records its underlying investments at fair value on a quarterly basis in accordance with the 1940 Act and ASC 820.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collected. The Company has loans in the portfolio that contain a payment-in-kind interest (“PIK interest”)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Management reviews all loans that become 90 days or more past due, or when there is reasonable doubt that principal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portfolio companies are recognized as income when the investment transaction closes. Prepayment penalties received by the Company for debt instruments repaid prior to the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elected to amend its tax year end from August 31 to December 31 and has filed a tax return for the four months ended December 31, 2017. The tax periods ended December 31, 2018, December 31, 2017, August 31, 2017, and August 31, 2016 remain subject to examination by U.S. federal, state, and local tax authorities. No interest expense or penalties have been assessed for the periods ended March 31, 2019 and March 31, 2018. If the Company was required to recognize interest and penalties, if any, related to unrecognized tax benefits this would be recognized as income tax expense in the consolidated statements of operations.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Taxable Subsidiaries record deferred tax assets or liabilities related to temporary book versus tax differences on the income or loss generated by the underlying equity investments held by the Taxable Subsidiaries. As of March 31, 2019 and December 31, 2018, the Company recorded a net deferred tax asset of $0.7 million and $0.6 million, respectively. For the three months ended March 31, 2019, the Company recorded a tax benefit of $66 thousand. For the three months ended March 31, 2018, the Company recorded a tax provision of $50 thousand.</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2019 and December 31, 2018, there were no uncertain tax positions.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March 31, 2019 and December 31, 2018.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22, 2017, the United States enacted tax reform legislation through the Tax Cuts and Jobs Act (the “Tax Act”), which significantly changes the existing U.S. tax laws, including a reduction in the corporate tax rate from 35% to 21%, a move from a worldwide tax system to a territorial system, as well as other changes. The Taxable Subsidiaries’ provisional tax is based on the new lower blended federal and state corporate tax rate of 24.86%. The implementation of the Tax Act did not have a material impact on the Company’s financial position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and subordinated loans and, to a lesser extent, equity securities issued by lower middle-market companies and traditional middle-market companies. As of March 31, 2019, our portfolio consisted of investments in 43 portfolio companies with a fair value of approximately $455.4 million.</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Unitranche debt, a form of first lien loan, typically involves issuing one debt security that blends the risk and return profiles of both senior secured and subordinated debt in one debt security, bifurcating the loan into a first-out tranche and last-out tranche. As of March 31, 2019, 17.2% of the fair value of our first lien loans consisted of last-out loans. As of December 31, 2018, 13.7% of the fair value of our first lien loans consisted of last-out loans. In some cases, first lien loans may be subordinated, solely with respect to the payment of cash interest, to an asset based revolving credit facility.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ind w:firstLine="648"/>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first and second lien loans, the Company may also invest in subordinated loans. Subordinated loans typically have a second lien on all or substantially all of the borrower’s assets, but unlike second lien loans, may be subject to the interruption of cash interest payments upon certain events of default, at the discretion of the first lien lender.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March 31, 2019, we made approximately $21.1 million of investments and had approximately $11.5 million in repayments and sales of investments, resulting in net investments of approximately $9.6 million for the period. During the three months ended March 31, 2018, we made approximately $27.8 million of investments and had approximately $21.4 million in repayments and sales, resulting in net investments of approximately $6.4 million for the period.</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August 31, 2016, we sold a portion of 14 securities across 10 portfolio companies to CapitalSouth Partners Florida Sidecar Fund II, L.P. (“FSC II”), including granting an option to acquire a portion of our equity investment in Eastport Holdings, LLC (the “Written Call Option”), in exchange for 100% of the partnership interests in FSC II. Concurrent with the sale of these assets to FSC II, we received cash consideration of $47.6 million from an affiliated third-party purchaser in exchange for 100% of the partnership interests of FSC II. These assets were sold to FSC II at their June 30, 2016 fair market values, resulting in a net realized gain of $0.1 million. Our Board pre-approved this transaction pursuant to Section 57(f) of the 1940 Act.</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March 31, 2019, our debt investment portfolio, which represented 76.5% of the fair value of our total portfolio, had a weighted average annualized yield of approximately 12.1%. As of March 31, 2019, 38.2% of the fair value of our debt investment portfolio was bearing a fixed rate of interest. As of December 31, 2018, our debt investment portfolio, which represented 76.4% of the fair value of our total portfolio, had a weighted average annualized yield of approximately 11.9%. As of December 31, 2018, 41.4% of the fair value of our debt investment portfolio was bearing a fixed rate of interest.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March 31, 2019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40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20"/>
                <w:szCs w:val="20"/>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247,042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241,458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Second Lien Debt</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37,147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33,373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6.9</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72,975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73,496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Equity and Warrants</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54,174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93,133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19.2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Capitala Senior Loan Fund II, LLC</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28,470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28,470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5.9</w:t>
            </w:r>
          </w:p>
        </w:tc>
      </w:tr>
      <w:tr>
        <w:trPr>
          <w:trHeight w:val="21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483,860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0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66</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9" w:name="page70"/>
    <w:bookmarkEnd w:id="69"/>
    <w:p>
      <w:pPr>
        <w:ind w:firstLine="648"/>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December 31, 2018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33,040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32,495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72,562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73,113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48,594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92,054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18.9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Capitala Senior Loan Fund II, LLC</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39,295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39,295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7.9</w:t>
            </w: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March 31,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2018</w:t>
            </w:r>
          </w:p>
        </w:tc>
      </w:tr>
      <w:tr>
        <w:trPr>
          <w:trHeight w:val="191"/>
        </w:trPr>
        <w:tc>
          <w:tcPr>
            <w:tcW w:w="4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tcBorders>
              <w:top w:val="single" w:sz="8" w:color="auto"/>
            </w:tcBorders>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w w:val="91"/>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160" w:type="dxa"/>
            <w:vAlign w:val="bottom"/>
          </w:tcPr>
          <w:p>
            <w:pPr>
              <w:spacing w:after="0"/>
              <w:rPr>
                <w:sz w:val="16"/>
                <w:szCs w:val="16"/>
                <w:color w:val="auto"/>
              </w:rPr>
            </w:pPr>
          </w:p>
        </w:tc>
      </w:tr>
      <w:tr>
        <w:trPr>
          <w:trHeight w:val="234"/>
        </w:trPr>
        <w:tc>
          <w:tcPr>
            <w:tcW w:w="452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Financial Services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28,685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21,666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4.8</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27,132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27,746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Information Technology</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25,410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25,232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 Services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19,623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19,496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Telecommunications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18,000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Food Product Manufacturer</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17,328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17,335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Industrial Equipment Rental</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17,260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16,327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17,227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16,972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Building Products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16,396</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14,833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IT Consulting</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Retail</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14,853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14,979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Automobile Part Manufacturer</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Investment Funds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13,930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13,695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Healthcare Management</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Multi-Platform Media and Consumer Products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13,000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Government Services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Textile Equipment Manufacturer</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12,033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12,848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9,596</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Conglomerate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9,088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9,004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Computer Supply Retail</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Advertising &amp; Marketing Services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9,019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8,712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Testing Laboratories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Professional and Personal Digital Imaging</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6,869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6,674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Produce Distribution</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6,338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6,210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Electronic Machine Repair</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Data Services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Medical Device Distributor</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Restaurant</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4,903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Online Merchandise Retailer</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Footwear Retail</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3,184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3,184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Logistics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QSR Franchisor</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2,442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3,018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Home Repair Parts Manufacturer</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Household Product Manufacturer</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Digital Marketing</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Farming</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5,880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r>
      <w:tr>
        <w:trPr>
          <w:trHeight w:val="223"/>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5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0" w:name="page71"/>
    <w:bookmarkEnd w:id="70"/>
    <w:p>
      <w:pPr>
        <w:jc w:val="both"/>
        <w:ind w:firstLine="648"/>
        <w:spacing w:after="0" w:line="279" w:lineRule="auto"/>
        <w:rPr>
          <w:sz w:val="20"/>
          <w:szCs w:val="20"/>
          <w:color w:val="auto"/>
        </w:rPr>
      </w:pPr>
      <w:r>
        <w:rPr>
          <w:rFonts w:ascii="Arial" w:cs="Arial" w:eastAsia="Arial" w:hAnsi="Arial"/>
          <w:sz w:val="17"/>
          <w:szCs w:val="17"/>
          <w:color w:val="auto"/>
        </w:rPr>
        <w:t>With the exception of the international investment holdings noted below, all investments made by the Company as of March 31, 2019 and December 31, 2018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March 31, 2019 and December 31, 2018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March 31,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 2018</w:t>
            </w:r>
          </w:p>
        </w:tc>
      </w:tr>
      <w:tr>
        <w:trPr>
          <w:trHeight w:val="191"/>
        </w:trPr>
        <w:tc>
          <w:tcPr>
            <w:tcW w:w="5580" w:type="dxa"/>
            <w:vAlign w:val="bottom"/>
          </w:tcPr>
          <w:p>
            <w:pPr>
              <w:spacing w:after="0"/>
              <w:rPr>
                <w:sz w:val="16"/>
                <w:szCs w:val="16"/>
                <w:color w:val="auto"/>
              </w:rPr>
            </w:pPr>
          </w:p>
        </w:tc>
        <w:tc>
          <w:tcPr>
            <w:tcW w:w="1460" w:type="dxa"/>
            <w:vAlign w:val="bottom"/>
            <w:tcBorders>
              <w:top w:val="single" w:sz="8" w:color="auto"/>
            </w:tcBorders>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w w:val="91"/>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160" w:type="dxa"/>
            <w:vAlign w:val="bottom"/>
            <w:gridSpan w:val="2"/>
          </w:tcPr>
          <w:p>
            <w:pPr>
              <w:spacing w:after="0"/>
              <w:rPr>
                <w:sz w:val="16"/>
                <w:szCs w:val="16"/>
                <w:color w:val="auto"/>
              </w:rPr>
            </w:pPr>
          </w:p>
        </w:tc>
      </w:tr>
      <w:tr>
        <w:trPr>
          <w:trHeight w:val="234"/>
        </w:trPr>
        <w:tc>
          <w:tcPr>
            <w:tcW w:w="5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232,847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224,856</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Midwest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79,532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77,537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77,307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77,353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Northeast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65,704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66,303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455,390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various risk management tools, our Investment Advisor uses an investment rating system to characterize and monitor our expected level of return on each investment in our portfolio.</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ectPr>
          <w:pgSz w:w="11900" w:h="16838" w:orient="portrait"/>
          <w:cols w:equalWidth="0" w:num="1">
            <w:col w:w="11420"/>
          </w:cols>
          <w:pgMar w:left="240" w:top="909" w:right="239" w:bottom="1440" w:gutter="0" w:footer="0" w:header="0"/>
        </w:sectPr>
      </w:pPr>
    </w:p>
    <w:p>
      <w:pPr>
        <w:spacing w:after="0" w:line="221" w:lineRule="exact"/>
        <w:rPr>
          <w:sz w:val="20"/>
          <w:szCs w:val="20"/>
          <w:color w:val="auto"/>
        </w:rPr>
      </w:pPr>
    </w:p>
    <w:p>
      <w:pPr>
        <w:jc w:val="center"/>
        <w:ind w:right="4040"/>
        <w:spacing w:after="0"/>
        <w:rPr>
          <w:sz w:val="20"/>
          <w:szCs w:val="20"/>
          <w:color w:val="auto"/>
        </w:rPr>
      </w:pPr>
      <w:r>
        <w:rPr>
          <w:rFonts w:ascii="Arial" w:cs="Arial" w:eastAsia="Arial" w:hAnsi="Arial"/>
          <w:sz w:val="16"/>
          <w:szCs w:val="16"/>
          <w:b w:val="1"/>
          <w:bCs w:val="1"/>
          <w:color w:val="auto"/>
        </w:rPr>
        <w:t>Investment</w:t>
      </w:r>
    </w:p>
    <w:p>
      <w:pPr>
        <w:spacing w:after="0" w:line="50" w:lineRule="exact"/>
        <w:rPr>
          <w:sz w:val="20"/>
          <w:szCs w:val="20"/>
          <w:color w:val="auto"/>
        </w:rPr>
      </w:pPr>
    </w:p>
    <w:p>
      <w:pPr>
        <w:jc w:val="center"/>
        <w:ind w:right="404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750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520"/>
        <w:spacing w:after="0"/>
        <w:rPr>
          <w:sz w:val="20"/>
          <w:szCs w:val="20"/>
          <w:color w:val="auto"/>
        </w:rPr>
      </w:pPr>
      <w:r>
        <w:rPr>
          <w:rFonts w:ascii="Arial" w:cs="Arial" w:eastAsia="Arial" w:hAnsi="Arial"/>
          <w:sz w:val="16"/>
          <w:szCs w:val="16"/>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31750</wp:posOffset>
            </wp:positionV>
            <wp:extent cx="62261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5420" w:space="720"/>
            <w:col w:w="5280"/>
          </w:cols>
          <w:pgMar w:left="240" w:top="909" w:right="239" w:bottom="1440" w:gutter="0" w:footer="0" w:header="0"/>
          <w:type w:val="continuous"/>
        </w:sectPr>
      </w:pPr>
    </w:p>
    <w:p>
      <w:pPr>
        <w:ind w:left="1620" w:hanging="968"/>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170" w:lineRule="exact"/>
        <w:rPr>
          <w:sz w:val="20"/>
          <w:szCs w:val="20"/>
          <w:color w:val="auto"/>
        </w:rPr>
      </w:pPr>
    </w:p>
    <w:p>
      <w:pPr>
        <w:jc w:val="both"/>
        <w:ind w:left="1620" w:hanging="968"/>
        <w:spacing w:after="0" w:line="264"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81" w:lineRule="exact"/>
        <w:rPr>
          <w:sz w:val="20"/>
          <w:szCs w:val="20"/>
          <w:color w:val="auto"/>
        </w:rPr>
      </w:pPr>
    </w:p>
    <w:p>
      <w:pPr>
        <w:jc w:val="both"/>
        <w:ind w:left="1620" w:hanging="968"/>
        <w:spacing w:after="0" w:line="264"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81" w:lineRule="exact"/>
        <w:rPr>
          <w:sz w:val="20"/>
          <w:szCs w:val="20"/>
          <w:color w:val="auto"/>
        </w:rPr>
      </w:pPr>
    </w:p>
    <w:p>
      <w:pPr>
        <w:ind w:left="1620" w:hanging="968"/>
        <w:spacing w:after="0" w:line="27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170" w:lineRule="exact"/>
        <w:rPr>
          <w:sz w:val="20"/>
          <w:szCs w:val="20"/>
          <w:color w:val="auto"/>
        </w:rPr>
      </w:pPr>
    </w:p>
    <w:p>
      <w:pPr>
        <w:ind w:left="1620" w:right="20" w:hanging="968"/>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71" w:name="page72"/>
    <w:bookmarkEnd w:id="71"/>
    <w:p>
      <w:pPr>
        <w:jc w:val="both"/>
        <w:ind w:firstLine="648"/>
        <w:spacing w:after="0" w:line="264"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as of March 31, 2019 and December 31, 2018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As of March 31,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9"/>
              </w:rPr>
              <w:t>As of December 31, 2018</w:t>
            </w:r>
          </w:p>
        </w:tc>
      </w:tr>
      <w:tr>
        <w:trPr>
          <w:trHeight w:val="191"/>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gridSpan w:val="2"/>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Investments 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 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Rating</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167,251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171,829</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208,186</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194,411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73,433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6,520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9,362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455,390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448,927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2019, we had one debt investment on non-accrual status with an amortized cost of $8.9 million and a fair value of $6.5 million, which represented 2.1% and 1.4% of the investment portfolio, respectively. As of December 31, 2018, we had debt investments in two portfolio companies on non-accrual status with an amortized cost of $20.7 million and a fair value of $9.4 million, which represented 4.9% and 2.1% of the investment portfolio, respectively.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left="120" w:firstLine="648"/>
        <w:spacing w:after="0" w:line="259" w:lineRule="auto"/>
        <w:rPr>
          <w:sz w:val="20"/>
          <w:szCs w:val="20"/>
          <w:color w:val="auto"/>
        </w:rPr>
      </w:pPr>
      <w:r>
        <w:rPr>
          <w:rFonts w:ascii="Arial" w:cs="Arial" w:eastAsia="Arial" w:hAnsi="Arial"/>
          <w:sz w:val="18"/>
          <w:szCs w:val="18"/>
          <w:color w:val="auto"/>
        </w:rPr>
        <w:t>On December 20, 2018, Capitala and Trinity Universal Insurance Company (“Trinity”), a subsidiary of Kemper Corporation, entered into a limited liability company agreement (the “LLC Agreement”) to co-manage CSLF II. The purpose and design of the joint venture is to invest primarily in senior secured first-out loans. Capitala and Trinity have committed to provide $25.0 million of equity to CSLF II, with Capitala providing $20.0 million and Trinity providing $5.0 million.</w:t>
      </w:r>
    </w:p>
    <w:p>
      <w:pPr>
        <w:spacing w:after="0" w:line="187" w:lineRule="exact"/>
        <w:rPr>
          <w:sz w:val="20"/>
          <w:szCs w:val="20"/>
          <w:color w:val="auto"/>
        </w:rPr>
      </w:pPr>
    </w:p>
    <w:p>
      <w:pPr>
        <w:jc w:val="both"/>
        <w:ind w:left="120" w:firstLine="648"/>
        <w:spacing w:after="0" w:line="264" w:lineRule="auto"/>
        <w:rPr>
          <w:sz w:val="20"/>
          <w:szCs w:val="20"/>
          <w:color w:val="auto"/>
        </w:rPr>
      </w:pPr>
      <w:r>
        <w:rPr>
          <w:rFonts w:ascii="Arial" w:cs="Arial" w:eastAsia="Arial" w:hAnsi="Arial"/>
          <w:sz w:val="18"/>
          <w:szCs w:val="18"/>
          <w:color w:val="auto"/>
        </w:rPr>
        <w:t>Capitala and Trinity each appointed two members to CSLF II’s four-person board of directors and investment committee. All material decisions with respect to CSLF II, including those involving its investment portfolio, require approval of a member on the board of directors and investment committee of at least one member representing Capitala and Trinity, respectively.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2019, $13.6 million and $3.4 million in equity capital had been contributed by Capitala and Trinity, respectively. As of March 31, 2019, the Company and Trinity had $6.4 million and $1.6 million of unfunded equity capital commitments outstanding, respectively. As of December 31, 2018, $13.6 million and $3.4 million in equity capital had been contributed by Capitala and Trinity, respectively. As of December 31, 2018, the Company and Trinity had $6.4 million and $1.6 million of unfunded equity capital commitments outstanding, respectively. The Company’s equity investment in CSLF II is not redeemable.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CSLF II’s portfolio as of March 31, 2019 and December 31, 2018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March 31, 2019</w:t>
            </w:r>
          </w:p>
        </w:tc>
        <w:tc>
          <w:tcPr>
            <w:tcW w:w="28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 2018</w:t>
            </w:r>
          </w:p>
        </w:tc>
        <w:tc>
          <w:tcPr>
            <w:tcW w:w="0" w:type="dxa"/>
            <w:vAlign w:val="bottom"/>
          </w:tcPr>
          <w:p>
            <w:pPr>
              <w:spacing w:after="0"/>
              <w:rPr>
                <w:sz w:val="1"/>
                <w:szCs w:val="1"/>
                <w:color w:val="auto"/>
              </w:rPr>
            </w:pPr>
          </w:p>
        </w:tc>
      </w:tr>
      <w:tr>
        <w:trPr>
          <w:trHeight w:val="20"/>
        </w:trPr>
        <w:tc>
          <w:tcPr>
            <w:tcW w:w="6200" w:type="dxa"/>
            <w:vAlign w:val="bottom"/>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First lien loans </w:t>
            </w:r>
            <w:r>
              <w:rPr>
                <w:rFonts w:ascii="Arial" w:cs="Arial" w:eastAsia="Arial" w:hAnsi="Arial"/>
                <w:sz w:val="29"/>
                <w:szCs w:val="29"/>
                <w:color w:val="auto"/>
                <w:vertAlign w:val="superscript"/>
              </w:rPr>
              <w:t>(1)</w:t>
            </w:r>
          </w:p>
        </w:tc>
        <w:tc>
          <w:tcPr>
            <w:tcW w:w="2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vMerge w:val="continue"/>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16,725</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Weighted average current interest rate on first lien loans</w:t>
            </w: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CSLF II</w:t>
            </w:r>
          </w:p>
        </w:tc>
        <w:tc>
          <w:tcPr>
            <w:tcW w:w="2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200" w:type="dxa"/>
            <w:vAlign w:val="bottom"/>
          </w:tcPr>
          <w:p>
            <w:pPr>
              <w:spacing w:after="0" w:line="256" w:lineRule="exact"/>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29"/>
                <w:szCs w:val="29"/>
                <w:color w:val="auto"/>
                <w:vertAlign w:val="superscript"/>
              </w:rPr>
              <w:t>(1)</w:t>
            </w:r>
          </w:p>
        </w:tc>
        <w:tc>
          <w:tcPr>
            <w:tcW w:w="2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6,750</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of five largest portfolio company investments </w:t>
            </w:r>
            <w:r>
              <w:rPr>
                <w:rFonts w:ascii="Arial" w:cs="Arial" w:eastAsia="Arial" w:hAnsi="Arial"/>
                <w:sz w:val="29"/>
                <w:szCs w:val="29"/>
                <w:color w:val="auto"/>
                <w:vertAlign w:val="superscript"/>
              </w:rPr>
              <w:t>(1)(2)</w:t>
            </w:r>
          </w:p>
        </w:tc>
        <w:tc>
          <w:tcPr>
            <w:tcW w:w="2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16,725</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principal amount outstanding at period end.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Only three investments and two investments outstanding as of March 31, 2019 and December 31, 2018,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Below is CSLF II’s schedule of investments as of March 31, 2019: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Senior Loan Fund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14"/>
                <w:szCs w:val="14"/>
                <w:color w:val="auto"/>
              </w:rPr>
            </w:pPr>
          </w:p>
        </w:tc>
        <w:tc>
          <w:tcPr>
            <w:tcW w:w="19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320" w:type="dxa"/>
            <w:vAlign w:val="bottom"/>
          </w:tcPr>
          <w:p>
            <w:pPr>
              <w:spacing w:after="0"/>
              <w:rPr>
                <w:sz w:val="14"/>
                <w:szCs w:val="14"/>
                <w:color w:val="auto"/>
              </w:rPr>
            </w:pPr>
          </w:p>
        </w:tc>
        <w:tc>
          <w:tcPr>
            <w:tcW w:w="312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Type of Investment</w:t>
            </w: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at Fair Value</w:t>
            </w:r>
          </w:p>
        </w:tc>
        <w:tc>
          <w:tcPr>
            <w:tcW w:w="12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U.S. BioTek Laboratories, LLC</w:t>
            </w:r>
          </w:p>
        </w:tc>
        <w:tc>
          <w:tcPr>
            <w:tcW w:w="20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Testing Laboratories</w:t>
            </w:r>
          </w:p>
        </w:tc>
        <w:tc>
          <w:tcPr>
            <w:tcW w:w="3440" w:type="dxa"/>
            <w:vAlign w:val="bottom"/>
            <w:gridSpan w:val="3"/>
          </w:tcPr>
          <w:p>
            <w:pPr>
              <w:spacing w:after="0" w:line="130" w:lineRule="exact"/>
              <w:rPr>
                <w:sz w:val="20"/>
                <w:szCs w:val="20"/>
                <w:color w:val="auto"/>
              </w:rPr>
            </w:pPr>
            <w:r>
              <w:rPr>
                <w:rFonts w:ascii="Arial" w:cs="Arial" w:eastAsia="Arial" w:hAnsi="Arial"/>
                <w:sz w:val="14"/>
                <w:szCs w:val="14"/>
                <w:color w:val="auto"/>
              </w:rPr>
              <w:t>First Lien Debt (7.6% Cash (3 month LIBOR + 5.0%,</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color w:val="auto"/>
                <w:w w:val="93"/>
              </w:rPr>
              <w:t>2.0%</w:t>
            </w: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Floor), Due 12/14/23)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4,489</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4,489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4,489</w:t>
            </w: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20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Electronic Machine Repair</w:t>
            </w:r>
          </w:p>
        </w:tc>
        <w:tc>
          <w:tcPr>
            <w:tcW w:w="34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First Lien Debt (7.5% Cash (1 month LIBOR + 5.0%,</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w w:val="93"/>
              </w:rPr>
              <w:t>2.0%</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Floor), Due 12/20/23)</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5,486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5,486</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RAM Payment, LLC</w:t>
            </w:r>
          </w:p>
        </w:tc>
        <w:tc>
          <w:tcPr>
            <w:tcW w:w="20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Financial Services</w:t>
            </w:r>
          </w:p>
        </w:tc>
        <w:tc>
          <w:tcPr>
            <w:tcW w:w="3440" w:type="dxa"/>
            <w:vAlign w:val="bottom"/>
            <w:gridSpan w:val="3"/>
          </w:tcPr>
          <w:p>
            <w:pPr>
              <w:spacing w:after="0" w:line="130" w:lineRule="exact"/>
              <w:rPr>
                <w:sz w:val="20"/>
                <w:szCs w:val="20"/>
                <w:color w:val="auto"/>
              </w:rPr>
            </w:pPr>
            <w:r>
              <w:rPr>
                <w:rFonts w:ascii="Arial" w:cs="Arial" w:eastAsia="Arial" w:hAnsi="Arial"/>
                <w:sz w:val="14"/>
                <w:szCs w:val="14"/>
                <w:color w:val="auto"/>
              </w:rPr>
              <w:t>First Lien Debt (7.5% Cash (1 month LIBOR + 5.0%,</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Arial" w:cs="Arial" w:eastAsia="Arial" w:hAnsi="Arial"/>
                <w:sz w:val="14"/>
                <w:szCs w:val="14"/>
                <w:color w:val="auto"/>
                <w:w w:val="93"/>
              </w:rPr>
              <w:t>1.5%</w:t>
            </w:r>
          </w:p>
        </w:tc>
        <w:tc>
          <w:tcPr>
            <w:tcW w:w="3120" w:type="dxa"/>
            <w:vAlign w:val="bottom"/>
            <w:gridSpan w:val="2"/>
          </w:tcPr>
          <w:p>
            <w:pPr>
              <w:ind w:left="20"/>
              <w:spacing w:after="0"/>
              <w:rPr>
                <w:sz w:val="20"/>
                <w:szCs w:val="20"/>
                <w:color w:val="auto"/>
              </w:rPr>
            </w:pPr>
            <w:r>
              <w:rPr>
                <w:rFonts w:ascii="Arial" w:cs="Arial" w:eastAsia="Arial" w:hAnsi="Arial"/>
                <w:sz w:val="14"/>
                <w:szCs w:val="14"/>
                <w:color w:val="auto"/>
              </w:rPr>
              <w:t>Floor), Due 1/4/24)</w:t>
            </w:r>
          </w:p>
        </w:tc>
        <w:tc>
          <w:tcPr>
            <w:tcW w:w="1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6,750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6,750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56"/>
        </w:trPr>
        <w:tc>
          <w:tcPr>
            <w:tcW w:w="23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0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16,725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16,725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16,725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CSLF II’s schedule of investments as of December 31,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Senior Loan Fund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14"/>
                <w:szCs w:val="14"/>
                <w:color w:val="auto"/>
              </w:rPr>
            </w:pPr>
          </w:p>
        </w:tc>
        <w:tc>
          <w:tcPr>
            <w:tcW w:w="19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344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Type of Investment</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at Fair Value</w:t>
            </w:r>
          </w:p>
        </w:tc>
        <w:tc>
          <w:tcPr>
            <w:tcW w:w="12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U.S. BioTek Laboratories, LLC</w:t>
            </w:r>
          </w:p>
        </w:tc>
        <w:tc>
          <w:tcPr>
            <w:tcW w:w="20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Testing Laboratories</w:t>
            </w:r>
          </w:p>
        </w:tc>
        <w:tc>
          <w:tcPr>
            <w:tcW w:w="3440" w:type="dxa"/>
            <w:vAlign w:val="bottom"/>
            <w:gridSpan w:val="2"/>
          </w:tcPr>
          <w:p>
            <w:pPr>
              <w:spacing w:after="0" w:line="130" w:lineRule="exact"/>
              <w:rPr>
                <w:sz w:val="20"/>
                <w:szCs w:val="20"/>
                <w:color w:val="auto"/>
              </w:rPr>
            </w:pPr>
            <w:r>
              <w:rPr>
                <w:rFonts w:ascii="Arial" w:cs="Arial" w:eastAsia="Arial" w:hAnsi="Arial"/>
                <w:sz w:val="14"/>
                <w:szCs w:val="14"/>
                <w:color w:val="auto"/>
              </w:rPr>
              <w:t>First Lien Debt (7.8% Cash (3 month LIBOR + 5.0%,</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2.0% Floor), Due 12/14/23)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4,500</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4,500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20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Electronic Machine Repair</w:t>
            </w:r>
          </w:p>
        </w:tc>
        <w:tc>
          <w:tcPr>
            <w:tcW w:w="3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(7.5% Cash (1 month LIBOR + 5.0%,</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 Floor), Due 12/20/23)</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5,500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8360" w:type="dxa"/>
            <w:vAlign w:val="bottom"/>
          </w:tcPr>
          <w:p>
            <w:pPr>
              <w:ind w:left="660"/>
              <w:spacing w:after="0"/>
              <w:rPr>
                <w:sz w:val="20"/>
                <w:szCs w:val="20"/>
                <w:color w:val="auto"/>
              </w:rPr>
            </w:pPr>
            <w:r>
              <w:rPr>
                <w:rFonts w:ascii="Arial" w:cs="Arial" w:eastAsia="Arial" w:hAnsi="Arial"/>
                <w:sz w:val="18"/>
                <w:szCs w:val="18"/>
                <w:color w:val="auto"/>
              </w:rPr>
              <w:t>Below is the financial information for CSLF II:</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360" w:type="dxa"/>
            <w:vAlign w:val="bottom"/>
          </w:tcPr>
          <w:p>
            <w:pPr>
              <w:jc w:val="center"/>
              <w:ind w:left="2970"/>
              <w:spacing w:after="0"/>
              <w:rPr>
                <w:sz w:val="20"/>
                <w:szCs w:val="20"/>
                <w:color w:val="auto"/>
              </w:rPr>
            </w:pPr>
            <w:r>
              <w:rPr>
                <w:rFonts w:ascii="Arial" w:cs="Arial" w:eastAsia="Arial" w:hAnsi="Arial"/>
                <w:sz w:val="18"/>
                <w:szCs w:val="18"/>
                <w:b w:val="1"/>
                <w:bCs w:val="1"/>
                <w:color w:val="auto"/>
                <w:w w:val="95"/>
              </w:rPr>
              <w:t>Capitala Senior Loan Fund II, LLC</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jc w:val="center"/>
              <w:ind w:left="2990"/>
              <w:spacing w:after="0"/>
              <w:rPr>
                <w:sz w:val="20"/>
                <w:szCs w:val="20"/>
                <w:color w:val="auto"/>
              </w:rPr>
            </w:pPr>
            <w:r>
              <w:rPr>
                <w:rFonts w:ascii="Arial" w:cs="Arial" w:eastAsia="Arial" w:hAnsi="Arial"/>
                <w:sz w:val="18"/>
                <w:szCs w:val="18"/>
                <w:b w:val="1"/>
                <w:bCs w:val="1"/>
                <w:color w:val="auto"/>
                <w:w w:val="88"/>
              </w:rPr>
              <w:t>Statements of Assets and Liabilities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(in thousands)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rPr>
              <w:t>March 31, 2019</w:t>
            </w:r>
          </w:p>
        </w:tc>
        <w:tc>
          <w:tcPr>
            <w:tcW w:w="1620" w:type="dxa"/>
            <w:vAlign w:val="bottom"/>
            <w:gridSpan w:val="5"/>
          </w:tcPr>
          <w:p>
            <w:pPr>
              <w:ind w:left="60"/>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Investments at fair value (amortized cost of $16,725 and $10,000, respectively)</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16,725</w:t>
            </w:r>
          </w:p>
        </w:tc>
        <w:tc>
          <w:tcPr>
            <w:tcW w:w="8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Interest receivable</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Partners’ capital</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17,412</w:t>
            </w:r>
          </w:p>
        </w:tc>
        <w:tc>
          <w:tcPr>
            <w:tcW w:w="8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17,119</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assets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0"/>
              <w:spacing w:after="0"/>
              <w:rPr>
                <w:sz w:val="20"/>
                <w:szCs w:val="20"/>
                <w:color w:val="auto"/>
              </w:rPr>
            </w:pPr>
            <w:r>
              <w:rPr>
                <w:rFonts w:ascii="Arial" w:cs="Arial" w:eastAsia="Arial" w:hAnsi="Arial"/>
                <w:sz w:val="18"/>
                <w:szCs w:val="18"/>
                <w:b w:val="1"/>
                <w:bCs w:val="1"/>
                <w:color w:val="auto"/>
                <w:w w:val="95"/>
              </w:rPr>
              <w:t>Capitala Senior Loan Fund II, LLC</w:t>
            </w: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3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Statements of Operations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(in thousands)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360" w:type="dxa"/>
            <w:vAlign w:val="bottom"/>
          </w:tcPr>
          <w:p>
            <w:pPr>
              <w:spacing w:after="0"/>
              <w:rPr>
                <w:sz w:val="24"/>
                <w:szCs w:val="24"/>
                <w:color w:val="auto"/>
              </w:rPr>
            </w:pPr>
          </w:p>
        </w:tc>
        <w:tc>
          <w:tcPr>
            <w:tcW w:w="3060" w:type="dxa"/>
            <w:vAlign w:val="bottom"/>
            <w:gridSpan w:val="10"/>
          </w:tcPr>
          <w:p>
            <w:pPr>
              <w:spacing w:after="0"/>
              <w:rPr>
                <w:sz w:val="20"/>
                <w:szCs w:val="20"/>
                <w:color w:val="auto"/>
              </w:rPr>
            </w:pPr>
            <w:r>
              <w:rPr>
                <w:rFonts w:ascii="Arial" w:cs="Arial" w:eastAsia="Arial" w:hAnsi="Arial"/>
                <w:sz w:val="18"/>
                <w:szCs w:val="18"/>
                <w:b w:val="1"/>
                <w:bCs w:val="1"/>
                <w:color w:val="auto"/>
                <w:w w:val="93"/>
              </w:rPr>
              <w:t>For the three months ended March 31,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312</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87</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gridSpan w:val="2"/>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0"/>
              <w:spacing w:after="0"/>
              <w:rPr>
                <w:sz w:val="20"/>
                <w:szCs w:val="20"/>
                <w:color w:val="auto"/>
              </w:rPr>
            </w:pPr>
            <w:r>
              <w:rPr>
                <w:rFonts w:ascii="Arial" w:cs="Arial" w:eastAsia="Arial" w:hAnsi="Arial"/>
                <w:sz w:val="18"/>
                <w:szCs w:val="18"/>
                <w:color w:val="auto"/>
                <w:w w:val="89"/>
              </w:rPr>
              <w:t>71</w:t>
            </w: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36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80" w:type="dxa"/>
            <w:vAlign w:val="bottom"/>
            <w:gridSpan w:val="3"/>
          </w:tcPr>
          <w:p>
            <w:pPr>
              <w:ind w:left="660"/>
              <w:spacing w:after="0"/>
              <w:rPr>
                <w:sz w:val="20"/>
                <w:szCs w:val="20"/>
                <w:color w:val="auto"/>
              </w:rPr>
            </w:pPr>
            <w:r>
              <w:rPr>
                <w:rFonts w:ascii="Arial" w:cs="Arial" w:eastAsia="Arial" w:hAnsi="Arial"/>
                <w:sz w:val="18"/>
                <w:szCs w:val="18"/>
                <w:color w:val="auto"/>
                <w:w w:val="92"/>
              </w:rPr>
              <w:t>Operating results for the three months ended March 31, 2019 and 2018 were as follows (dollars in thousands):</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23"/>
        </w:trPr>
        <w:tc>
          <w:tcPr>
            <w:tcW w:w="65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5"/>
              </w:rPr>
              <w:t>March 31, 2019</w:t>
            </w:r>
          </w:p>
        </w:tc>
        <w:tc>
          <w:tcPr>
            <w:tcW w:w="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 2018</w:t>
            </w:r>
          </w:p>
        </w:tc>
        <w:tc>
          <w:tcPr>
            <w:tcW w:w="100" w:type="dxa"/>
            <w:vAlign w:val="bottom"/>
          </w:tcPr>
          <w:p>
            <w:pPr>
              <w:spacing w:after="0"/>
              <w:rPr>
                <w:sz w:val="19"/>
                <w:szCs w:val="19"/>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Total expenses</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8,549</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8,134</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(5,847)</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(3,855)</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Tax benefit (provision)</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23"/>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 income for the three months ended March 31, 2019 and 2018 was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7"/>
          </w:tcPr>
          <w:p>
            <w:pPr>
              <w:ind w:left="10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8580" w:type="dxa"/>
            <w:vAlign w:val="bottom"/>
          </w:tcPr>
          <w:p>
            <w:pPr>
              <w:spacing w:after="0"/>
              <w:rPr>
                <w:sz w:val="19"/>
                <w:szCs w:val="19"/>
                <w:color w:val="auto"/>
              </w:rPr>
            </w:pPr>
          </w:p>
        </w:tc>
        <w:tc>
          <w:tcPr>
            <w:tcW w:w="14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March 31, 2019</w:t>
            </w:r>
          </w:p>
        </w:tc>
        <w:tc>
          <w:tcPr>
            <w:tcW w:w="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March 31, 2018</w:t>
            </w:r>
          </w:p>
        </w:tc>
        <w:tc>
          <w:tcPr>
            <w:tcW w:w="100" w:type="dxa"/>
            <w:vAlign w:val="bottom"/>
            <w:gridSpan w:val="2"/>
          </w:tcPr>
          <w:p>
            <w:pPr>
              <w:spacing w:after="0"/>
              <w:rPr>
                <w:sz w:val="19"/>
                <w:szCs w:val="19"/>
                <w:color w:val="auto"/>
              </w:rPr>
            </w:pP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Fee income</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1,357</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Dividend income</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income reported as interest income and PIK interest and PIK dividend income is generally based on the stated rates as disclosed in our consolidated schedule of investments. Accretion of discounts received for purchased loans are included in interest income as an adjustment to yield. As a general rule, our interest income and PIK interest and PIK dividend income are recurring in nature.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earn dividends on certain equity investments within our investment portfolio. As noted in our consolidated schedule of investments, some investments are scheduled to pay a periodic dividend, though these recurring dividends do not make up a significant portion of our total investment income. We may, and have received, more substantial one-time dividends from our equity investments.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three months ended March 31, 2019, total investment income increased by $0.1 million, or 0.9%, compared to the three months ended March 31, 2018. Interest income decreased from $10.7 million for the three months ended March 31, 2018 to $10.0 million for the three months ended March 31, 2019. The decrease from the prior period is primarily related to lower average outstanding debt investments during the three months ended March 31, 2019 compared to the three months ended March 31, 2018. PIK income declined from $1.4 million for the three months ended March 31, 2018 to $0.9 million for the three months ended March 31, 2019, primarily due to a decrease in investments with a contractual PIK rate. Fee income decreased from $0.5 million for the three months ended March 31, 2018 to $0.4 million for the three months ended March 31, 2019. For the three months ended March 31, 2019, we generated $0.4 million in origination fees from new deployments. Comparatively, for the three months ended March 31, 2018, we generated $0.3 million in origination fees from new deployments and $0.2 million in non-origination fees. Dividend income increased from $0.1 million for the three months ended March 31, 2018 to $1.3 million for the three months ended March 31, 2019, driven by a one-time dividend of $1.3 million received on our investment in Nth Degree, Inc.</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composition of our expenses for the three months ended March 31, 2019 and March 31, 2018 was as follows (dollars in thousands):</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Interest and financing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Base management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March 31, 2019</w:t>
            </w:r>
          </w:p>
        </w:tc>
        <w:tc>
          <w:tcPr>
            <w:tcW w:w="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March 31, 2018</w:t>
            </w: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460" w:type="dxa"/>
            <w:vAlign w:val="bottom"/>
            <w:tcBorders>
              <w:top w:val="single" w:sz="8" w:color="auto"/>
            </w:tcBorders>
          </w:tcPr>
          <w:p>
            <w:pPr>
              <w:jc w:val="right"/>
              <w:ind w:right="30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4,413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4,364</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2,118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2,303</w:t>
            </w:r>
          </w:p>
        </w:tc>
      </w:t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984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1,223</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8,134</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-745490</wp:posOffset>
            </wp:positionV>
            <wp:extent cx="72466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-462280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-179705</wp:posOffset>
            </wp:positionV>
            <wp:extent cx="72466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909" w:right="239" w:bottom="1440" w:gutter="0" w:footer="0" w:header="0"/>
          <w:type w:val="continuous"/>
        </w:sectPr>
      </w:pPr>
    </w:p>
    <w:p>
      <w:pPr>
        <w:spacing w:after="0" w:line="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three months ended March 31, 2019, operating expenses increased $0.4 million, or 5.1%, compared to the three months ended March 31, 2018. For the three months ended March 31, 2019, interest and financing expenses remained relatively flat compared to the three months ended March 31, 2018 with limited change in average debt outstanding and average interest rates. Management fees declined from $2.3 million for the three months ended March 31, 2018 to $2.1 million for the three months ended March 31, 2019, due to lower average assets under management. Incentive fees increased from $0.2 million for the three months ended March 31, 2018 to $1.0 million for the three months ended March 31, 2019, primarily due to higher pre-incentive fee net investment income. General and administrative expenses decreased from $1.2 million for the three months ended March 31, 2018 to $1.0 million for the three months ended March 31, 2019, primarily due to lower audit expense recognized during the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(losses) on sales of investments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2019 and March 31, 2018 we recognized $(5.8) million and $(3.9) million, respectively, of net realized losses on our portfolio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Net change in unrealized appreciation (depreciation) on investments reflects the net change in the fair value of our investment portfolio. For the three months ended March 31, 2019 and 2018 we had net unrealized appreciation (depreciation) of $1.5 million and $(0.4)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benefit (provision)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March 31, 2019 and 2018 we recorded a tax benefit of $0.1 million and a tax provision of $(0.1)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March 31, 2019 and 2018 we recorded a net increase (decrease) in net assets resulting from operations of $(0.2) million and $0.1 million, respectively. Based on the weighted average shares of common stock outstanding for the three months ended March 31, 2019 and 2018 our per share net increase (decrease) in net assets resulting from operations was $(0.01) and $0.01,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Our Unconsolidated 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holds a control interest, as defined by the 1940 Act, in six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March 31, 2019 and December 31, 2018, and for the three months ended March 31, 2019 and March 31,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AAE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AAE Acquisition, LLC, formed on May 21, 2004 as a Delaware limited liability company, is an aerial equipment rental and services business primarily serving the Gulf Coast region. The income (loss) the Company generated from AAE Acquisition, LLC, which includes all interest, dividends, PIK interest and PIK dividends, fees, and unrealized appreciation (depreciation), was $(2.9) million and $0.7 million for the three months ended March 31, 2019 and March 31,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loss the Company generated from CableOrganizer Acquisition, LLC, which includes all interest, dividends, PIK interest and PIK dividends, fees, realized loss, and unrealized appreciation (depreciation), was $(1.7) million and $(0.9) million for the three months ended March 31, 2019 and March 31,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Precision, LLC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Micro Precision, LLC, formed on August 5, 2011 as a Delaware limited liability company, is a prime contractor supplying critical parts and mechanical assemblies to the U.S. Department of Defense as well as designer and manufacturer of locomotive air horns. The income (loss) the Company generated from Micro Precision, LLC, which includes all interest, dividends, PIK interest and PIK dividends, fees, and unrealized appreciation (depreciation), was $0.3 million and $(0.2) million for the three months ended March 31, 2019 and March 31, 2018,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Navis Holdings, Inc., incorporated in Delaware on December 21, 2010, designs and manufactures leading machinery for the global knit and woven finishing textile industries. The income (loss) the Company generated from Navis Holdings, Inc., which includes all interest, dividends, PIK interest and PIK dividends, fees, and unrealized appreciation (depreciation) was $(0.5) million and $0.5 million for the three months ended March 31, 2019 and March 31,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Portrait Studio,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Portrait Studio, LLC, formed on December 12, 2017 as a Delaware limited liability company, is a professional and personal imaging platform, operating retail studios throughout the U.S. and an ecommerce virtual studio web portal. The loss the Company generated from Portrait Studio, LLC, which includes all interest, dividends, PIK interest, and PIK dividends, fees, and unrealized depreciation, was $(0.5) million and $(0.3) million for the three months ended March 31, 2019 and March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(loss) the Company generated from Eastport Holdings, LLC, which includes all interest, dividends, PIK interest and dividends, fees, and unrealized appreciation (depreciation), was $(0.6) million and $0.6 million for the three months ended March 31, 2019 and March 31, 2018,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8"/>
              </w:rPr>
              <w:t>March 31,</w:t>
            </w:r>
          </w:p>
        </w:tc>
        <w:tc>
          <w:tcPr>
            <w:tcW w:w="118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Balance Sheets – AAE Acquisition, LLC</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21,928</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54,684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1,726</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(27,287)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ind w:left="80"/>
              <w:spacing w:after="0"/>
              <w:rPr>
                <w:sz w:val="20"/>
                <w:szCs w:val="20"/>
                <w:color w:val="auto"/>
              </w:rPr>
            </w:pPr>
            <w:r>
              <w:rPr>
                <w:rFonts w:ascii="Arial" w:cs="Arial" w:eastAsia="Arial" w:hAnsi="Arial"/>
                <w:sz w:val="18"/>
                <w:szCs w:val="18"/>
                <w:b w:val="1"/>
                <w:bCs w:val="1"/>
                <w:color w:val="auto"/>
              </w:rPr>
              <w:t>For the three months ended</w:t>
            </w:r>
          </w:p>
        </w:tc>
      </w:tr>
      <w:tr>
        <w:trPr>
          <w:trHeight w:val="205"/>
        </w:trPr>
        <w:tc>
          <w:tcPr>
            <w:tcW w:w="7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5"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7"/>
                <w:szCs w:val="17"/>
                <w:color w:val="auto"/>
              </w:rPr>
            </w:pPr>
          </w:p>
        </w:tc>
      </w:tr>
      <w:tr>
        <w:trPr>
          <w:trHeight w:val="234"/>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AAE Acquisition, LLC</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100" w:type="dxa"/>
            <w:vAlign w:val="bottom"/>
            <w:shd w:val="clear" w:color="auto" w:fill="CCEEFF"/>
          </w:tcPr>
          <w:p>
            <w:pPr>
              <w:spacing w:after="0"/>
              <w:rPr>
                <w:sz w:val="18"/>
                <w:szCs w:val="18"/>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5,001</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4,855</w:t>
            </w:r>
          </w:p>
        </w:tc>
      </w:tr>
      <w:tr>
        <w:trPr>
          <w:trHeight w:val="210"/>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08" w:right="23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80910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80910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Balance Sheets – CableOrganizer Acquisition,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3,034</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3,116</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(1,494)</w:t>
            </w: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(1,348)</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6376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18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41" w:lineRule="exact"/>
        <w:rPr>
          <w:sz w:val="20"/>
          <w:szCs w:val="20"/>
          <w:color w:val="auto"/>
        </w:rPr>
      </w:pPr>
    </w:p>
    <w:p>
      <w:pPr>
        <w:sectPr>
          <w:pgSz w:w="11900" w:h="16838" w:orient="portrait"/>
          <w:cols w:equalWidth="0" w:num="2">
            <w:col w:w="7980" w:space="720"/>
            <w:col w:w="272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tcPr>
          <w:p>
            <w:pPr>
              <w:spacing w:after="0"/>
              <w:rPr>
                <w:sz w:val="16"/>
                <w:szCs w:val="16"/>
                <w:color w:val="auto"/>
              </w:rPr>
            </w:pPr>
          </w:p>
        </w:tc>
        <w:tc>
          <w:tcPr>
            <w:tcW w:w="486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3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2,874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8"/>
                <w:szCs w:val="18"/>
                <w:color w:val="auto"/>
              </w:rPr>
              <w:t>2,987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Noncurrent assets</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7,067</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8,459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3,689</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3180" w:type="dxa"/>
            <w:vAlign w:val="bottom"/>
            <w:gridSpan w:val="2"/>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1"/>
              </w:rPr>
              <w:t>For the 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20"/>
              <w:spacing w:after="0" w:line="205" w:lineRule="exact"/>
              <w:rPr>
                <w:sz w:val="20"/>
                <w:szCs w:val="20"/>
                <w:color w:val="auto"/>
              </w:rPr>
            </w:pPr>
            <w:r>
              <w:rPr>
                <w:rFonts w:ascii="Arial" w:cs="Arial" w:eastAsia="Arial" w:hAnsi="Arial"/>
                <w:sz w:val="18"/>
                <w:szCs w:val="18"/>
                <w:b w:val="1"/>
                <w:bCs w:val="1"/>
                <w:color w:val="auto"/>
                <w:w w:val="98"/>
              </w:rPr>
              <w:t>March 31,</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5"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gridSpan w:val="2"/>
          </w:tcPr>
          <w:p>
            <w:pPr>
              <w:ind w:left="660"/>
              <w:spacing w:after="0"/>
              <w:rPr>
                <w:sz w:val="20"/>
                <w:szCs w:val="20"/>
                <w:color w:val="auto"/>
              </w:rPr>
            </w:pPr>
            <w:r>
              <w:rPr>
                <w:rFonts w:ascii="Arial" w:cs="Arial" w:eastAsia="Arial" w:hAnsi="Arial"/>
                <w:sz w:val="18"/>
                <w:szCs w:val="18"/>
                <w:b w:val="1"/>
                <w:bCs w:val="1"/>
                <w:color w:val="auto"/>
                <w:w w:val="93"/>
              </w:rPr>
              <w:t>Statements of Operations – CableOrganizer Acquisition, LLC</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Cost of goods sold</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2,229</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1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318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80" w:type="dxa"/>
            <w:vAlign w:val="bottom"/>
            <w:vMerge w:val="restart"/>
          </w:tcPr>
          <w:p>
            <w:pPr>
              <w:jc w:val="right"/>
              <w:ind w:right="27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type w:val="continuous"/>
        </w:sectPr>
      </w:pPr>
    </w:p>
    <w:bookmarkStart w:id="78" w:name="page79"/>
    <w:bookmarkEnd w:id="78"/>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March 31,</w:t>
            </w:r>
          </w:p>
        </w:tc>
        <w:tc>
          <w:tcPr>
            <w:tcW w:w="118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Balance Sheets – Micro Precision, LLC</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19,399</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2,965</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05"/>
        </w:trPr>
        <w:tc>
          <w:tcPr>
            <w:tcW w:w="7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5"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7"/>
                <w:szCs w:val="17"/>
                <w:color w:val="auto"/>
              </w:rPr>
            </w:pPr>
          </w:p>
        </w:tc>
      </w:tr>
      <w:tr>
        <w:trPr>
          <w:trHeight w:val="234"/>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Micro Precision, LLC</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8"/>
                <w:szCs w:val="18"/>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1,581</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1,308</w:t>
            </w:r>
          </w:p>
        </w:tc>
      </w:tr>
      <w:tr>
        <w:trPr>
          <w:trHeight w:val="210"/>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18" w:right="23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80910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80910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Balance Sheets – Navis Holdings,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1,216</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6376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18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41" w:lineRule="exact"/>
        <w:rPr>
          <w:sz w:val="20"/>
          <w:szCs w:val="20"/>
          <w:color w:val="auto"/>
        </w:rPr>
      </w:pPr>
    </w:p>
    <w:p>
      <w:pPr>
        <w:sectPr>
          <w:pgSz w:w="11900" w:h="16838" w:orient="portrait"/>
          <w:cols w:equalWidth="0" w:num="2">
            <w:col w:w="7980" w:space="720"/>
            <w:col w:w="2720"/>
          </w:cols>
          <w:pgMar w:left="240" w:top="918"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tcPr>
          <w:p>
            <w:pPr>
              <w:spacing w:after="0"/>
              <w:rPr>
                <w:sz w:val="16"/>
                <w:szCs w:val="16"/>
                <w:color w:val="auto"/>
              </w:rPr>
            </w:pPr>
          </w:p>
        </w:tc>
        <w:tc>
          <w:tcPr>
            <w:tcW w:w="43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3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4,875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rPr>
              <w:t>5,868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Noncurrent assets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4,723</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8,113</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720" w:type="dxa"/>
            <w:vAlign w:val="bottom"/>
            <w:gridSpan w:val="2"/>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8"/>
              </w:rPr>
              <w:t>March 31,</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5"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Statements of Operations – Navis Holdings, Inc.</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Cost of goods sold</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2,645</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7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income</w:t>
            </w:r>
          </w:p>
        </w:tc>
        <w:tc>
          <w:tcPr>
            <w:tcW w:w="37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20" w:type="dxa"/>
            <w:vAlign w:val="bottom"/>
            <w:vMerge w:val="restart"/>
          </w:tcPr>
          <w:p>
            <w:pPr>
              <w:jc w:val="right"/>
              <w:ind w:right="27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type w:val="continuous"/>
        </w:sectPr>
      </w:pPr>
    </w:p>
    <w:bookmarkStart w:id="79" w:name="page80"/>
    <w:bookmarkEnd w:id="79"/>
    <w:p>
      <w:pPr>
        <w:spacing w:after="0" w:line="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8"/>
              </w:rPr>
              <w:t>March 31,</w:t>
            </w:r>
          </w:p>
        </w:tc>
        <w:tc>
          <w:tcPr>
            <w:tcW w:w="118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Balance Sheets – Portrait Studio, LLC</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3,765</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7,509</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05"/>
        </w:trPr>
        <w:tc>
          <w:tcPr>
            <w:tcW w:w="7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5"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7"/>
                <w:szCs w:val="17"/>
                <w:color w:val="auto"/>
              </w:rPr>
            </w:pPr>
          </w:p>
        </w:tc>
      </w:tr>
      <w:tr>
        <w:trPr>
          <w:trHeight w:val="234"/>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Portrait Studio, LLC</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100" w:type="dxa"/>
            <w:vAlign w:val="bottom"/>
            <w:shd w:val="clear" w:color="auto" w:fill="CCEEFF"/>
          </w:tcPr>
          <w:p>
            <w:pPr>
              <w:spacing w:after="0"/>
              <w:rPr>
                <w:sz w:val="18"/>
                <w:szCs w:val="18"/>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1,077</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r>
      <w:tr>
        <w:trPr>
          <w:trHeight w:val="210"/>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44" w:orient="portrait"/>
          <w:cols w:equalWidth="0" w:num="1">
            <w:col w:w="11420"/>
          </w:cols>
          <w:pgMar w:left="240" w:top="918" w:right="239" w:bottom="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80910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80910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Balance Sheets - Eastport Holdings,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8,598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10,438</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(1,178)</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(1,319)</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6376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18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1" w:lineRule="exact"/>
        <w:rPr>
          <w:sz w:val="20"/>
          <w:szCs w:val="20"/>
          <w:color w:val="auto"/>
        </w:rPr>
      </w:pPr>
    </w:p>
    <w:p>
      <w:pPr>
        <w:sectPr>
          <w:pgSz w:w="11900" w:h="16844" w:orient="portrait"/>
          <w:cols w:equalWidth="0" w:num="2">
            <w:col w:w="7980" w:space="720"/>
            <w:col w:w="2720"/>
          </w:cols>
          <w:pgMar w:left="240" w:top="918" w:right="239" w:bottom="0" w:gutter="0" w:footer="0" w:header="0"/>
          <w:type w:val="continuous"/>
        </w:sectPr>
      </w:pPr>
    </w:p>
    <w:tbl>
      <w:tblPr>
        <w:tblLayout w:type="fixed"/>
        <w:tblInd w:w="6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96,859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198,360</w:t>
            </w: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198,962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295,219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163,389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144,928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55,493</w:t>
            </w: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56,951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76,337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20"/>
              <w:spacing w:after="0" w:line="205" w:lineRule="exact"/>
              <w:rPr>
                <w:sz w:val="20"/>
                <w:szCs w:val="20"/>
                <w:color w:val="auto"/>
              </w:rPr>
            </w:pPr>
            <w:r>
              <w:rPr>
                <w:rFonts w:ascii="Arial" w:cs="Arial" w:eastAsia="Arial" w:hAnsi="Arial"/>
                <w:sz w:val="18"/>
                <w:szCs w:val="18"/>
                <w:b w:val="1"/>
                <w:bCs w:val="1"/>
                <w:color w:val="auto"/>
                <w:w w:val="98"/>
              </w:rPr>
              <w:t>March 31,</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5"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Eastport Holdings, LLC</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117,670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79,857</w:t>
            </w: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93,021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(1,748)</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stockholders, and repay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our IPO, we have raised approximately $136.0 million in net proceeds from equity offerings through March 31, 2019.</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17, 2014, the Company entered into a senior secured revolving credit agreement (the “Credit Facility”) with ING Capital, LLC, as administrative agent, arranger, and bookrunner, and the lenders party thereto. The Credit Facility was amended on May 22, 2015, June 16, 2017, July 19, 2018, and February 22, 2019 (the “Amendments”). The Amendments were affected, among other things, in order to increase the total borrowings allowed under the Credit Facility, allow for stock repurchases, extend the maturity date, reduce the minimum required interest coverage ratio, reduce the minimum required net asset value, and reduce the minimum required asset coverage ratio. The Credit Facility currently provides for borrowings up to $114.5 million and may be increased up to $200.0 million pursuant to its “accordion” feature. The Credit Facility matures on June 16, 2021. As of March 31, 2019, we had $25.0 million outstanding and $89.5 million available under the Credit Facility.</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w:t>
      </w:r>
    </w:p>
    <w:p>
      <w:pPr>
        <w:sectPr>
          <w:pgSz w:w="11900" w:h="16844" w:orient="portrait"/>
          <w:cols w:equalWidth="0" w:num="1">
            <w:col w:w="11420"/>
          </w:cols>
          <w:pgMar w:left="240" w:top="918" w:right="239" w:bottom="0" w:gutter="0" w:footer="0" w:header="0"/>
          <w:type w:val="continuous"/>
        </w:sectPr>
      </w:pPr>
    </w:p>
    <w:bookmarkStart w:id="80" w:name="page81"/>
    <w:bookmarkEnd w:id="80"/>
    <w:p>
      <w:pPr>
        <w:jc w:val="both"/>
        <w:spacing w:after="0" w:line="264" w:lineRule="auto"/>
        <w:rPr>
          <w:sz w:val="20"/>
          <w:szCs w:val="20"/>
          <w:color w:val="auto"/>
        </w:rPr>
      </w:pPr>
      <w:r>
        <w:rPr>
          <w:rFonts w:ascii="Arial" w:cs="Arial" w:eastAsia="Arial" w:hAnsi="Arial"/>
          <w:sz w:val="18"/>
          <w:szCs w:val="18"/>
          <w:color w:val="auto"/>
        </w:rPr>
        <w:t>on or after May 31, 2019 at a redemption price equal to 100% of the outstanding principal, plus accrued and unpaid interest. Interest is payable quarterly beginning August 31, 2017. The 2022 Notes are listed on the NASDAQ Global Select Market under the trading symbol “CPTAL” with a par value $25.00 per share.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both"/>
        <w:ind w:firstLine="648"/>
        <w:spacing w:after="0" w:line="259" w:lineRule="auto"/>
        <w:rPr>
          <w:sz w:val="20"/>
          <w:szCs w:val="20"/>
          <w:color w:val="auto"/>
        </w:rPr>
      </w:pPr>
      <w:r>
        <w:rPr>
          <w:rFonts w:ascii="Arial" w:cs="Arial" w:eastAsia="Arial" w:hAnsi="Arial"/>
          <w:sz w:val="18"/>
          <w:szCs w:val="18"/>
          <w:color w:val="auto"/>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is payable quarterly beginning August 31, 2017. The 2022 Convertible Notes are listed on the NASDAQ Capital Market under the trading symbol “CPTAG” with a par value $25.00 per share.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of March 31, 2019,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w:t>
      </w:r>
    </w:p>
    <w:p>
      <w:pPr>
        <w:spacing w:after="0" w:line="2" w:lineRule="exact"/>
        <w:rPr>
          <w:sz w:val="20"/>
          <w:szCs w:val="20"/>
          <w:color w:val="auto"/>
        </w:rPr>
      </w:pPr>
    </w:p>
    <w:p>
      <w:pPr>
        <w:ind w:right="20" w:firstLine="8"/>
        <w:spacing w:after="0" w:line="261" w:lineRule="auto"/>
        <w:tabs>
          <w:tab w:leader="none" w:pos="1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and Fund III as SBICs) and from certain reporting requirements mandated by the 1934 Act, with respect to Fund II and Fund III. We intend to comply with the conditions of the order.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2019, we had $28.5 million in cash and cash equivalents, and our net assets totaled $186.7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significant contractual payment obligations as of March 31, 2019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Contractual Obligations Payments Due by Period</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Less Than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700"/>
              <w:spacing w:after="0" w:line="191" w:lineRule="exact"/>
              <w:rPr>
                <w:sz w:val="20"/>
                <w:szCs w:val="20"/>
                <w:color w:val="auto"/>
              </w:rPr>
            </w:pPr>
            <w:r>
              <w:rPr>
                <w:rFonts w:ascii="Arial" w:cs="Arial" w:eastAsia="Arial" w:hAnsi="Arial"/>
                <w:sz w:val="18"/>
                <w:szCs w:val="18"/>
                <w:b w:val="1"/>
                <w:bCs w:val="1"/>
                <w:color w:val="auto"/>
              </w:rPr>
              <w:t>1 – 3</w:t>
            </w:r>
          </w:p>
        </w:tc>
        <w:tc>
          <w:tcPr>
            <w:tcW w:w="240" w:type="dxa"/>
            <w:vAlign w:val="bottom"/>
          </w:tcPr>
          <w:p>
            <w:pPr>
              <w:spacing w:after="0"/>
              <w:rPr>
                <w:sz w:val="16"/>
                <w:szCs w:val="16"/>
                <w:color w:val="auto"/>
              </w:rPr>
            </w:pPr>
          </w:p>
        </w:tc>
        <w:tc>
          <w:tcPr>
            <w:tcW w:w="122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9"/>
              </w:rPr>
              <w:t>3 – 5</w:t>
            </w:r>
          </w:p>
        </w:tc>
        <w:tc>
          <w:tcPr>
            <w:tcW w:w="120" w:type="dxa"/>
            <w:vAlign w:val="bottom"/>
          </w:tcPr>
          <w:p>
            <w:pPr>
              <w:spacing w:after="0"/>
              <w:rPr>
                <w:sz w:val="16"/>
                <w:szCs w:val="16"/>
                <w:color w:val="auto"/>
              </w:rPr>
            </w:pPr>
          </w:p>
        </w:tc>
        <w:tc>
          <w:tcPr>
            <w:tcW w:w="132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More Than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1 Year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5 Years</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2022 Notes</w:t>
            </w:r>
          </w:p>
        </w:tc>
        <w:tc>
          <w:tcPr>
            <w:tcW w:w="106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0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52,088</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Credit Facility</w:t>
            </w:r>
          </w:p>
        </w:tc>
        <w:tc>
          <w:tcPr>
            <w:tcW w:w="106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have made and intend to make monthly distributions thereafter. Our monthly stockholder distributions, if any, will be determined by our Board on a quarterly basis. Any distribution to our stockholders will be declared out of assets legally available for distribution.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both"/>
        <w:ind w:firstLine="648"/>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tables summarize our distributions declared from January 1, 2017 through March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Record Date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1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2019</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January 2, 2019</w:t>
            </w: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20, 2019</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27, 2019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21, 2019</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28, 2019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Total Distributions Declared and Distributed for 2019</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vMerge w:val="restart"/>
          </w:tcPr>
          <w:p>
            <w:pPr>
              <w:jc w:val="right"/>
              <w:ind w:right="77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Record Date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1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2018</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January 2, 2018</w:t>
            </w: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20, 2018</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23, 2018</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29, 2018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19, 2018</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April 27, 2018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 2018</w:t>
            </w: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May 22, 2018</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20, 2018</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June 28, 2018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23, 2018</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July 2, 2018</w:t>
            </w: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August 23, 2018</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August 30, 2018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September 20, 2018</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27, 2018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October 1, 2018</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23, 2018</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October 30, 2018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2018</w:t>
            </w: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November 21, 2018</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October 1, 2018</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20, 2018</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December 28, 2018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23"/>
        </w:trPr>
        <w:tc>
          <w:tcPr>
            <w:tcW w:w="4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2018</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Record Date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 2017</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January 3, 2017</w:t>
            </w: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20, 2017</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23, 2017</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19, 2017</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April 27, 2017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 2017</w:t>
            </w: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May 23, 2017</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29, 2017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24, 2017</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June 29, 2017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21, 2017</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28, 2017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July 3, 2017</w:t>
            </w: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August 23, 2017</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August 30, 2017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September 20, 2017</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28, 2017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October 2, 2017</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23, 2017</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October 30, 2017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 2017</w:t>
            </w: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November 21, 2017</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October 2, 2017</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20, 2017</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December 28, 2017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23"/>
        </w:trPr>
        <w:tc>
          <w:tcPr>
            <w:tcW w:w="4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2017</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the Investment Advisory Agreement with the Investment Advisor. Joseph B. Alala, our chief executive officer and chairman of our Board, is the managing partner and chief investment officer of the Investment Advisor, and M. Hunt Broyhill, a member of our Board, has an indirect controlling interest in the Investment Advisor.</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an affiliate of the Investment Advisor also manages CapitalSouth Partners SBIC Fund IV, L.P. (‘‘Fund IV’’), a private investment limited partnership which provides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and a private investment vehicle (referred to herein as “Capitala Specialty Lending Corp” or “CSLC”), both of which provide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expect to make, and have made, co-investments with Fund IV, Fund V, and/or CSLC to the extent their respective investment strategies align with ours.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jc w:val="both"/>
        <w:ind w:firstLine="648"/>
        <w:spacing w:after="0" w:line="253" w:lineRule="auto"/>
        <w:rPr>
          <w:sz w:val="20"/>
          <w:szCs w:val="20"/>
          <w:color w:val="auto"/>
        </w:rPr>
      </w:pPr>
      <w:r>
        <w:rPr>
          <w:rFonts w:ascii="Arial" w:cs="Arial" w:eastAsia="Arial" w:hAnsi="Arial"/>
          <w:sz w:val="18"/>
          <w:szCs w:val="18"/>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w:t>
      </w:r>
    </w:p>
    <w:p>
      <w:pPr>
        <w:spacing w:after="0" w:line="187" w:lineRule="exact"/>
        <w:rPr>
          <w:sz w:val="20"/>
          <w:szCs w:val="20"/>
          <w:color w:val="auto"/>
        </w:rPr>
      </w:pPr>
    </w:p>
    <w:p>
      <w:pPr>
        <w:jc w:val="both"/>
        <w:ind w:firstLine="698"/>
        <w:spacing w:after="0" w:line="273" w:lineRule="auto"/>
        <w:rPr>
          <w:sz w:val="20"/>
          <w:szCs w:val="20"/>
          <w:color w:val="auto"/>
        </w:rPr>
      </w:pPr>
      <w:r>
        <w:rPr>
          <w:rFonts w:ascii="Arial" w:cs="Arial" w:eastAsia="Arial" w:hAnsi="Arial"/>
          <w:sz w:val="17"/>
          <w:szCs w:val="17"/>
          <w:color w:val="auto"/>
        </w:rPr>
        <w:t xml:space="preserve">The Company may invest in the same unitranche facility as CSLF II, whereby CSLF II provides the first-out portion of the unitranche facility and the Company and other lenders provide the last-out portion of the unitranche facility. Under a guarantee agreement, the Company may be required to purchase its pro-rata portion of first-out loans from CSLF II upon certain triggering events, including acceleration upon payment default of the underlying borrower. As of March 31, 2019, the Company has evaluated the fair value of the guarantee under the guidance of ASC Topic 460 — </w:t>
      </w:r>
      <w:r>
        <w:rPr>
          <w:rFonts w:ascii="Arial" w:cs="Arial" w:eastAsia="Arial" w:hAnsi="Arial"/>
          <w:sz w:val="17"/>
          <w:szCs w:val="17"/>
          <w:i w:val="1"/>
          <w:iCs w:val="1"/>
          <w:color w:val="auto"/>
        </w:rPr>
        <w:t>Guarantees</w:t>
      </w:r>
      <w:r>
        <w:rPr>
          <w:rFonts w:ascii="Arial" w:cs="Arial" w:eastAsia="Arial" w:hAnsi="Arial"/>
          <w:sz w:val="17"/>
          <w:szCs w:val="17"/>
          <w:color w:val="auto"/>
        </w:rPr>
        <w:t xml:space="preserve"> and determined that the fair value of the guarantee is immaterial as the risk of payment default for first-out loans in CSLF II is considered remote. The maximum exposure to credit risk as of March 31, 2019 is $7.3 million and extends to the stated maturity of the underlying loans in CSLF II.</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2019, the Company had outstanding unfunded commitments related to debt and equity investments in existing portfolio companies of $6.4 million (CSLF II), $4.2 million (Portrait Studio, LLC), $1.0 million (U.S. BioTek Laboratories, LLC), $1.0 million (Freedom Electronics, LLC), $1.0 million (CableOrganizer Acquisition, LLC), $0.5 million (MC Sign Lessor, Corp), and $0.3 million (RAM Payment, LLC). As of December 31, 2018, the Company had outstanding unfunded commitments related to debt and equity investments in existing portfolio companies of $6.4 million (CSLF II), $5.0 million (Portrait Studio, LLC), $1.1 million (MC Sign Lessor, Corp), $1.0 million (U.S. BioTek Laboratories, LLC), $0.8 million (Freedom Electronics, LLC), and $0.3 million (CableOrganizer Acquisition, LLC).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ind w:firstLine="648"/>
        <w:spacing w:after="0" w:line="277" w:lineRule="auto"/>
        <w:rPr>
          <w:sz w:val="20"/>
          <w:szCs w:val="20"/>
          <w:color w:val="auto"/>
        </w:rPr>
      </w:pPr>
      <w:r>
        <w:rPr>
          <w:rFonts w:ascii="Arial" w:cs="Arial" w:eastAsia="Arial" w:hAnsi="Arial"/>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 2019 our Board declared the following distributions: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ind w:left="164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300" w:type="dxa"/>
            <w:vAlign w:val="bottom"/>
            <w:gridSpan w:val="2"/>
          </w:tcPr>
          <w:p>
            <w:pPr>
              <w:ind w:left="600"/>
              <w:spacing w:after="0"/>
              <w:rPr>
                <w:sz w:val="20"/>
                <w:szCs w:val="20"/>
                <w:color w:val="auto"/>
              </w:rPr>
            </w:pPr>
            <w:r>
              <w:rPr>
                <w:rFonts w:ascii="Arial" w:cs="Arial" w:eastAsia="Arial" w:hAnsi="Arial"/>
                <w:sz w:val="18"/>
                <w:szCs w:val="18"/>
                <w:b w:val="1"/>
                <w:bCs w:val="1"/>
                <w:color w:val="auto"/>
              </w:rPr>
              <w:t>Record Date</w:t>
            </w:r>
          </w:p>
        </w:tc>
        <w:tc>
          <w:tcPr>
            <w:tcW w:w="2160" w:type="dxa"/>
            <w:vAlign w:val="bottom"/>
          </w:tcPr>
          <w:p>
            <w:pPr>
              <w:ind w:left="54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ind w:left="80"/>
              <w:spacing w:after="0"/>
              <w:rPr>
                <w:sz w:val="20"/>
                <w:szCs w:val="20"/>
                <w:color w:val="auto"/>
              </w:rPr>
            </w:pPr>
            <w:r>
              <w:rPr>
                <w:rFonts w:ascii="Arial" w:cs="Arial" w:eastAsia="Arial" w:hAnsi="Arial"/>
                <w:sz w:val="18"/>
                <w:szCs w:val="18"/>
                <w:b w:val="1"/>
                <w:bCs w:val="1"/>
                <w:color w:val="auto"/>
              </w:rPr>
              <w:t>Distributions per Share</w:t>
            </w: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2019</w:t>
            </w:r>
          </w:p>
        </w:tc>
        <w:tc>
          <w:tcPr>
            <w:tcW w:w="1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22, 2019</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29, 2019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April 1, 2019</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May 23, 2019</w:t>
            </w:r>
          </w:p>
        </w:tc>
        <w:tc>
          <w:tcPr>
            <w:tcW w:w="2160" w:type="dxa"/>
            <w:vAlign w:val="bottom"/>
          </w:tcPr>
          <w:p>
            <w:pPr>
              <w:spacing w:after="0"/>
              <w:rPr>
                <w:sz w:val="20"/>
                <w:szCs w:val="20"/>
                <w:color w:val="auto"/>
              </w:rPr>
            </w:pPr>
            <w:r>
              <w:rPr>
                <w:rFonts w:ascii="Arial" w:cs="Arial" w:eastAsia="Arial" w:hAnsi="Arial"/>
                <w:sz w:val="18"/>
                <w:szCs w:val="18"/>
                <w:color w:val="auto"/>
              </w:rPr>
              <w:t>May 30, 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April 1, 2019</w:t>
            </w:r>
          </w:p>
        </w:tc>
        <w:tc>
          <w:tcPr>
            <w:tcW w:w="2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June 20, 2019</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June 27, 2019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1, 2019, the Company invested $10.6 million in first lien debt and $0.4 million in equity of Family Quest Holdings,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three months ended March 31, 2019, we did not engage in hedging activities.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March 31, 2019, we held 26 securities bearing a variable rate of interest. Our variable rate investments represent approximately 61.8% of the fair value of total debt investments. As of March 31, 2019, 4.4% of variable rate securities were yielding interest at a rate equal to the established interest rate floor or interest rate ceiling and 95.6% of variable rate securities were yielding interest at a rate above its interest rate floor or were not subject to an interest rate floor. As of March 31, 2019, we had $25.0 million outstanding on our Credit Facility, which has a variable rate of interest at one-month LIBOR + 3.0%. As of March 31, 2019, all of our other interest paying liabilities, consisting of $150.0 million in SBA-guaranteed debentures, $75.0 million in 2022 Notes, and $52.1 million in 2022 Convertible Notes, were bearing interest at a fixed rate.</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our March 31, 2019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Increase)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decrease 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Increase</w:t>
            </w:r>
          </w:p>
        </w:tc>
      </w:tr>
      <w:tr>
        <w:trPr>
          <w:trHeight w:val="216"/>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interest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4940" w:type="dxa"/>
            <w:vAlign w:val="bottom"/>
          </w:tcPr>
          <w:p>
            <w:pPr>
              <w:ind w:left="2740"/>
              <w:spacing w:after="0"/>
              <w:rPr>
                <w:sz w:val="20"/>
                <w:szCs w:val="20"/>
                <w:color w:val="auto"/>
              </w:rPr>
            </w:pPr>
            <w:r>
              <w:rPr>
                <w:rFonts w:ascii="Arial" w:cs="Arial" w:eastAsia="Arial" w:hAnsi="Arial"/>
                <w:sz w:val="18"/>
                <w:szCs w:val="18"/>
                <w:b w:val="1"/>
                <w:bCs w:val="1"/>
                <w:color w:val="auto"/>
              </w:rPr>
              <w:t>Basis Point Change</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income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expense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 net income</w:t>
            </w: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Up 200 basis points</w:t>
            </w:r>
          </w:p>
        </w:tc>
        <w:tc>
          <w:tcPr>
            <w:tcW w:w="23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4,367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3,867</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32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Down 100 basis points</w:t>
            </w:r>
          </w:p>
        </w:tc>
        <w:tc>
          <w:tcPr>
            <w:tcW w:w="23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(1,358)</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32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(2,396)</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Down 300 basis points</w:t>
            </w:r>
          </w:p>
        </w:tc>
        <w:tc>
          <w:tcPr>
            <w:tcW w:w="23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624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(2,289)</w:t>
            </w:r>
          </w:p>
        </w:tc>
      </w:tr>
      <w:tr>
        <w:trPr>
          <w:trHeight w:val="634"/>
        </w:trPr>
        <w:tc>
          <w:tcPr>
            <w:tcW w:w="4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March 31, 2019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Management has not identified any change in the Company’s internal control over financial reporting that occurred during the first quarter of 2019 that has materially affected, or is reasonably likely to materially affect, the Company’s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than as described below, 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28, 2017, an alleged stockholder filed a putative class action lawsuit complaint, Paskowitz v. Capitala Finance Corp., et al., in the United States District Court for the Central District of California (case number 2:17-cv-09251-MWF-AS) (the “Paskowitz Action”), against the Company and certain of its current officers on behalf of all persons who purchased or otherwise acquired the Company’s common stock between January 4, 2016 and August 7, 2017. On January 3, 2018, another alleged stockholder filed a putative class action complaint, Sandifer v. Capitala Finance Corp., et al., in the United States District Court for the Central District of California (case number 2:18-cv-00052-MWF-AS) (the “Sandifer Action”), asserting substantially similar claims on behalf of the same putative class and against the same defendants. On February 2, 2018, the Sandifer Action was transferred, on stipulation of the parties, to the United States District Court for the Western District of North Carolina. The Sandifer Action was voluntarily dismissed on February 28, 2018. On March 1, 2018, the Paskowitz Action was transferred, on stipulation of the parties, to the United States District Court for the Western District of North Carolina (case number 3:18-cv-00096-RJC-DSC). On June 19, 2018, the plaintiffs in the Paskowitz Action filed their amended complaint. The complaint, as currently amended, alleges certain violations of the securities laws, including, inter alia, that the defendants made certain materially false and misleading statements and omissions regarding the Company’s business, operations, and prospects between January 4, 2016 and August 7, 2017. The plaintiffs in the Paskowitz Action seek compensatory damages and attorneys’ fees and costs, among other relief, but did not specify the amount of damages being sought. Defendants have moved to dismiss the amended complaint. While the Company intends to vigorously defend itself in this litigation, the outcome of these legal proceedings cannot be predicted with certainty.</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adversely affect the Company’s financial condition, results of operations or cash flows in any particular reporting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fiscal year ended December 31, 2018, which could materially affect our business, financial condition and/or operating results, including the Risk Factor titled “Recent legislation may allow us to incur additional leverage”. The risks described in our Annual Report on Form 10-K are not the only risks we face. Additional risks and uncertainties that are not currently known to us or that we currently deem to be immaterial also may materially adversely affect our business, financial condition and/or operating results. During the three months ended March 31, 2019, there have been no material changes from the risk factors set forth in our Annual Report on Form 10-K for the year ended December 31, 2018.</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quarter ended March 31, 2019, we issued 32,596 shares of common stock under our DRIP. The issuances were not subject to the registration requirements under the Securities Act of 1933, as amended. The cash paid for shares of common stock issued under our DRIP during the quarter ended March 31, 2019 was approximately $0.3 million. Other than the shares issued under our DRIP during the quarter ended March 31, 2019, we did not sell any unregistered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ectPr>
          <w:pgSz w:w="11900" w:h="16838" w:orient="portrait"/>
          <w:cols w:equalWidth="0" w:num="1">
            <w:col w:w="11400"/>
          </w:cols>
          <w:pgMar w:left="240" w:top="904" w:right="25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5" w:lineRule="exact"/>
        <w:rPr>
          <w:sz w:val="20"/>
          <w:szCs w:val="20"/>
          <w:color w:val="auto"/>
        </w:rPr>
      </w:pPr>
    </w:p>
    <w:p>
      <w:pPr>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3.2</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3.3</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3.4</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3.5</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3.6</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4.1</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31.1</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31.2</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32.1</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32.2</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63715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0" w:lineRule="exact"/>
        <w:rPr>
          <w:sz w:val="20"/>
          <w:szCs w:val="20"/>
          <w:color w:val="auto"/>
        </w:rPr>
      </w:pPr>
    </w:p>
    <w:p>
      <w:pPr>
        <w:spacing w:after="0"/>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 xml:space="preserve">Articles of Amendment and Restatement </w:t>
        </w:r>
      </w:hyperlink>
      <w:r>
        <w:rPr>
          <w:rFonts w:ascii="Arial" w:cs="Arial" w:eastAsia="Arial" w:hAnsi="Arial"/>
          <w:sz w:val="30"/>
          <w:szCs w:val="30"/>
          <w:u w:val="single" w:color="auto"/>
          <w:color w:val="0000EE"/>
          <w:vertAlign w:val="superscript"/>
        </w:rPr>
        <w:t>(1)</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 xml:space="preserve">Certificate of Limited Partnership of CapitalSouth Partners Fund II Limited Partnership </w:t>
        </w:r>
      </w:hyperlink>
      <w:r>
        <w:rPr>
          <w:rFonts w:ascii="Arial" w:cs="Arial" w:eastAsia="Arial" w:hAnsi="Arial"/>
          <w:sz w:val="30"/>
          <w:szCs w:val="30"/>
          <w:u w:val="single" w:color="auto"/>
          <w:color w:val="0000EE"/>
          <w:vertAlign w:val="superscript"/>
        </w:rPr>
        <w:t>(2)</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 xml:space="preserve">Certificate of Limited Partnership of CapitalSouth Partners SBIC Fund III, L.P. </w:t>
        </w:r>
      </w:hyperlink>
      <w:r>
        <w:rPr>
          <w:rFonts w:ascii="Arial" w:cs="Arial" w:eastAsia="Arial" w:hAnsi="Arial"/>
          <w:sz w:val="30"/>
          <w:szCs w:val="30"/>
          <w:u w:val="single" w:color="auto"/>
          <w:color w:val="0000EE"/>
          <w:vertAlign w:val="superscript"/>
        </w:rPr>
        <w:t>(2)</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 xml:space="preserve">Bylaws </w:t>
        </w:r>
      </w:hyperlink>
      <w:r>
        <w:rPr>
          <w:rFonts w:ascii="Arial" w:cs="Arial" w:eastAsia="Arial" w:hAnsi="Arial"/>
          <w:sz w:val="30"/>
          <w:szCs w:val="30"/>
          <w:u w:val="single" w:color="auto"/>
          <w:color w:val="0000EE"/>
          <w:vertAlign w:val="superscript"/>
        </w:rPr>
        <w:t>(1)</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 xml:space="preserve">Form of Amended and Restated Limited Partnership Agreement of CapitalSouth Partners Fund II Limited Partnership </w:t>
        </w:r>
      </w:hyperlink>
      <w:r>
        <w:rPr>
          <w:rFonts w:ascii="Arial" w:cs="Arial" w:eastAsia="Arial" w:hAnsi="Arial"/>
          <w:sz w:val="30"/>
          <w:szCs w:val="30"/>
          <w:u w:val="single" w:color="auto"/>
          <w:color w:val="0000EE"/>
          <w:vertAlign w:val="superscript"/>
        </w:rPr>
        <w:t>(3)</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 xml:space="preserve">Form of Amended and Restated Agreement of Limited Partnership of CapitalSouth Partners SBIC Fund III, L.P. </w:t>
        </w:r>
      </w:hyperlink>
      <w:r>
        <w:rPr>
          <w:rFonts w:ascii="Arial" w:cs="Arial" w:eastAsia="Arial" w:hAnsi="Arial"/>
          <w:sz w:val="30"/>
          <w:szCs w:val="30"/>
          <w:u w:val="single" w:color="auto"/>
          <w:color w:val="0000EE"/>
          <w:vertAlign w:val="superscript"/>
        </w:rPr>
        <w:t>(3)</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 xml:space="preserve">Form of Common Stock Certificate </w:t>
        </w:r>
      </w:hyperlink>
      <w:r>
        <w:rPr>
          <w:rFonts w:ascii="Arial" w:cs="Arial" w:eastAsia="Arial" w:hAnsi="Arial"/>
          <w:sz w:val="30"/>
          <w:szCs w:val="30"/>
          <w:u w:val="single" w:color="auto"/>
          <w:color w:val="0000EE"/>
          <w:vertAlign w:val="superscript"/>
        </w:rPr>
        <w:t>(1)</w:t>
      </w:r>
    </w:p>
    <w:p>
      <w:pPr>
        <w:spacing w:after="0" w:line="124"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Certification of Chief Executive Officer pursuant to Rule 13a-14 of the Securities Exchange Act of 1934, as adopted pursuant to Section</w:t>
        </w:r>
      </w:hyperlink>
      <w:r>
        <w:rPr>
          <w:rFonts w:ascii="Arial" w:cs="Arial" w:eastAsia="Arial" w:hAnsi="Arial"/>
          <w:sz w:val="18"/>
          <w:szCs w:val="18"/>
          <w:u w:val="single" w:color="auto"/>
          <w:color w:val="0000EE"/>
        </w:rPr>
        <w:t xml:space="preserve"> </w:t>
      </w:r>
      <w:hyperlink w:anchor="page93">
        <w:r>
          <w:rPr>
            <w:rFonts w:ascii="Arial" w:cs="Arial" w:eastAsia="Arial" w:hAnsi="Arial"/>
            <w:sz w:val="18"/>
            <w:szCs w:val="18"/>
            <w:u w:val="single" w:color="auto"/>
            <w:color w:val="0000EE"/>
          </w:rPr>
          <w:t>302 of the Sarbanes-Oxley Act of 2002 (filed herewith)</w:t>
        </w:r>
      </w:hyperlink>
    </w:p>
    <w:p>
      <w:pPr>
        <w:spacing w:after="0" w:line="170"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Certification of Chief Financial Officer pursuant to Rule 13a-14 of the Securities Exchange Act of 1934, as adopted pursuant to Section</w:t>
        </w:r>
      </w:hyperlink>
      <w:r>
        <w:rPr>
          <w:rFonts w:ascii="Arial" w:cs="Arial" w:eastAsia="Arial" w:hAnsi="Arial"/>
          <w:sz w:val="18"/>
          <w:szCs w:val="18"/>
          <w:u w:val="single" w:color="auto"/>
          <w:color w:val="0000EE"/>
        </w:rPr>
        <w:t xml:space="preserve"> </w:t>
      </w:r>
      <w:hyperlink w:anchor="page94">
        <w:r>
          <w:rPr>
            <w:rFonts w:ascii="Arial" w:cs="Arial" w:eastAsia="Arial" w:hAnsi="Arial"/>
            <w:sz w:val="18"/>
            <w:szCs w:val="18"/>
            <w:u w:val="single" w:color="auto"/>
            <w:color w:val="0000EE"/>
          </w:rPr>
          <w:t>302 of the Sarbanes-Oxley Act of 2002 (filed herewith)</w:t>
        </w:r>
      </w:hyperlink>
    </w:p>
    <w:p>
      <w:pPr>
        <w:spacing w:after="0" w:line="170"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Certification of Chief Executive Officer 18 U.S.C. Section 1350, as adopted pursuant to section 906 of the Sarbanes-Oxley Act of 2002</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(filed herewith)</w:t>
        </w:r>
      </w:hyperlink>
    </w:p>
    <w:p>
      <w:pPr>
        <w:spacing w:after="0" w:line="170"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Certification of Chief Financial Officer 18 U.S.C. Section 1350, as adopted pursuant to section 906 of the Sarbanes-Oxley Act of 2002</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(filed herewith)</w:t>
        </w:r>
      </w:hyperlink>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200" w:lineRule="exact"/>
        <w:rPr>
          <w:sz w:val="20"/>
          <w:szCs w:val="20"/>
          <w:color w:val="auto"/>
        </w:rPr>
      </w:pPr>
    </w:p>
    <w:p>
      <w:pPr>
        <w:sectPr>
          <w:pgSz w:w="11900" w:h="16838" w:orient="portrait"/>
          <w:cols w:equalWidth="0" w:num="2">
            <w:col w:w="660" w:space="720"/>
            <w:col w:w="10020"/>
          </w:cols>
          <w:pgMar w:left="240" w:top="904" w:right="259" w:bottom="1440"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6, 2019</w:t>
            </w:r>
          </w:p>
        </w:tc>
        <w:tc>
          <w:tcPr>
            <w:tcW w:w="2780" w:type="dxa"/>
            <w:vAlign w:val="bottom"/>
          </w:tcPr>
          <w:p>
            <w:pPr>
              <w:ind w:left="22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6, 2019</w:t>
            </w:r>
          </w:p>
        </w:tc>
        <w:tc>
          <w:tcPr>
            <w:tcW w:w="2780" w:type="dxa"/>
            <w:vAlign w:val="bottom"/>
          </w:tcPr>
          <w:p>
            <w:pPr>
              <w:ind w:left="22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3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6, 2019</w:t>
            </w:r>
          </w:p>
        </w:tc>
        <w:tc>
          <w:tcPr>
            <w:tcW w:w="2780" w:type="dxa"/>
            <w:vAlign w:val="bottom"/>
          </w:tcPr>
          <w:p>
            <w:pPr>
              <w:ind w:left="22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A. Koonts</w:t>
            </w:r>
          </w:p>
        </w:tc>
      </w:tr>
      <w:tr>
        <w:trPr>
          <w:trHeight w:val="195"/>
        </w:trPr>
        <w:tc>
          <w:tcPr>
            <w:tcW w:w="3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Kevin A. Koonts</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r>
        <w:trPr>
          <w:trHeight w:val="230"/>
        </w:trPr>
        <w:tc>
          <w:tcPr>
            <w:tcW w:w="3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5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88</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420" w:hanging="317"/>
        <w:spacing w:after="0"/>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380" w:hanging="318"/>
        <w:spacing w:after="0" w:line="342" w:lineRule="auto"/>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318"/>
        <w:spacing w:after="0" w:line="308"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80" w:hanging="318"/>
        <w:spacing w:after="0" w:line="264"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40" w:right="20" w:hanging="670"/>
        <w:spacing w:after="0" w:line="264" w:lineRule="auto"/>
        <w:tabs>
          <w:tab w:leader="none" w:pos="1340" w:val="left"/>
        </w:tabs>
        <w:numPr>
          <w:ilvl w:val="3"/>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20" w:hanging="670"/>
        <w:spacing w:after="0" w:line="342" w:lineRule="auto"/>
        <w:tabs>
          <w:tab w:leader="none" w:pos="1340" w:val="left"/>
        </w:tabs>
        <w:numPr>
          <w:ilvl w:val="3"/>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0"/>
        <w:spacing w:after="0" w:line="264" w:lineRule="auto"/>
        <w:tabs>
          <w:tab w:leader="none" w:pos="1340" w:val="left"/>
        </w:tabs>
        <w:numPr>
          <w:ilvl w:val="3"/>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0"/>
        <w:spacing w:after="0" w:line="308" w:lineRule="auto"/>
        <w:tabs>
          <w:tab w:leader="none" w:pos="1340" w:val="left"/>
        </w:tabs>
        <w:numPr>
          <w:ilvl w:val="3"/>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0"/>
        <w:spacing w:after="0" w:line="277" w:lineRule="auto"/>
        <w:tabs>
          <w:tab w:leader="none" w:pos="1340" w:val="left"/>
        </w:tabs>
        <w:numPr>
          <w:ilvl w:val="3"/>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420" w:hanging="317"/>
        <w:spacing w:after="0"/>
        <w:tabs>
          <w:tab w:leader="none" w:pos="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380" w:hanging="318"/>
        <w:spacing w:after="0" w:line="342"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318"/>
        <w:spacing w:after="0" w:line="308"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80" w:hanging="318"/>
        <w:spacing w:after="0" w:line="264"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40" w:right="20" w:hanging="670"/>
        <w:spacing w:after="0" w:line="264" w:lineRule="auto"/>
        <w:tabs>
          <w:tab w:leader="none" w:pos="1340" w:val="left"/>
        </w:tabs>
        <w:numPr>
          <w:ilvl w:val="3"/>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20" w:hanging="670"/>
        <w:spacing w:after="0" w:line="342" w:lineRule="auto"/>
        <w:tabs>
          <w:tab w:leader="none" w:pos="1340" w:val="left"/>
        </w:tabs>
        <w:numPr>
          <w:ilvl w:val="3"/>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0"/>
        <w:spacing w:after="0" w:line="264" w:lineRule="auto"/>
        <w:tabs>
          <w:tab w:leader="none" w:pos="1340" w:val="left"/>
        </w:tabs>
        <w:numPr>
          <w:ilvl w:val="3"/>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0"/>
        <w:spacing w:after="0" w:line="308" w:lineRule="auto"/>
        <w:tabs>
          <w:tab w:leader="none" w:pos="1340" w:val="left"/>
        </w:tabs>
        <w:numPr>
          <w:ilvl w:val="3"/>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0"/>
        <w:spacing w:after="0" w:line="277" w:lineRule="auto"/>
        <w:tabs>
          <w:tab w:leader="none" w:pos="1340" w:val="left"/>
        </w:tabs>
        <w:numPr>
          <w:ilvl w:val="3"/>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March 31, 2019,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0"/>
        <w:spacing w:after="0" w:line="277"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March 31, 2019,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0"/>
        <w:spacing w:after="0" w:line="277"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upperLetter"/>
      <w:start w:val="6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3"/>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5"/>
    </w:lvl>
  </w:abstractNum>
  <w:abstractNum w:abstractNumId="18">
    <w:nsid w:val="836C40E"/>
    <w:multiLevelType w:val="hybridMultilevel"/>
    <w:lvl w:ilvl="0">
      <w:lvlJc w:val="left"/>
      <w:lvlText w:val="·"/>
      <w:numFmt w:val="bullet"/>
      <w:start w:val="1"/>
    </w:lvl>
    <w:lvl w:ilvl="1">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upperLetter"/>
      <w:start w:val="6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bullet"/>
      <w:start w:val="1"/>
    </w:lvl>
  </w:abstractNum>
  <w:abstractNum w:abstractNumId="24">
    <w:nsid w:val="737B8DDC"/>
    <w:multiLevelType w:val="hybridMultilevel"/>
    <w:lvl w:ilvl="0">
      <w:lvlJc w:val="left"/>
      <w:lvlText w:val="2"/>
      <w:numFmt w:val="bullet"/>
      <w:start w:val="1"/>
    </w:lvl>
  </w:abstractNum>
  <w:abstractNum w:abstractNumId="25">
    <w:nsid w:val="6CEAF087"/>
    <w:multiLevelType w:val="hybridMultilevel"/>
    <w:lvl w:ilvl="0">
      <w:lvlJc w:val="left"/>
      <w:lvlText w:val="3"/>
      <w:numFmt w:val="bullet"/>
      <w:start w:val="1"/>
    </w:lvl>
  </w:abstractNum>
  <w:abstractNum w:abstractNumId="26">
    <w:nsid w:val="22221A70"/>
    <w:multiLevelType w:val="hybridMultilevel"/>
    <w:lvl w:ilvl="0">
      <w:lvlJc w:val="left"/>
      <w:lvlText w:val="4"/>
      <w:numFmt w:val="bullet"/>
      <w:start w:val="1"/>
    </w:lvl>
  </w:abstractNum>
  <w:abstractNum w:abstractNumId="27">
    <w:nsid w:val="4516DDE9"/>
    <w:multiLevelType w:val="hybridMultilevel"/>
    <w:lvl w:ilvl="0">
      <w:lvlJc w:val="left"/>
      <w:lvlText w:val="5"/>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upperLetter"/>
      <w:start w:val="35"/>
    </w:lvl>
  </w:abstractNum>
  <w:abstractNum w:abstractNumId="30">
    <w:nsid w:val="419AC2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1">
    <w:nsid w:val="5577F8E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32">
    <w:nsid w:val="440BADF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3">
    <w:nsid w:val="507236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4">
    <w:nsid w:val="3804823E"/>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35">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6">
    <w:nsid w:val="7724C67E"/>
    <w:multiLevelType w:val="hybridMultilevel"/>
    <w:lvl w:ilvl="0">
      <w:lvlJc w:val="left"/>
      <w:lvlText w:val="%1."/>
      <w:numFmt w:val="decimal"/>
      <w:start w:val="1"/>
    </w:lvl>
    <w:lvl w:ilvl="1">
      <w:lvlJc w:val="left"/>
      <w:lvlText w:val="%2."/>
      <w:numFmt w:val="decimal"/>
      <w:start w:val="2"/>
    </w:lvl>
  </w:abstractNum>
  <w:abstractNum w:abstractNumId="37">
    <w:nsid w:val="5C482A97"/>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6"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45" Type="http://schemas.openxmlformats.org/officeDocument/2006/relationships/hyperlink" Target="http://www.sec.gov/Archives/edgar/data/1221483/000119312513361263/d505298dex99a1.htm" TargetMode="External"/><Relationship Id="rId147" Type="http://schemas.openxmlformats.org/officeDocument/2006/relationships/hyperlink" Target="http://www.sec.gov/Archives/edgar/data/1221483/000119312513368161/d505298dex99a2.htm" TargetMode="External"/><Relationship Id="rId148" Type="http://schemas.openxmlformats.org/officeDocument/2006/relationships/hyperlink" Target="http://www.sec.gov/Archives/edgar/data/1221483/000119312513368161/d505298dex99a3.htm" TargetMode="External"/><Relationship Id="rId149" Type="http://schemas.openxmlformats.org/officeDocument/2006/relationships/hyperlink" Target="http://www.sec.gov/Archives/edgar/data/1221483/000119312513361263/d505298dex99b1.htm" TargetMode="External"/><Relationship Id="rId150" Type="http://schemas.openxmlformats.org/officeDocument/2006/relationships/hyperlink" Target="http://www.sec.gov/Archives/edgar/data/1571329/000119312513376445/d505298dex99b2.htm" TargetMode="External"/><Relationship Id="rId151" Type="http://schemas.openxmlformats.org/officeDocument/2006/relationships/hyperlink" Target="http://www.sec.gov/Archives/edgar/data/1571329/000119312513376445/d505298dex99b3.htm" TargetMode="External"/><Relationship Id="rId152" Type="http://schemas.openxmlformats.org/officeDocument/2006/relationships/hyperlink" Target="http://www.sec.gov/Archives/edgar/data/1221483/000119312513361263/d505298d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2019-12-28T13:18:04Z</dcterms:created>
  <dcterms:modified xsi:type="dcterms:W3CDTF">2019-12-28T13:18:04Z</dcterms:modified>
</cp:coreProperties>
</file>