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146050</wp:posOffset>
            </wp:positionH>
            <wp:positionV relativeFrom="page">
              <wp:posOffset>146050</wp:posOffset>
            </wp:positionV>
            <wp:extent cx="726884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845" cy="698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119380</wp:posOffset>
            </wp:positionV>
            <wp:extent cx="18173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6985"/>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133350</wp:posOffset>
            </wp:positionV>
            <wp:extent cx="18173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6985"/>
                    </a:xfrm>
                    <a:prstGeom prst="rect">
                      <a:avLst/>
                    </a:prstGeom>
                    <a:noFill/>
                  </pic:spPr>
                </pic:pic>
              </a:graphicData>
            </a:graphic>
          </wp:anchor>
        </w:drawing>
      </w:r>
    </w:p>
    <w:p>
      <w:pPr>
        <w:sectPr>
          <w:pgSz w:w="11900" w:h="16838" w:orient="portrait"/>
          <w:cols w:equalWidth="0" w:num="1">
            <w:col w:w="11440"/>
          </w:cols>
          <w:pgMar w:left="240" w:top="422" w:right="219" w:bottom="0" w:gutter="0" w:footer="0" w:header="0"/>
        </w:sectPr>
      </w:pPr>
    </w:p>
    <w:p>
      <w:pPr>
        <w:spacing w:after="0" w:line="399" w:lineRule="exact"/>
        <w:rPr>
          <w:sz w:val="24"/>
          <w:szCs w:val="24"/>
          <w:color w:val="auto"/>
        </w:rPr>
      </w:pPr>
    </w:p>
    <w:p>
      <w:pPr>
        <w:ind w:left="4240" w:right="1720" w:hanging="3164"/>
        <w:spacing w:after="0" w:line="560" w:lineRule="auto"/>
        <w:tabs>
          <w:tab w:leader="none" w:pos="1886"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 For the Fiscal Year Ended December 31, 2013</w:t>
      </w:r>
    </w:p>
    <w:p>
      <w:pPr>
        <w:spacing w:after="0" w:line="26" w:lineRule="exact"/>
        <w:rPr>
          <w:sz w:val="24"/>
          <w:szCs w:val="24"/>
          <w:color w:val="auto"/>
        </w:rPr>
      </w:pPr>
    </w:p>
    <w:p>
      <w:pPr>
        <w:ind w:left="1900" w:hanging="824"/>
        <w:spacing w:after="0"/>
        <w:tabs>
          <w:tab w:leader="none" w:pos="19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137160</wp:posOffset>
            </wp:positionV>
            <wp:extent cx="18173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6985"/>
                    </a:xfrm>
                    <a:prstGeom prst="rect">
                      <a:avLst/>
                    </a:prstGeom>
                    <a:noFill/>
                  </pic:spPr>
                </pic:pic>
              </a:graphicData>
            </a:graphic>
          </wp:anchor>
        </w:drawing>
      </w:r>
    </w:p>
    <w:p>
      <w:pPr>
        <w:spacing w:after="0" w:line="391" w:lineRule="exact"/>
        <w:rPr>
          <w:sz w:val="24"/>
          <w:szCs w:val="24"/>
          <w:color w:val="auto"/>
        </w:rPr>
      </w:pPr>
    </w:p>
    <w:p>
      <w:pPr>
        <w:ind w:left="700"/>
        <w:spacing w:after="0"/>
        <w:tabs>
          <w:tab w:leader="none" w:pos="3500" w:val="left"/>
        </w:tabs>
        <w:rPr>
          <w:sz w:val="20"/>
          <w:szCs w:val="20"/>
          <w:color w:val="auto"/>
        </w:rPr>
      </w:pPr>
      <w:r>
        <w:rPr>
          <w:rFonts w:ascii="Arial" w:cs="Arial" w:eastAsia="Arial" w:hAnsi="Arial"/>
          <w:sz w:val="10"/>
          <w:szCs w:val="10"/>
          <w:b w:val="1"/>
          <w:bCs w:val="1"/>
          <w:color w:val="auto"/>
        </w:rPr>
        <w:t>Commission</w:t>
      </w:r>
      <w:r>
        <w:rPr>
          <w:sz w:val="20"/>
          <w:szCs w:val="20"/>
          <w:color w:val="auto"/>
        </w:rPr>
        <w:tab/>
      </w:r>
      <w:r>
        <w:rPr>
          <w:rFonts w:ascii="Arial" w:cs="Arial" w:eastAsia="Arial" w:hAnsi="Arial"/>
          <w:sz w:val="10"/>
          <w:szCs w:val="10"/>
          <w:b w:val="1"/>
          <w:bCs w:val="1"/>
          <w:color w:val="auto"/>
        </w:rPr>
        <w:t>Exact name of registrants as specified in their charters, addresses of principal executive</w:t>
      </w:r>
    </w:p>
    <w:p>
      <w:pPr>
        <w:spacing w:after="0" w:line="15" w:lineRule="exact"/>
        <w:rPr>
          <w:sz w:val="24"/>
          <w:szCs w:val="24"/>
          <w:color w:val="auto"/>
        </w:rPr>
      </w:pPr>
    </w:p>
    <w:p>
      <w:pPr>
        <w:ind w:left="700"/>
        <w:spacing w:after="0"/>
        <w:tabs>
          <w:tab w:leader="none" w:pos="3400" w:val="left"/>
        </w:tabs>
        <w:rPr>
          <w:sz w:val="20"/>
          <w:szCs w:val="20"/>
          <w:color w:val="auto"/>
        </w:rPr>
      </w:pPr>
      <w:r>
        <w:rPr>
          <w:rFonts w:ascii="Arial" w:cs="Arial" w:eastAsia="Arial" w:hAnsi="Arial"/>
          <w:sz w:val="12"/>
          <w:szCs w:val="12"/>
          <w:b w:val="1"/>
          <w:bCs w:val="1"/>
          <w:color w:val="auto"/>
        </w:rPr>
        <w:t>File Number</w:t>
      </w:r>
      <w:r>
        <w:rPr>
          <w:sz w:val="20"/>
          <w:szCs w:val="20"/>
          <w:color w:val="auto"/>
        </w:rPr>
        <w:tab/>
      </w:r>
      <w:r>
        <w:rPr>
          <w:rFonts w:ascii="Arial" w:cs="Arial" w:eastAsia="Arial" w:hAnsi="Arial"/>
          <w:sz w:val="10"/>
          <w:szCs w:val="10"/>
          <w:b w:val="1"/>
          <w:bCs w:val="1"/>
          <w:color w:val="auto"/>
        </w:rPr>
        <w:t>offices, telephone numbers and states or other jurisdictions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460"/>
        <w:spacing w:after="0"/>
        <w:rPr>
          <w:sz w:val="20"/>
          <w:szCs w:val="20"/>
          <w:color w:val="auto"/>
        </w:rPr>
      </w:pPr>
      <w:r>
        <w:rPr>
          <w:rFonts w:ascii="Arial" w:cs="Arial" w:eastAsia="Arial" w:hAnsi="Arial"/>
          <w:sz w:val="12"/>
          <w:szCs w:val="12"/>
          <w:b w:val="1"/>
          <w:bCs w:val="1"/>
          <w:color w:val="auto"/>
        </w:rPr>
        <w:t>I.R.S. Employer</w:t>
      </w:r>
    </w:p>
    <w:p>
      <w:pPr>
        <w:jc w:val="center"/>
        <w:ind w:right="460"/>
        <w:spacing w:after="0"/>
        <w:rPr>
          <w:sz w:val="20"/>
          <w:szCs w:val="20"/>
          <w:color w:val="auto"/>
        </w:rPr>
      </w:pPr>
      <w:r>
        <w:rPr>
          <w:rFonts w:ascii="Arial" w:cs="Arial" w:eastAsia="Arial" w:hAnsi="Arial"/>
          <w:sz w:val="11"/>
          <w:szCs w:val="11"/>
          <w:b w:val="1"/>
          <w:bCs w:val="1"/>
          <w:color w:val="auto"/>
        </w:rPr>
        <w:t>Identification Number</w:t>
      </w:r>
    </w:p>
    <w:p>
      <w:pPr>
        <w:spacing w:after="0" w:line="15" w:lineRule="exact"/>
        <w:rPr>
          <w:sz w:val="24"/>
          <w:szCs w:val="24"/>
          <w:color w:val="auto"/>
        </w:rPr>
      </w:pPr>
    </w:p>
    <w:p>
      <w:pPr>
        <w:sectPr>
          <w:pgSz w:w="11900" w:h="16838" w:orient="portrait"/>
          <w:cols w:equalWidth="0" w:num="2">
            <w:col w:w="9120" w:space="720"/>
            <w:col w:w="1600"/>
          </w:cols>
          <w:pgMar w:left="240" w:top="422" w:right="219" w:bottom="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164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b w:val="1"/>
                <w:bCs w:val="1"/>
                <w:color w:val="auto"/>
              </w:rPr>
              <w:t>814-01022</w:t>
            </w:r>
          </w:p>
        </w:tc>
        <w:tc>
          <w:tcPr>
            <w:tcW w:w="4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tcBorders>
              <w:top w:val="single" w:sz="8" w:color="auto"/>
            </w:tcBorders>
            <w:gridSpan w:val="6"/>
            <w:vMerge w:val="restart"/>
          </w:tcPr>
          <w:p>
            <w:pPr>
              <w:jc w:val="center"/>
              <w:spacing w:after="0" w:line="395" w:lineRule="exact"/>
              <w:rPr>
                <w:sz w:val="20"/>
                <w:szCs w:val="20"/>
                <w:color w:val="auto"/>
              </w:rPr>
            </w:pPr>
            <w:r>
              <w:rPr>
                <w:rFonts w:ascii="Arial" w:cs="Arial" w:eastAsia="Arial" w:hAnsi="Arial"/>
                <w:sz w:val="36"/>
                <w:szCs w:val="36"/>
                <w:b w:val="1"/>
                <w:bCs w:val="1"/>
                <w:color w:val="auto"/>
                <w:w w:val="93"/>
              </w:rPr>
              <w:t>Capitala Finance Corp.</w:t>
            </w:r>
          </w:p>
        </w:tc>
        <w:tc>
          <w:tcPr>
            <w:tcW w:w="220" w:type="dxa"/>
            <w:vAlign w:val="bottom"/>
            <w:vMerge w:val="restart"/>
          </w:tcPr>
          <w:p>
            <w:pPr>
              <w:spacing w:after="0"/>
              <w:rPr>
                <w:sz w:val="16"/>
                <w:szCs w:val="16"/>
                <w:color w:val="auto"/>
              </w:rPr>
            </w:pPr>
          </w:p>
        </w:tc>
        <w:tc>
          <w:tcPr>
            <w:tcW w:w="2060" w:type="dxa"/>
            <w:vAlign w:val="bottom"/>
            <w:tcBorders>
              <w:top w:val="single" w:sz="8" w:color="auto"/>
            </w:tcBorders>
          </w:tcPr>
          <w:p>
            <w:pPr>
              <w:jc w:val="right"/>
              <w:ind w:right="585"/>
              <w:spacing w:after="0"/>
              <w:rPr>
                <w:sz w:val="20"/>
                <w:szCs w:val="20"/>
                <w:color w:val="auto"/>
              </w:rPr>
            </w:pPr>
            <w:r>
              <w:rPr>
                <w:rFonts w:ascii="Arial" w:cs="Arial" w:eastAsia="Arial" w:hAnsi="Arial"/>
                <w:sz w:val="15"/>
                <w:szCs w:val="15"/>
                <w:b w:val="1"/>
                <w:bCs w:val="1"/>
                <w:color w:val="auto"/>
              </w:rPr>
              <w:t>90-0945675</w:t>
            </w: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80" w:type="dxa"/>
            <w:vAlign w:val="bottom"/>
            <w:gridSpan w:val="6"/>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100" w:type="dxa"/>
            <w:vAlign w:val="bottom"/>
            <w:gridSpan w:val="5"/>
          </w:tcPr>
          <w:p>
            <w:pPr>
              <w:jc w:val="center"/>
              <w:ind w:right="2220"/>
              <w:spacing w:after="0"/>
              <w:rPr>
                <w:sz w:val="20"/>
                <w:szCs w:val="20"/>
                <w:color w:val="auto"/>
              </w:rPr>
            </w:pPr>
            <w:r>
              <w:rPr>
                <w:rFonts w:ascii="Arial" w:cs="Arial" w:eastAsia="Arial" w:hAnsi="Arial"/>
                <w:sz w:val="15"/>
                <w:szCs w:val="15"/>
                <w:b w:val="1"/>
                <w:bCs w:val="1"/>
                <w:color w:val="auto"/>
                <w:w w:val="88"/>
              </w:rPr>
              <w:t>4201 Congress St., Suite 360</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100" w:type="dxa"/>
            <w:vAlign w:val="bottom"/>
            <w:gridSpan w:val="5"/>
          </w:tcPr>
          <w:p>
            <w:pPr>
              <w:jc w:val="center"/>
              <w:ind w:right="2220"/>
              <w:spacing w:after="0"/>
              <w:rPr>
                <w:sz w:val="20"/>
                <w:szCs w:val="20"/>
                <w:color w:val="auto"/>
              </w:rPr>
            </w:pPr>
            <w:r>
              <w:rPr>
                <w:rFonts w:ascii="Arial" w:cs="Arial" w:eastAsia="Arial" w:hAnsi="Arial"/>
                <w:sz w:val="15"/>
                <w:szCs w:val="15"/>
                <w:b w:val="1"/>
                <w:bCs w:val="1"/>
                <w:color w:val="auto"/>
                <w:w w:val="94"/>
              </w:rPr>
              <w:t>Charlotte, North Carolina</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100" w:type="dxa"/>
            <w:vAlign w:val="bottom"/>
            <w:gridSpan w:val="5"/>
          </w:tcPr>
          <w:p>
            <w:pPr>
              <w:jc w:val="center"/>
              <w:ind w:right="2220"/>
              <w:spacing w:after="0"/>
              <w:rPr>
                <w:sz w:val="20"/>
                <w:szCs w:val="20"/>
                <w:color w:val="auto"/>
              </w:rPr>
            </w:pPr>
            <w:r>
              <w:rPr>
                <w:rFonts w:ascii="Arial" w:cs="Arial" w:eastAsia="Arial" w:hAnsi="Arial"/>
                <w:sz w:val="15"/>
                <w:szCs w:val="15"/>
                <w:b w:val="1"/>
                <w:bCs w:val="1"/>
                <w:color w:val="auto"/>
                <w:w w:val="89"/>
              </w:rPr>
              <w:t>Telephone: (704) 376-5502</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100" w:type="dxa"/>
            <w:vAlign w:val="bottom"/>
            <w:gridSpan w:val="5"/>
          </w:tcPr>
          <w:p>
            <w:pPr>
              <w:jc w:val="center"/>
              <w:ind w:right="2220"/>
              <w:spacing w:after="0" w:line="159" w:lineRule="exact"/>
              <w:rPr>
                <w:sz w:val="20"/>
                <w:szCs w:val="20"/>
                <w:color w:val="auto"/>
              </w:rPr>
            </w:pPr>
            <w:r>
              <w:rPr>
                <w:rFonts w:ascii="Arial" w:cs="Arial" w:eastAsia="Arial" w:hAnsi="Arial"/>
                <w:sz w:val="15"/>
                <w:szCs w:val="15"/>
                <w:b w:val="1"/>
                <w:bCs w:val="1"/>
                <w:color w:val="auto"/>
                <w:w w:val="93"/>
              </w:rPr>
              <w:t>State of Incorporation: Maryland</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right"/>
              <w:ind w:right="205"/>
              <w:spacing w:after="0"/>
              <w:rPr>
                <w:sz w:val="20"/>
                <w:szCs w:val="20"/>
                <w:color w:val="auto"/>
              </w:rPr>
            </w:pPr>
            <w:r>
              <w:rPr>
                <w:rFonts w:ascii="Arial" w:cs="Arial" w:eastAsia="Arial" w:hAnsi="Arial"/>
                <w:sz w:val="15"/>
                <w:szCs w:val="15"/>
                <w:b w:val="1"/>
                <w:bCs w:val="1"/>
                <w:color w:val="auto"/>
              </w:rPr>
              <w:t>814-01021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00" w:type="dxa"/>
            <w:vAlign w:val="bottom"/>
            <w:gridSpan w:val="7"/>
            <w:vMerge w:val="restart"/>
          </w:tcPr>
          <w:p>
            <w:pPr>
              <w:ind w:left="1000"/>
              <w:spacing w:after="0"/>
              <w:rPr>
                <w:sz w:val="20"/>
                <w:szCs w:val="20"/>
                <w:color w:val="auto"/>
              </w:rPr>
            </w:pPr>
            <w:r>
              <w:rPr>
                <w:rFonts w:ascii="Arial" w:cs="Arial" w:eastAsia="Arial" w:hAnsi="Arial"/>
                <w:sz w:val="36"/>
                <w:szCs w:val="36"/>
                <w:b w:val="1"/>
                <w:bCs w:val="1"/>
                <w:color w:val="auto"/>
              </w:rPr>
              <w:t>CapitalSouth Partners Fund II</w:t>
            </w:r>
          </w:p>
        </w:tc>
        <w:tc>
          <w:tcPr>
            <w:tcW w:w="2060" w:type="dxa"/>
            <w:vAlign w:val="bottom"/>
          </w:tcPr>
          <w:p>
            <w:pPr>
              <w:jc w:val="right"/>
              <w:ind w:right="585"/>
              <w:spacing w:after="0"/>
              <w:rPr>
                <w:sz w:val="20"/>
                <w:szCs w:val="20"/>
                <w:color w:val="auto"/>
              </w:rPr>
            </w:pPr>
            <w:r>
              <w:rPr>
                <w:rFonts w:ascii="Arial" w:cs="Arial" w:eastAsia="Arial" w:hAnsi="Arial"/>
                <w:sz w:val="15"/>
                <w:szCs w:val="15"/>
                <w:b w:val="1"/>
                <w:bCs w:val="1"/>
                <w:color w:val="auto"/>
              </w:rPr>
              <w:t>55-0793325</w:t>
            </w:r>
          </w:p>
        </w:tc>
        <w:tc>
          <w:tcPr>
            <w:tcW w:w="0" w:type="dxa"/>
            <w:vAlign w:val="bottom"/>
          </w:tcPr>
          <w:p>
            <w:pPr>
              <w:spacing w:after="0"/>
              <w:rPr>
                <w:sz w:val="1"/>
                <w:szCs w:val="1"/>
                <w:color w:val="auto"/>
              </w:rPr>
            </w:pPr>
          </w:p>
        </w:tc>
      </w:tr>
      <w:tr>
        <w:trPr>
          <w:trHeight w:val="202"/>
        </w:trPr>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00" w:type="dxa"/>
            <w:vAlign w:val="bottom"/>
            <w:gridSpan w:val="7"/>
            <w:vMerge w:val="continue"/>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0"/>
        </w:trPr>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360" w:type="dxa"/>
            <w:vAlign w:val="bottom"/>
            <w:gridSpan w:val="6"/>
          </w:tcPr>
          <w:p>
            <w:pPr>
              <w:jc w:val="center"/>
              <w:ind w:right="1960"/>
              <w:spacing w:after="0"/>
              <w:rPr>
                <w:sz w:val="20"/>
                <w:szCs w:val="20"/>
                <w:color w:val="auto"/>
              </w:rPr>
            </w:pPr>
            <w:r>
              <w:rPr>
                <w:rFonts w:ascii="Arial" w:cs="Arial" w:eastAsia="Arial" w:hAnsi="Arial"/>
                <w:sz w:val="36"/>
                <w:szCs w:val="36"/>
                <w:b w:val="1"/>
                <w:bCs w:val="1"/>
                <w:color w:val="auto"/>
                <w:w w:val="93"/>
              </w:rPr>
              <w:t>Limited Partnership</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100" w:type="dxa"/>
            <w:vAlign w:val="bottom"/>
            <w:gridSpan w:val="5"/>
          </w:tcPr>
          <w:p>
            <w:pPr>
              <w:jc w:val="center"/>
              <w:ind w:right="2220"/>
              <w:spacing w:after="0"/>
              <w:rPr>
                <w:sz w:val="20"/>
                <w:szCs w:val="20"/>
                <w:color w:val="auto"/>
              </w:rPr>
            </w:pPr>
            <w:r>
              <w:rPr>
                <w:rFonts w:ascii="Arial" w:cs="Arial" w:eastAsia="Arial" w:hAnsi="Arial"/>
                <w:sz w:val="15"/>
                <w:szCs w:val="15"/>
                <w:b w:val="1"/>
                <w:bCs w:val="1"/>
                <w:color w:val="auto"/>
                <w:w w:val="88"/>
              </w:rPr>
              <w:t>4201 Congress St., Suite 360</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100" w:type="dxa"/>
            <w:vAlign w:val="bottom"/>
            <w:gridSpan w:val="5"/>
          </w:tcPr>
          <w:p>
            <w:pPr>
              <w:jc w:val="center"/>
              <w:ind w:right="2220"/>
              <w:spacing w:after="0"/>
              <w:rPr>
                <w:sz w:val="20"/>
                <w:szCs w:val="20"/>
                <w:color w:val="auto"/>
              </w:rPr>
            </w:pPr>
            <w:r>
              <w:rPr>
                <w:rFonts w:ascii="Arial" w:cs="Arial" w:eastAsia="Arial" w:hAnsi="Arial"/>
                <w:sz w:val="15"/>
                <w:szCs w:val="15"/>
                <w:b w:val="1"/>
                <w:bCs w:val="1"/>
                <w:color w:val="auto"/>
                <w:w w:val="94"/>
              </w:rPr>
              <w:t>Charlotte, North Carolina</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100" w:type="dxa"/>
            <w:vAlign w:val="bottom"/>
            <w:gridSpan w:val="5"/>
          </w:tcPr>
          <w:p>
            <w:pPr>
              <w:jc w:val="center"/>
              <w:ind w:right="2220"/>
              <w:spacing w:after="0"/>
              <w:rPr>
                <w:sz w:val="20"/>
                <w:szCs w:val="20"/>
                <w:color w:val="auto"/>
              </w:rPr>
            </w:pPr>
            <w:r>
              <w:rPr>
                <w:rFonts w:ascii="Arial" w:cs="Arial" w:eastAsia="Arial" w:hAnsi="Arial"/>
                <w:sz w:val="15"/>
                <w:szCs w:val="15"/>
                <w:b w:val="1"/>
                <w:bCs w:val="1"/>
                <w:color w:val="auto"/>
                <w:w w:val="89"/>
              </w:rPr>
              <w:t>Telephone: (704) 376-5502</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100" w:type="dxa"/>
            <w:vAlign w:val="bottom"/>
            <w:gridSpan w:val="5"/>
          </w:tcPr>
          <w:p>
            <w:pPr>
              <w:jc w:val="center"/>
              <w:ind w:right="2220"/>
              <w:spacing w:after="0" w:line="159" w:lineRule="exact"/>
              <w:rPr>
                <w:sz w:val="20"/>
                <w:szCs w:val="20"/>
                <w:color w:val="auto"/>
              </w:rPr>
            </w:pPr>
            <w:r>
              <w:rPr>
                <w:rFonts w:ascii="Arial" w:cs="Arial" w:eastAsia="Arial" w:hAnsi="Arial"/>
                <w:sz w:val="15"/>
                <w:szCs w:val="15"/>
                <w:b w:val="1"/>
                <w:bCs w:val="1"/>
                <w:color w:val="auto"/>
                <w:w w:val="92"/>
              </w:rPr>
              <w:t>State of Formation: North Carolina</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right"/>
              <w:ind w:right="205"/>
              <w:spacing w:after="0"/>
              <w:rPr>
                <w:sz w:val="20"/>
                <w:szCs w:val="20"/>
                <w:color w:val="auto"/>
              </w:rPr>
            </w:pPr>
            <w:r>
              <w:rPr>
                <w:rFonts w:ascii="Arial" w:cs="Arial" w:eastAsia="Arial" w:hAnsi="Arial"/>
                <w:sz w:val="15"/>
                <w:szCs w:val="15"/>
                <w:b w:val="1"/>
                <w:bCs w:val="1"/>
                <w:color w:val="auto"/>
              </w:rPr>
              <w:t>814-01023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00" w:type="dxa"/>
            <w:vAlign w:val="bottom"/>
            <w:gridSpan w:val="7"/>
            <w:vMerge w:val="restart"/>
          </w:tcPr>
          <w:p>
            <w:pPr>
              <w:jc w:val="center"/>
              <w:ind w:right="220"/>
              <w:spacing w:after="0"/>
              <w:rPr>
                <w:sz w:val="20"/>
                <w:szCs w:val="20"/>
                <w:color w:val="auto"/>
              </w:rPr>
            </w:pPr>
            <w:r>
              <w:rPr>
                <w:rFonts w:ascii="Arial" w:cs="Arial" w:eastAsia="Arial" w:hAnsi="Arial"/>
                <w:sz w:val="36"/>
                <w:szCs w:val="36"/>
                <w:b w:val="1"/>
                <w:bCs w:val="1"/>
                <w:color w:val="auto"/>
                <w:w w:val="93"/>
              </w:rPr>
              <w:t>CapitalSouth Partners SBIC</w:t>
            </w:r>
          </w:p>
        </w:tc>
        <w:tc>
          <w:tcPr>
            <w:tcW w:w="2060" w:type="dxa"/>
            <w:vAlign w:val="bottom"/>
          </w:tcPr>
          <w:p>
            <w:pPr>
              <w:jc w:val="right"/>
              <w:ind w:right="585"/>
              <w:spacing w:after="0"/>
              <w:rPr>
                <w:sz w:val="20"/>
                <w:szCs w:val="20"/>
                <w:color w:val="auto"/>
              </w:rPr>
            </w:pPr>
            <w:r>
              <w:rPr>
                <w:rFonts w:ascii="Arial" w:cs="Arial" w:eastAsia="Arial" w:hAnsi="Arial"/>
                <w:sz w:val="15"/>
                <w:szCs w:val="15"/>
                <w:b w:val="1"/>
                <w:bCs w:val="1"/>
                <w:color w:val="auto"/>
              </w:rPr>
              <w:t>20-8426667</w:t>
            </w:r>
          </w:p>
        </w:tc>
        <w:tc>
          <w:tcPr>
            <w:tcW w:w="0" w:type="dxa"/>
            <w:vAlign w:val="bottom"/>
          </w:tcPr>
          <w:p>
            <w:pPr>
              <w:spacing w:after="0"/>
              <w:rPr>
                <w:sz w:val="1"/>
                <w:szCs w:val="1"/>
                <w:color w:val="auto"/>
              </w:rPr>
            </w:pPr>
          </w:p>
        </w:tc>
      </w:tr>
      <w:tr>
        <w:trPr>
          <w:trHeight w:val="202"/>
        </w:trPr>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00" w:type="dxa"/>
            <w:vAlign w:val="bottom"/>
            <w:gridSpan w:val="7"/>
            <w:vMerge w:val="continue"/>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0"/>
        </w:trPr>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00" w:type="dxa"/>
            <w:vAlign w:val="bottom"/>
            <w:gridSpan w:val="5"/>
          </w:tcPr>
          <w:p>
            <w:pPr>
              <w:jc w:val="center"/>
              <w:ind w:right="2220"/>
              <w:spacing w:after="0"/>
              <w:rPr>
                <w:sz w:val="20"/>
                <w:szCs w:val="20"/>
                <w:color w:val="auto"/>
              </w:rPr>
            </w:pPr>
            <w:r>
              <w:rPr>
                <w:rFonts w:ascii="Arial" w:cs="Arial" w:eastAsia="Arial" w:hAnsi="Arial"/>
                <w:sz w:val="36"/>
                <w:szCs w:val="36"/>
                <w:b w:val="1"/>
                <w:bCs w:val="1"/>
                <w:color w:val="auto"/>
                <w:w w:val="99"/>
              </w:rPr>
              <w:t>Fund III, L.P.</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100" w:type="dxa"/>
            <w:vAlign w:val="bottom"/>
            <w:gridSpan w:val="5"/>
          </w:tcPr>
          <w:p>
            <w:pPr>
              <w:jc w:val="center"/>
              <w:ind w:right="2220"/>
              <w:spacing w:after="0"/>
              <w:rPr>
                <w:sz w:val="20"/>
                <w:szCs w:val="20"/>
                <w:color w:val="auto"/>
              </w:rPr>
            </w:pPr>
            <w:r>
              <w:rPr>
                <w:rFonts w:ascii="Arial" w:cs="Arial" w:eastAsia="Arial" w:hAnsi="Arial"/>
                <w:sz w:val="15"/>
                <w:szCs w:val="15"/>
                <w:b w:val="1"/>
                <w:bCs w:val="1"/>
                <w:color w:val="auto"/>
                <w:w w:val="88"/>
              </w:rPr>
              <w:t>4201 Congress St., Suite 360</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100" w:type="dxa"/>
            <w:vAlign w:val="bottom"/>
            <w:gridSpan w:val="5"/>
          </w:tcPr>
          <w:p>
            <w:pPr>
              <w:jc w:val="center"/>
              <w:ind w:right="2220"/>
              <w:spacing w:after="0"/>
              <w:rPr>
                <w:sz w:val="20"/>
                <w:szCs w:val="20"/>
                <w:color w:val="auto"/>
              </w:rPr>
            </w:pPr>
            <w:r>
              <w:rPr>
                <w:rFonts w:ascii="Arial" w:cs="Arial" w:eastAsia="Arial" w:hAnsi="Arial"/>
                <w:sz w:val="15"/>
                <w:szCs w:val="15"/>
                <w:b w:val="1"/>
                <w:bCs w:val="1"/>
                <w:color w:val="auto"/>
                <w:w w:val="94"/>
              </w:rPr>
              <w:t>Charlotte, North Carolina</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100" w:type="dxa"/>
            <w:vAlign w:val="bottom"/>
            <w:gridSpan w:val="5"/>
          </w:tcPr>
          <w:p>
            <w:pPr>
              <w:jc w:val="center"/>
              <w:ind w:right="2220"/>
              <w:spacing w:after="0"/>
              <w:rPr>
                <w:sz w:val="20"/>
                <w:szCs w:val="20"/>
                <w:color w:val="auto"/>
              </w:rPr>
            </w:pPr>
            <w:r>
              <w:rPr>
                <w:rFonts w:ascii="Arial" w:cs="Arial" w:eastAsia="Arial" w:hAnsi="Arial"/>
                <w:sz w:val="15"/>
                <w:szCs w:val="15"/>
                <w:b w:val="1"/>
                <w:bCs w:val="1"/>
                <w:color w:val="auto"/>
                <w:w w:val="89"/>
              </w:rPr>
              <w:t>Telephone: (704) 376-5502</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100" w:type="dxa"/>
            <w:vAlign w:val="bottom"/>
            <w:gridSpan w:val="5"/>
          </w:tcPr>
          <w:p>
            <w:pPr>
              <w:jc w:val="center"/>
              <w:ind w:right="2220"/>
              <w:spacing w:after="0"/>
              <w:rPr>
                <w:sz w:val="20"/>
                <w:szCs w:val="20"/>
                <w:color w:val="auto"/>
              </w:rPr>
            </w:pPr>
            <w:r>
              <w:rPr>
                <w:rFonts w:ascii="Arial" w:cs="Arial" w:eastAsia="Arial" w:hAnsi="Arial"/>
                <w:sz w:val="15"/>
                <w:szCs w:val="15"/>
                <w:b w:val="1"/>
                <w:bCs w:val="1"/>
                <w:color w:val="auto"/>
                <w:w w:val="92"/>
              </w:rPr>
              <w:t>State of Formation: Delaware</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2"/>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20" w:type="dxa"/>
            <w:vAlign w:val="bottom"/>
            <w:gridSpan w:val="2"/>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00" w:type="dxa"/>
            <w:vAlign w:val="bottom"/>
            <w:gridSpan w:val="7"/>
          </w:tcPr>
          <w:p>
            <w:pPr>
              <w:jc w:val="center"/>
              <w:ind w:right="220"/>
              <w:spacing w:after="0"/>
              <w:rPr>
                <w:sz w:val="20"/>
                <w:szCs w:val="20"/>
                <w:color w:val="auto"/>
              </w:rPr>
            </w:pPr>
            <w:r>
              <w:rPr>
                <w:rFonts w:ascii="Arial" w:cs="Arial" w:eastAsia="Arial" w:hAnsi="Arial"/>
                <w:sz w:val="15"/>
                <w:szCs w:val="15"/>
                <w:b w:val="1"/>
                <w:bCs w:val="1"/>
                <w:color w:val="auto"/>
                <w:w w:val="89"/>
              </w:rPr>
              <w:t>Securities registered pursuant to Section 12(b) of the Act:</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6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center"/>
              <w:ind w:right="405"/>
              <w:spacing w:after="0"/>
              <w:rPr>
                <w:sz w:val="20"/>
                <w:szCs w:val="20"/>
                <w:color w:val="auto"/>
              </w:rPr>
            </w:pPr>
            <w:r>
              <w:rPr>
                <w:rFonts w:ascii="Arial" w:cs="Arial" w:eastAsia="Arial" w:hAnsi="Arial"/>
                <w:sz w:val="15"/>
                <w:szCs w:val="15"/>
                <w:b w:val="1"/>
                <w:bCs w:val="1"/>
                <w:color w:val="auto"/>
                <w:w w:val="91"/>
              </w:rPr>
              <w:t>Title of Each Class</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3"/>
          </w:tcPr>
          <w:p>
            <w:pPr>
              <w:jc w:val="right"/>
              <w:ind w:right="985"/>
              <w:spacing w:after="0"/>
              <w:rPr>
                <w:sz w:val="20"/>
                <w:szCs w:val="20"/>
                <w:color w:val="auto"/>
              </w:rPr>
            </w:pPr>
            <w:r>
              <w:rPr>
                <w:rFonts w:ascii="Arial" w:cs="Arial" w:eastAsia="Arial" w:hAnsi="Arial"/>
                <w:sz w:val="15"/>
                <w:szCs w:val="15"/>
                <w:b w:val="1"/>
                <w:bCs w:val="1"/>
                <w:color w:val="auto"/>
                <w:w w:val="97"/>
              </w:rPr>
              <w:t>Name of Each Exchange on Which Registered</w:t>
            </w:r>
          </w:p>
        </w:tc>
        <w:tc>
          <w:tcPr>
            <w:tcW w:w="0" w:type="dxa"/>
            <w:vAlign w:val="bottom"/>
          </w:tcPr>
          <w:p>
            <w:pPr>
              <w:spacing w:after="0"/>
              <w:rPr>
                <w:sz w:val="1"/>
                <w:szCs w:val="1"/>
                <w:color w:val="auto"/>
              </w:rPr>
            </w:pPr>
          </w:p>
        </w:tc>
      </w:tr>
      <w:tr>
        <w:trPr>
          <w:trHeight w:val="186"/>
        </w:trPr>
        <w:tc>
          <w:tcPr>
            <w:tcW w:w="4020" w:type="dxa"/>
            <w:vAlign w:val="bottom"/>
            <w:gridSpan w:val="4"/>
          </w:tcPr>
          <w:p>
            <w:pPr>
              <w:jc w:val="center"/>
              <w:ind w:left="1045"/>
              <w:spacing w:after="0"/>
              <w:rPr>
                <w:sz w:val="20"/>
                <w:szCs w:val="20"/>
                <w:color w:val="auto"/>
              </w:rPr>
            </w:pPr>
            <w:r>
              <w:rPr>
                <w:rFonts w:ascii="Arial" w:cs="Arial" w:eastAsia="Arial" w:hAnsi="Arial"/>
                <w:sz w:val="15"/>
                <w:szCs w:val="15"/>
                <w:b w:val="1"/>
                <w:bCs w:val="1"/>
                <w:color w:val="auto"/>
                <w:w w:val="90"/>
              </w:rPr>
              <w:t>Common Stock, par value $0.01 per share</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80" w:type="dxa"/>
            <w:vAlign w:val="bottom"/>
            <w:gridSpan w:val="3"/>
          </w:tcPr>
          <w:p>
            <w:pPr>
              <w:jc w:val="right"/>
              <w:ind w:right="1305"/>
              <w:spacing w:after="0"/>
              <w:rPr>
                <w:sz w:val="20"/>
                <w:szCs w:val="20"/>
                <w:color w:val="auto"/>
              </w:rPr>
            </w:pPr>
            <w:r>
              <w:rPr>
                <w:rFonts w:ascii="Arial" w:cs="Arial" w:eastAsia="Arial" w:hAnsi="Arial"/>
                <w:sz w:val="15"/>
                <w:szCs w:val="15"/>
                <w:b w:val="1"/>
                <w:bCs w:val="1"/>
                <w:color w:val="auto"/>
              </w:rPr>
              <w:t>The NASDAQ Global Select Market</w:t>
            </w:r>
          </w:p>
        </w:tc>
        <w:tc>
          <w:tcPr>
            <w:tcW w:w="0" w:type="dxa"/>
            <w:vAlign w:val="bottom"/>
          </w:tcPr>
          <w:p>
            <w:pPr>
              <w:spacing w:after="0"/>
              <w:rPr>
                <w:sz w:val="1"/>
                <w:szCs w:val="1"/>
                <w:color w:val="auto"/>
              </w:rPr>
            </w:pPr>
          </w:p>
        </w:tc>
      </w:tr>
    </w:tbl>
    <w:p>
      <w:pPr>
        <w:spacing w:after="0" w:line="15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129540</wp:posOffset>
            </wp:positionV>
            <wp:extent cx="18173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6985"/>
                    </a:xfrm>
                    <a:prstGeom prst="rect">
                      <a:avLst/>
                    </a:prstGeom>
                    <a:noFill/>
                  </pic:spPr>
                </pic:pic>
              </a:graphicData>
            </a:graphic>
          </wp:anchor>
        </w:drawing>
      </w:r>
    </w:p>
    <w:p>
      <w:pPr>
        <w:spacing w:after="0" w:line="377"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of 1933.</w:t>
      </w:r>
    </w:p>
    <w:p>
      <w:pPr>
        <w:spacing w:after="0" w:line="160" w:lineRule="exact"/>
        <w:rPr>
          <w:sz w:val="24"/>
          <w:szCs w:val="24"/>
          <w:color w:val="auto"/>
        </w:rPr>
      </w:pPr>
    </w:p>
    <w:tbl>
      <w:tblPr>
        <w:tblLayout w:type="fixed"/>
        <w:tblInd w:w="1080" w:type="dxa"/>
        <w:tblCellMar>
          <w:top w:w="0" w:type="dxa"/>
          <w:left w:w="0" w:type="dxa"/>
          <w:bottom w:w="0" w:type="dxa"/>
          <w:right w:w="0" w:type="dxa"/>
        </w:tblCellMar>
      </w:tblPr>
      <w:tr>
        <w:trPr>
          <w:trHeight w:val="181"/>
        </w:trPr>
        <w:tc>
          <w:tcPr>
            <w:tcW w:w="4420" w:type="dxa"/>
            <w:vAlign w:val="bottom"/>
          </w:tcPr>
          <w:p>
            <w:pPr>
              <w:spacing w:after="0"/>
              <w:rPr>
                <w:sz w:val="20"/>
                <w:szCs w:val="20"/>
                <w:color w:val="auto"/>
              </w:rPr>
            </w:pPr>
            <w:r>
              <w:rPr>
                <w:rFonts w:ascii="Arial" w:cs="Arial" w:eastAsia="Arial" w:hAnsi="Arial"/>
                <w:sz w:val="15"/>
                <w:szCs w:val="15"/>
                <w:color w:val="auto"/>
              </w:rPr>
              <w:t>Capitala Finance Corp.</w:t>
            </w:r>
          </w:p>
        </w:tc>
        <w:tc>
          <w:tcPr>
            <w:tcW w:w="2020" w:type="dxa"/>
            <w:vAlign w:val="bottom"/>
            <w:gridSpan w:val="2"/>
          </w:tcPr>
          <w:p>
            <w:pPr>
              <w:ind w:left="136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560" w:type="dxa"/>
            <w:vAlign w:val="bottom"/>
            <w:gridSpan w:val="2"/>
          </w:tcPr>
          <w:p>
            <w:pPr>
              <w:ind w:left="240"/>
              <w:spacing w:after="0"/>
              <w:rPr>
                <w:sz w:val="20"/>
                <w:szCs w:val="20"/>
                <w:color w:val="auto"/>
              </w:rPr>
            </w:pPr>
            <w:r>
              <w:rPr>
                <w:rFonts w:ascii="Arial" w:cs="Arial" w:eastAsia="Arial" w:hAnsi="Arial"/>
                <w:sz w:val="15"/>
                <w:szCs w:val="15"/>
                <w:color w:val="auto"/>
                <w:w w:val="97"/>
              </w:rPr>
              <w:t>No x</w:t>
            </w:r>
          </w:p>
        </w:tc>
      </w:tr>
      <w:tr>
        <w:trPr>
          <w:trHeight w:val="181"/>
        </w:trPr>
        <w:tc>
          <w:tcPr>
            <w:tcW w:w="4420" w:type="dxa"/>
            <w:vAlign w:val="bottom"/>
          </w:tcPr>
          <w:p>
            <w:pPr>
              <w:spacing w:after="0"/>
              <w:rPr>
                <w:sz w:val="20"/>
                <w:szCs w:val="20"/>
                <w:color w:val="auto"/>
              </w:rPr>
            </w:pPr>
            <w:r>
              <w:rPr>
                <w:rFonts w:ascii="Arial" w:cs="Arial" w:eastAsia="Arial" w:hAnsi="Arial"/>
                <w:sz w:val="15"/>
                <w:szCs w:val="15"/>
                <w:color w:val="auto"/>
              </w:rPr>
              <w:t>CapitalSouth Partners Fund II Limited Partnership</w:t>
            </w:r>
          </w:p>
        </w:tc>
        <w:tc>
          <w:tcPr>
            <w:tcW w:w="1620" w:type="dxa"/>
            <w:vAlign w:val="bottom"/>
          </w:tcPr>
          <w:p>
            <w:pPr>
              <w:ind w:left="1360"/>
              <w:spacing w:after="0"/>
              <w:rPr>
                <w:sz w:val="20"/>
                <w:szCs w:val="20"/>
                <w:color w:val="auto"/>
              </w:rPr>
            </w:pPr>
            <w:r>
              <w:rPr>
                <w:rFonts w:ascii="Arial" w:cs="Arial" w:eastAsia="Arial" w:hAnsi="Arial"/>
                <w:sz w:val="15"/>
                <w:szCs w:val="15"/>
                <w:color w:val="auto"/>
                <w:w w:val="92"/>
              </w:rPr>
              <w:t>Yes</w:t>
            </w:r>
          </w:p>
        </w:tc>
        <w:tc>
          <w:tcPr>
            <w:tcW w:w="40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460" w:type="dxa"/>
            <w:vAlign w:val="bottom"/>
          </w:tcPr>
          <w:p>
            <w:pPr>
              <w:ind w:left="240"/>
              <w:spacing w:after="0"/>
              <w:rPr>
                <w:sz w:val="20"/>
                <w:szCs w:val="20"/>
                <w:color w:val="auto"/>
              </w:rPr>
            </w:pPr>
            <w:r>
              <w:rPr>
                <w:rFonts w:ascii="Arial" w:cs="Arial" w:eastAsia="Arial" w:hAnsi="Arial"/>
                <w:sz w:val="15"/>
                <w:szCs w:val="15"/>
                <w:color w:val="auto"/>
              </w:rPr>
              <w:t>No</w:t>
            </w:r>
          </w:p>
        </w:tc>
        <w:tc>
          <w:tcPr>
            <w:tcW w:w="100" w:type="dxa"/>
            <w:vAlign w:val="bottom"/>
          </w:tcPr>
          <w:p>
            <w:pPr>
              <w:ind w:left="40"/>
              <w:spacing w:after="0"/>
              <w:rPr>
                <w:sz w:val="20"/>
                <w:szCs w:val="20"/>
                <w:color w:val="auto"/>
              </w:rPr>
            </w:pPr>
            <w:r>
              <w:rPr>
                <w:rFonts w:ascii="Arial" w:cs="Arial" w:eastAsia="Arial" w:hAnsi="Arial"/>
                <w:sz w:val="11"/>
                <w:szCs w:val="11"/>
                <w:color w:val="auto"/>
                <w:w w:val="71"/>
              </w:rPr>
              <w:t>x</w:t>
            </w:r>
          </w:p>
        </w:tc>
      </w:tr>
      <w:tr>
        <w:trPr>
          <w:trHeight w:val="238"/>
        </w:trPr>
        <w:tc>
          <w:tcPr>
            <w:tcW w:w="4420" w:type="dxa"/>
            <w:vAlign w:val="bottom"/>
          </w:tcPr>
          <w:p>
            <w:pPr>
              <w:spacing w:after="0"/>
              <w:rPr>
                <w:sz w:val="20"/>
                <w:szCs w:val="20"/>
                <w:color w:val="auto"/>
              </w:rPr>
            </w:pPr>
            <w:r>
              <w:rPr>
                <w:rFonts w:ascii="Arial" w:cs="Arial" w:eastAsia="Arial" w:hAnsi="Arial"/>
                <w:sz w:val="15"/>
                <w:szCs w:val="15"/>
                <w:color w:val="auto"/>
              </w:rPr>
              <w:t>CapitalSouth Partners SBIC Fund III, L.P.</w:t>
            </w:r>
          </w:p>
        </w:tc>
        <w:tc>
          <w:tcPr>
            <w:tcW w:w="1620" w:type="dxa"/>
            <w:vAlign w:val="bottom"/>
          </w:tcPr>
          <w:p>
            <w:pPr>
              <w:ind w:left="1360"/>
              <w:spacing w:after="0"/>
              <w:rPr>
                <w:sz w:val="20"/>
                <w:szCs w:val="20"/>
                <w:color w:val="auto"/>
              </w:rPr>
            </w:pPr>
            <w:r>
              <w:rPr>
                <w:rFonts w:ascii="Arial" w:cs="Arial" w:eastAsia="Arial" w:hAnsi="Arial"/>
                <w:sz w:val="15"/>
                <w:szCs w:val="15"/>
                <w:color w:val="auto"/>
                <w:w w:val="92"/>
              </w:rPr>
              <w:t>Yes</w:t>
            </w:r>
          </w:p>
        </w:tc>
        <w:tc>
          <w:tcPr>
            <w:tcW w:w="40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460" w:type="dxa"/>
            <w:vAlign w:val="bottom"/>
          </w:tcPr>
          <w:p>
            <w:pPr>
              <w:ind w:left="240"/>
              <w:spacing w:after="0"/>
              <w:rPr>
                <w:sz w:val="20"/>
                <w:szCs w:val="20"/>
                <w:color w:val="auto"/>
              </w:rPr>
            </w:pPr>
            <w:r>
              <w:rPr>
                <w:rFonts w:ascii="Arial" w:cs="Arial" w:eastAsia="Arial" w:hAnsi="Arial"/>
                <w:sz w:val="15"/>
                <w:szCs w:val="15"/>
                <w:color w:val="auto"/>
              </w:rPr>
              <w:t>No</w:t>
            </w:r>
          </w:p>
        </w:tc>
        <w:tc>
          <w:tcPr>
            <w:tcW w:w="100" w:type="dxa"/>
            <w:vAlign w:val="bottom"/>
          </w:tcPr>
          <w:p>
            <w:pPr>
              <w:ind w:left="40"/>
              <w:spacing w:after="0"/>
              <w:rPr>
                <w:sz w:val="20"/>
                <w:szCs w:val="20"/>
                <w:color w:val="auto"/>
              </w:rPr>
            </w:pPr>
            <w:r>
              <w:rPr>
                <w:rFonts w:ascii="Arial" w:cs="Arial" w:eastAsia="Arial" w:hAnsi="Arial"/>
                <w:sz w:val="11"/>
                <w:szCs w:val="11"/>
                <w:color w:val="auto"/>
                <w:w w:val="71"/>
              </w:rPr>
              <w:t>x</w:t>
            </w:r>
          </w:p>
        </w:tc>
      </w:tr>
    </w:tbl>
    <w:p>
      <w:pPr>
        <w:spacing w:after="0" w:line="154"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Securities Exchange Act of 1934.</w:t>
      </w:r>
    </w:p>
    <w:p>
      <w:pPr>
        <w:spacing w:after="0" w:line="160" w:lineRule="exact"/>
        <w:rPr>
          <w:sz w:val="24"/>
          <w:szCs w:val="24"/>
          <w:color w:val="auto"/>
        </w:rPr>
      </w:pPr>
    </w:p>
    <w:tbl>
      <w:tblPr>
        <w:tblLayout w:type="fixed"/>
        <w:tblInd w:w="1080" w:type="dxa"/>
        <w:tblCellMar>
          <w:top w:w="0" w:type="dxa"/>
          <w:left w:w="0" w:type="dxa"/>
          <w:bottom w:w="0" w:type="dxa"/>
          <w:right w:w="0" w:type="dxa"/>
        </w:tblCellMar>
      </w:tblPr>
      <w:tr>
        <w:trPr>
          <w:trHeight w:val="181"/>
        </w:trPr>
        <w:tc>
          <w:tcPr>
            <w:tcW w:w="4420" w:type="dxa"/>
            <w:vAlign w:val="bottom"/>
          </w:tcPr>
          <w:p>
            <w:pPr>
              <w:spacing w:after="0"/>
              <w:rPr>
                <w:sz w:val="20"/>
                <w:szCs w:val="20"/>
                <w:color w:val="auto"/>
              </w:rPr>
            </w:pPr>
            <w:r>
              <w:rPr>
                <w:rFonts w:ascii="Arial" w:cs="Arial" w:eastAsia="Arial" w:hAnsi="Arial"/>
                <w:sz w:val="15"/>
                <w:szCs w:val="15"/>
                <w:color w:val="auto"/>
              </w:rPr>
              <w:t>Capitala Finance Corp.</w:t>
            </w:r>
          </w:p>
        </w:tc>
        <w:tc>
          <w:tcPr>
            <w:tcW w:w="2020" w:type="dxa"/>
            <w:vAlign w:val="bottom"/>
            <w:gridSpan w:val="2"/>
          </w:tcPr>
          <w:p>
            <w:pPr>
              <w:ind w:left="136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560" w:type="dxa"/>
            <w:vAlign w:val="bottom"/>
            <w:gridSpan w:val="2"/>
          </w:tcPr>
          <w:p>
            <w:pPr>
              <w:ind w:left="240"/>
              <w:spacing w:after="0"/>
              <w:rPr>
                <w:sz w:val="20"/>
                <w:szCs w:val="20"/>
                <w:color w:val="auto"/>
              </w:rPr>
            </w:pPr>
            <w:r>
              <w:rPr>
                <w:rFonts w:ascii="Arial" w:cs="Arial" w:eastAsia="Arial" w:hAnsi="Arial"/>
                <w:sz w:val="15"/>
                <w:szCs w:val="15"/>
                <w:color w:val="auto"/>
                <w:w w:val="97"/>
              </w:rPr>
              <w:t>No x</w:t>
            </w:r>
          </w:p>
        </w:tc>
      </w:tr>
      <w:tr>
        <w:trPr>
          <w:trHeight w:val="181"/>
        </w:trPr>
        <w:tc>
          <w:tcPr>
            <w:tcW w:w="4420" w:type="dxa"/>
            <w:vAlign w:val="bottom"/>
          </w:tcPr>
          <w:p>
            <w:pPr>
              <w:spacing w:after="0"/>
              <w:rPr>
                <w:sz w:val="20"/>
                <w:szCs w:val="20"/>
                <w:color w:val="auto"/>
              </w:rPr>
            </w:pPr>
            <w:r>
              <w:rPr>
                <w:rFonts w:ascii="Arial" w:cs="Arial" w:eastAsia="Arial" w:hAnsi="Arial"/>
                <w:sz w:val="15"/>
                <w:szCs w:val="15"/>
                <w:color w:val="auto"/>
              </w:rPr>
              <w:t>CapitalSouth Partners Fund II Limited Partnership</w:t>
            </w:r>
          </w:p>
        </w:tc>
        <w:tc>
          <w:tcPr>
            <w:tcW w:w="1620" w:type="dxa"/>
            <w:vAlign w:val="bottom"/>
          </w:tcPr>
          <w:p>
            <w:pPr>
              <w:ind w:left="1360"/>
              <w:spacing w:after="0"/>
              <w:rPr>
                <w:sz w:val="20"/>
                <w:szCs w:val="20"/>
                <w:color w:val="auto"/>
              </w:rPr>
            </w:pPr>
            <w:r>
              <w:rPr>
                <w:rFonts w:ascii="Arial" w:cs="Arial" w:eastAsia="Arial" w:hAnsi="Arial"/>
                <w:sz w:val="15"/>
                <w:szCs w:val="15"/>
                <w:color w:val="auto"/>
                <w:w w:val="92"/>
              </w:rPr>
              <w:t>Yes</w:t>
            </w:r>
          </w:p>
        </w:tc>
        <w:tc>
          <w:tcPr>
            <w:tcW w:w="40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460" w:type="dxa"/>
            <w:vAlign w:val="bottom"/>
          </w:tcPr>
          <w:p>
            <w:pPr>
              <w:ind w:left="240"/>
              <w:spacing w:after="0"/>
              <w:rPr>
                <w:sz w:val="20"/>
                <w:szCs w:val="20"/>
                <w:color w:val="auto"/>
              </w:rPr>
            </w:pPr>
            <w:r>
              <w:rPr>
                <w:rFonts w:ascii="Arial" w:cs="Arial" w:eastAsia="Arial" w:hAnsi="Arial"/>
                <w:sz w:val="15"/>
                <w:szCs w:val="15"/>
                <w:color w:val="auto"/>
              </w:rPr>
              <w:t>No</w:t>
            </w:r>
          </w:p>
        </w:tc>
        <w:tc>
          <w:tcPr>
            <w:tcW w:w="100" w:type="dxa"/>
            <w:vAlign w:val="bottom"/>
          </w:tcPr>
          <w:p>
            <w:pPr>
              <w:ind w:left="40"/>
              <w:spacing w:after="0"/>
              <w:rPr>
                <w:sz w:val="20"/>
                <w:szCs w:val="20"/>
                <w:color w:val="auto"/>
              </w:rPr>
            </w:pPr>
            <w:r>
              <w:rPr>
                <w:rFonts w:ascii="Arial" w:cs="Arial" w:eastAsia="Arial" w:hAnsi="Arial"/>
                <w:sz w:val="11"/>
                <w:szCs w:val="11"/>
                <w:color w:val="auto"/>
                <w:w w:val="71"/>
              </w:rPr>
              <w:t>x</w:t>
            </w:r>
          </w:p>
        </w:tc>
      </w:tr>
      <w:tr>
        <w:trPr>
          <w:trHeight w:val="238"/>
        </w:trPr>
        <w:tc>
          <w:tcPr>
            <w:tcW w:w="4420" w:type="dxa"/>
            <w:vAlign w:val="bottom"/>
          </w:tcPr>
          <w:p>
            <w:pPr>
              <w:spacing w:after="0"/>
              <w:rPr>
                <w:sz w:val="20"/>
                <w:szCs w:val="20"/>
                <w:color w:val="auto"/>
              </w:rPr>
            </w:pPr>
            <w:r>
              <w:rPr>
                <w:rFonts w:ascii="Arial" w:cs="Arial" w:eastAsia="Arial" w:hAnsi="Arial"/>
                <w:sz w:val="15"/>
                <w:szCs w:val="15"/>
                <w:color w:val="auto"/>
              </w:rPr>
              <w:t>CapitalSouth Partners SBIC Fund III, L.P.</w:t>
            </w:r>
          </w:p>
        </w:tc>
        <w:tc>
          <w:tcPr>
            <w:tcW w:w="1620" w:type="dxa"/>
            <w:vAlign w:val="bottom"/>
          </w:tcPr>
          <w:p>
            <w:pPr>
              <w:ind w:left="1360"/>
              <w:spacing w:after="0"/>
              <w:rPr>
                <w:sz w:val="20"/>
                <w:szCs w:val="20"/>
                <w:color w:val="auto"/>
              </w:rPr>
            </w:pPr>
            <w:r>
              <w:rPr>
                <w:rFonts w:ascii="Arial" w:cs="Arial" w:eastAsia="Arial" w:hAnsi="Arial"/>
                <w:sz w:val="15"/>
                <w:szCs w:val="15"/>
                <w:color w:val="auto"/>
                <w:w w:val="92"/>
              </w:rPr>
              <w:t>Yes</w:t>
            </w:r>
          </w:p>
        </w:tc>
        <w:tc>
          <w:tcPr>
            <w:tcW w:w="40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460" w:type="dxa"/>
            <w:vAlign w:val="bottom"/>
          </w:tcPr>
          <w:p>
            <w:pPr>
              <w:ind w:left="240"/>
              <w:spacing w:after="0"/>
              <w:rPr>
                <w:sz w:val="20"/>
                <w:szCs w:val="20"/>
                <w:color w:val="auto"/>
              </w:rPr>
            </w:pPr>
            <w:r>
              <w:rPr>
                <w:rFonts w:ascii="Arial" w:cs="Arial" w:eastAsia="Arial" w:hAnsi="Arial"/>
                <w:sz w:val="15"/>
                <w:szCs w:val="15"/>
                <w:color w:val="auto"/>
              </w:rPr>
              <w:t>No</w:t>
            </w:r>
          </w:p>
        </w:tc>
        <w:tc>
          <w:tcPr>
            <w:tcW w:w="100" w:type="dxa"/>
            <w:vAlign w:val="bottom"/>
          </w:tcPr>
          <w:p>
            <w:pPr>
              <w:ind w:left="40"/>
              <w:spacing w:after="0"/>
              <w:rPr>
                <w:sz w:val="20"/>
                <w:szCs w:val="20"/>
                <w:color w:val="auto"/>
              </w:rPr>
            </w:pPr>
            <w:r>
              <w:rPr>
                <w:rFonts w:ascii="Arial" w:cs="Arial" w:eastAsia="Arial" w:hAnsi="Arial"/>
                <w:sz w:val="11"/>
                <w:szCs w:val="11"/>
                <w:color w:val="auto"/>
                <w:w w:val="71"/>
              </w:rPr>
              <w:t>x</w:t>
            </w:r>
          </w:p>
        </w:tc>
      </w:tr>
    </w:tbl>
    <w:p>
      <w:pPr>
        <w:spacing w:after="0" w:line="154" w:lineRule="exact"/>
        <w:rPr>
          <w:sz w:val="24"/>
          <w:szCs w:val="24"/>
          <w:color w:val="auto"/>
        </w:rPr>
      </w:pPr>
    </w:p>
    <w:p>
      <w:pPr>
        <w:ind w:right="440" w:firstLine="369"/>
        <w:spacing w:after="0" w:line="31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3" w:lineRule="exact"/>
        <w:rPr>
          <w:sz w:val="24"/>
          <w:szCs w:val="24"/>
          <w:color w:val="auto"/>
        </w:rPr>
      </w:pPr>
    </w:p>
    <w:tbl>
      <w:tblPr>
        <w:tblLayout w:type="fixed"/>
        <w:tblInd w:w="1080" w:type="dxa"/>
        <w:tblCellMar>
          <w:top w:w="0" w:type="dxa"/>
          <w:left w:w="0" w:type="dxa"/>
          <w:bottom w:w="0" w:type="dxa"/>
          <w:right w:w="0" w:type="dxa"/>
        </w:tblCellMar>
      </w:tblPr>
      <w:tr>
        <w:trPr>
          <w:trHeight w:val="181"/>
        </w:trPr>
        <w:tc>
          <w:tcPr>
            <w:tcW w:w="4420" w:type="dxa"/>
            <w:vAlign w:val="bottom"/>
          </w:tcPr>
          <w:p>
            <w:pPr>
              <w:spacing w:after="0"/>
              <w:rPr>
                <w:sz w:val="20"/>
                <w:szCs w:val="20"/>
                <w:color w:val="auto"/>
              </w:rPr>
            </w:pPr>
            <w:r>
              <w:rPr>
                <w:rFonts w:ascii="Arial" w:cs="Arial" w:eastAsia="Arial" w:hAnsi="Arial"/>
                <w:sz w:val="15"/>
                <w:szCs w:val="15"/>
                <w:color w:val="auto"/>
              </w:rPr>
              <w:t>Capitala Finance Corp.</w:t>
            </w:r>
          </w:p>
        </w:tc>
        <w:tc>
          <w:tcPr>
            <w:tcW w:w="1960" w:type="dxa"/>
            <w:vAlign w:val="bottom"/>
            <w:gridSpan w:val="2"/>
          </w:tcPr>
          <w:p>
            <w:pPr>
              <w:ind w:left="1360"/>
              <w:spacing w:after="0"/>
              <w:rPr>
                <w:sz w:val="20"/>
                <w:szCs w:val="20"/>
                <w:color w:val="auto"/>
              </w:rPr>
            </w:pPr>
            <w:r>
              <w:rPr>
                <w:rFonts w:ascii="Arial" w:cs="Arial" w:eastAsia="Arial" w:hAnsi="Arial"/>
                <w:sz w:val="15"/>
                <w:szCs w:val="15"/>
                <w:color w:val="auto"/>
              </w:rPr>
              <w:t>Yes x</w:t>
            </w:r>
          </w:p>
        </w:tc>
        <w:tc>
          <w:tcPr>
            <w:tcW w:w="620" w:type="dxa"/>
            <w:vAlign w:val="bottom"/>
            <w:gridSpan w:val="2"/>
          </w:tcPr>
          <w:p>
            <w:pPr>
              <w:ind w:left="240"/>
              <w:spacing w:after="0" w:line="173" w:lineRule="exact"/>
              <w:rPr>
                <w:sz w:val="20"/>
                <w:szCs w:val="20"/>
                <w:color w:val="auto"/>
              </w:rPr>
            </w:pPr>
            <w:r>
              <w:rPr>
                <w:rFonts w:ascii="Arial" w:cs="Arial" w:eastAsia="Arial" w:hAnsi="Arial"/>
                <w:sz w:val="15"/>
                <w:szCs w:val="15"/>
                <w:color w:val="auto"/>
                <w:w w:val="93"/>
              </w:rPr>
              <w:t xml:space="preserve">No </w:t>
            </w:r>
            <w:r>
              <w:rPr>
                <w:rFonts w:ascii="MS PGothic" w:cs="MS PGothic" w:eastAsia="MS PGothic" w:hAnsi="MS PGothic"/>
                <w:sz w:val="15"/>
                <w:szCs w:val="15"/>
                <w:color w:val="auto"/>
                <w:w w:val="93"/>
              </w:rPr>
              <w:t>☐</w:t>
            </w:r>
          </w:p>
        </w:tc>
      </w:tr>
      <w:tr>
        <w:trPr>
          <w:trHeight w:val="181"/>
        </w:trPr>
        <w:tc>
          <w:tcPr>
            <w:tcW w:w="4420" w:type="dxa"/>
            <w:vAlign w:val="bottom"/>
          </w:tcPr>
          <w:p>
            <w:pPr>
              <w:spacing w:after="0"/>
              <w:rPr>
                <w:sz w:val="20"/>
                <w:szCs w:val="20"/>
                <w:color w:val="auto"/>
              </w:rPr>
            </w:pPr>
            <w:r>
              <w:rPr>
                <w:rFonts w:ascii="Arial" w:cs="Arial" w:eastAsia="Arial" w:hAnsi="Arial"/>
                <w:sz w:val="15"/>
                <w:szCs w:val="15"/>
                <w:color w:val="auto"/>
              </w:rPr>
              <w:t>CapitalSouth Partners Fund II Limited Partnership</w:t>
            </w:r>
          </w:p>
        </w:tc>
        <w:tc>
          <w:tcPr>
            <w:tcW w:w="1620" w:type="dxa"/>
            <w:vAlign w:val="bottom"/>
          </w:tcPr>
          <w:p>
            <w:pPr>
              <w:ind w:left="1360"/>
              <w:spacing w:after="0"/>
              <w:rPr>
                <w:sz w:val="20"/>
                <w:szCs w:val="20"/>
                <w:color w:val="auto"/>
              </w:rPr>
            </w:pPr>
            <w:r>
              <w:rPr>
                <w:rFonts w:ascii="Arial" w:cs="Arial" w:eastAsia="Arial" w:hAnsi="Arial"/>
                <w:sz w:val="15"/>
                <w:szCs w:val="15"/>
                <w:color w:val="auto"/>
                <w:w w:val="92"/>
              </w:rPr>
              <w:t>Yes</w:t>
            </w:r>
          </w:p>
        </w:tc>
        <w:tc>
          <w:tcPr>
            <w:tcW w:w="340" w:type="dxa"/>
            <w:vAlign w:val="bottom"/>
          </w:tcPr>
          <w:p>
            <w:pPr>
              <w:ind w:left="40"/>
              <w:spacing w:after="0"/>
              <w:rPr>
                <w:sz w:val="20"/>
                <w:szCs w:val="20"/>
                <w:color w:val="auto"/>
              </w:rPr>
            </w:pPr>
            <w:r>
              <w:rPr>
                <w:rFonts w:ascii="Arial" w:cs="Arial" w:eastAsia="Arial" w:hAnsi="Arial"/>
                <w:sz w:val="15"/>
                <w:szCs w:val="15"/>
                <w:color w:val="auto"/>
              </w:rPr>
              <w:t>x</w:t>
            </w:r>
          </w:p>
        </w:tc>
        <w:tc>
          <w:tcPr>
            <w:tcW w:w="460" w:type="dxa"/>
            <w:vAlign w:val="bottom"/>
          </w:tcPr>
          <w:p>
            <w:pPr>
              <w:ind w:left="240"/>
              <w:spacing w:after="0"/>
              <w:rPr>
                <w:sz w:val="20"/>
                <w:szCs w:val="20"/>
                <w:color w:val="auto"/>
              </w:rPr>
            </w:pPr>
            <w:r>
              <w:rPr>
                <w:rFonts w:ascii="Arial" w:cs="Arial" w:eastAsia="Arial" w:hAnsi="Arial"/>
                <w:sz w:val="15"/>
                <w:szCs w:val="15"/>
                <w:color w:val="auto"/>
              </w:rPr>
              <w:t>No</w:t>
            </w:r>
          </w:p>
        </w:tc>
        <w:tc>
          <w:tcPr>
            <w:tcW w:w="160" w:type="dxa"/>
            <w:vAlign w:val="bottom"/>
          </w:tcPr>
          <w:p>
            <w:pPr>
              <w:ind w:left="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8"/>
        </w:trPr>
        <w:tc>
          <w:tcPr>
            <w:tcW w:w="4420" w:type="dxa"/>
            <w:vAlign w:val="bottom"/>
          </w:tcPr>
          <w:p>
            <w:pPr>
              <w:spacing w:after="0"/>
              <w:rPr>
                <w:sz w:val="20"/>
                <w:szCs w:val="20"/>
                <w:color w:val="auto"/>
              </w:rPr>
            </w:pPr>
            <w:r>
              <w:rPr>
                <w:rFonts w:ascii="Arial" w:cs="Arial" w:eastAsia="Arial" w:hAnsi="Arial"/>
                <w:sz w:val="15"/>
                <w:szCs w:val="15"/>
                <w:color w:val="auto"/>
              </w:rPr>
              <w:t>CapitalSouth Partners SBIC Fund III, L.P.</w:t>
            </w:r>
          </w:p>
        </w:tc>
        <w:tc>
          <w:tcPr>
            <w:tcW w:w="1620" w:type="dxa"/>
            <w:vAlign w:val="bottom"/>
          </w:tcPr>
          <w:p>
            <w:pPr>
              <w:ind w:left="1360"/>
              <w:spacing w:after="0"/>
              <w:rPr>
                <w:sz w:val="20"/>
                <w:szCs w:val="20"/>
                <w:color w:val="auto"/>
              </w:rPr>
            </w:pPr>
            <w:r>
              <w:rPr>
                <w:rFonts w:ascii="Arial" w:cs="Arial" w:eastAsia="Arial" w:hAnsi="Arial"/>
                <w:sz w:val="15"/>
                <w:szCs w:val="15"/>
                <w:color w:val="auto"/>
                <w:w w:val="92"/>
              </w:rPr>
              <w:t>Yes</w:t>
            </w:r>
          </w:p>
        </w:tc>
        <w:tc>
          <w:tcPr>
            <w:tcW w:w="340" w:type="dxa"/>
            <w:vAlign w:val="bottom"/>
          </w:tcPr>
          <w:p>
            <w:pPr>
              <w:ind w:left="40"/>
              <w:spacing w:after="0"/>
              <w:rPr>
                <w:sz w:val="20"/>
                <w:szCs w:val="20"/>
                <w:color w:val="auto"/>
              </w:rPr>
            </w:pPr>
            <w:r>
              <w:rPr>
                <w:rFonts w:ascii="Arial" w:cs="Arial" w:eastAsia="Arial" w:hAnsi="Arial"/>
                <w:sz w:val="15"/>
                <w:szCs w:val="15"/>
                <w:color w:val="auto"/>
              </w:rPr>
              <w:t>x</w:t>
            </w:r>
          </w:p>
        </w:tc>
        <w:tc>
          <w:tcPr>
            <w:tcW w:w="460" w:type="dxa"/>
            <w:vAlign w:val="bottom"/>
          </w:tcPr>
          <w:p>
            <w:pPr>
              <w:ind w:left="240"/>
              <w:spacing w:after="0"/>
              <w:rPr>
                <w:sz w:val="20"/>
                <w:szCs w:val="20"/>
                <w:color w:val="auto"/>
              </w:rPr>
            </w:pPr>
            <w:r>
              <w:rPr>
                <w:rFonts w:ascii="Arial" w:cs="Arial" w:eastAsia="Arial" w:hAnsi="Arial"/>
                <w:sz w:val="15"/>
                <w:szCs w:val="15"/>
                <w:color w:val="auto"/>
              </w:rPr>
              <w:t>No</w:t>
            </w:r>
          </w:p>
        </w:tc>
        <w:tc>
          <w:tcPr>
            <w:tcW w:w="160" w:type="dxa"/>
            <w:vAlign w:val="bottom"/>
          </w:tcPr>
          <w:p>
            <w:pPr>
              <w:ind w:left="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54" w:lineRule="exact"/>
        <w:rPr>
          <w:sz w:val="24"/>
          <w:szCs w:val="24"/>
          <w:color w:val="auto"/>
        </w:rPr>
      </w:pPr>
    </w:p>
    <w:p>
      <w:pPr>
        <w:ind w:right="80" w:firstLine="369"/>
        <w:spacing w:after="0" w:line="313"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93" w:lineRule="exact"/>
        <w:rPr>
          <w:sz w:val="24"/>
          <w:szCs w:val="24"/>
          <w:color w:val="auto"/>
        </w:rPr>
      </w:pPr>
    </w:p>
    <w:tbl>
      <w:tblPr>
        <w:tblLayout w:type="fixed"/>
        <w:tblInd w:w="1080" w:type="dxa"/>
        <w:tblCellMar>
          <w:top w:w="0" w:type="dxa"/>
          <w:left w:w="0" w:type="dxa"/>
          <w:bottom w:w="0" w:type="dxa"/>
          <w:right w:w="0" w:type="dxa"/>
        </w:tblCellMar>
      </w:tblPr>
      <w:tr>
        <w:trPr>
          <w:trHeight w:val="181"/>
        </w:trPr>
        <w:tc>
          <w:tcPr>
            <w:tcW w:w="4420" w:type="dxa"/>
            <w:vAlign w:val="bottom"/>
          </w:tcPr>
          <w:p>
            <w:pPr>
              <w:spacing w:after="0"/>
              <w:rPr>
                <w:sz w:val="20"/>
                <w:szCs w:val="20"/>
                <w:color w:val="auto"/>
              </w:rPr>
            </w:pPr>
            <w:r>
              <w:rPr>
                <w:rFonts w:ascii="Arial" w:cs="Arial" w:eastAsia="Arial" w:hAnsi="Arial"/>
                <w:sz w:val="15"/>
                <w:szCs w:val="15"/>
                <w:color w:val="auto"/>
              </w:rPr>
              <w:t>Capitala Finance Corp.</w:t>
            </w:r>
          </w:p>
        </w:tc>
        <w:tc>
          <w:tcPr>
            <w:tcW w:w="2020" w:type="dxa"/>
            <w:vAlign w:val="bottom"/>
            <w:gridSpan w:val="2"/>
          </w:tcPr>
          <w:p>
            <w:pPr>
              <w:ind w:left="136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620" w:type="dxa"/>
            <w:vAlign w:val="bottom"/>
            <w:gridSpan w:val="2"/>
          </w:tcPr>
          <w:p>
            <w:pPr>
              <w:ind w:left="240"/>
              <w:spacing w:after="0" w:line="173" w:lineRule="exact"/>
              <w:rPr>
                <w:sz w:val="20"/>
                <w:szCs w:val="20"/>
                <w:color w:val="auto"/>
              </w:rPr>
            </w:pPr>
            <w:r>
              <w:rPr>
                <w:rFonts w:ascii="Arial" w:cs="Arial" w:eastAsia="Arial" w:hAnsi="Arial"/>
                <w:sz w:val="15"/>
                <w:szCs w:val="15"/>
                <w:color w:val="auto"/>
                <w:w w:val="93"/>
              </w:rPr>
              <w:t xml:space="preserve">No </w:t>
            </w:r>
            <w:r>
              <w:rPr>
                <w:rFonts w:ascii="MS PGothic" w:cs="MS PGothic" w:eastAsia="MS PGothic" w:hAnsi="MS PGothic"/>
                <w:sz w:val="15"/>
                <w:szCs w:val="15"/>
                <w:color w:val="auto"/>
                <w:w w:val="93"/>
              </w:rPr>
              <w:t>☐</w:t>
            </w:r>
          </w:p>
        </w:tc>
      </w:tr>
      <w:tr>
        <w:trPr>
          <w:trHeight w:val="181"/>
        </w:trPr>
        <w:tc>
          <w:tcPr>
            <w:tcW w:w="4420" w:type="dxa"/>
            <w:vAlign w:val="bottom"/>
          </w:tcPr>
          <w:p>
            <w:pPr>
              <w:spacing w:after="0"/>
              <w:rPr>
                <w:sz w:val="20"/>
                <w:szCs w:val="20"/>
                <w:color w:val="auto"/>
              </w:rPr>
            </w:pPr>
            <w:r>
              <w:rPr>
                <w:rFonts w:ascii="Arial" w:cs="Arial" w:eastAsia="Arial" w:hAnsi="Arial"/>
                <w:sz w:val="15"/>
                <w:szCs w:val="15"/>
                <w:color w:val="auto"/>
              </w:rPr>
              <w:t>CapitalSouth Partners Fund II Limited Partnership</w:t>
            </w:r>
          </w:p>
        </w:tc>
        <w:tc>
          <w:tcPr>
            <w:tcW w:w="1620" w:type="dxa"/>
            <w:vAlign w:val="bottom"/>
          </w:tcPr>
          <w:p>
            <w:pPr>
              <w:ind w:left="1360"/>
              <w:spacing w:after="0"/>
              <w:rPr>
                <w:sz w:val="20"/>
                <w:szCs w:val="20"/>
                <w:color w:val="auto"/>
              </w:rPr>
            </w:pPr>
            <w:r>
              <w:rPr>
                <w:rFonts w:ascii="Arial" w:cs="Arial" w:eastAsia="Arial" w:hAnsi="Arial"/>
                <w:sz w:val="15"/>
                <w:szCs w:val="15"/>
                <w:color w:val="auto"/>
                <w:w w:val="92"/>
              </w:rPr>
              <w:t>Yes</w:t>
            </w:r>
          </w:p>
        </w:tc>
        <w:tc>
          <w:tcPr>
            <w:tcW w:w="40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460" w:type="dxa"/>
            <w:vAlign w:val="bottom"/>
          </w:tcPr>
          <w:p>
            <w:pPr>
              <w:ind w:left="240"/>
              <w:spacing w:after="0"/>
              <w:rPr>
                <w:sz w:val="20"/>
                <w:szCs w:val="20"/>
                <w:color w:val="auto"/>
              </w:rPr>
            </w:pPr>
            <w:r>
              <w:rPr>
                <w:rFonts w:ascii="Arial" w:cs="Arial" w:eastAsia="Arial" w:hAnsi="Arial"/>
                <w:sz w:val="15"/>
                <w:szCs w:val="15"/>
                <w:color w:val="auto"/>
              </w:rPr>
              <w:t>No</w:t>
            </w:r>
          </w:p>
        </w:tc>
        <w:tc>
          <w:tcPr>
            <w:tcW w:w="16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8"/>
        </w:trPr>
        <w:tc>
          <w:tcPr>
            <w:tcW w:w="4420" w:type="dxa"/>
            <w:vAlign w:val="bottom"/>
          </w:tcPr>
          <w:p>
            <w:pPr>
              <w:spacing w:after="0"/>
              <w:rPr>
                <w:sz w:val="20"/>
                <w:szCs w:val="20"/>
                <w:color w:val="auto"/>
              </w:rPr>
            </w:pPr>
            <w:r>
              <w:rPr>
                <w:rFonts w:ascii="Arial" w:cs="Arial" w:eastAsia="Arial" w:hAnsi="Arial"/>
                <w:sz w:val="15"/>
                <w:szCs w:val="15"/>
                <w:color w:val="auto"/>
              </w:rPr>
              <w:t>CapitalSouth Partners SBIC Fund III, L.P.</w:t>
            </w:r>
          </w:p>
        </w:tc>
        <w:tc>
          <w:tcPr>
            <w:tcW w:w="1620" w:type="dxa"/>
            <w:vAlign w:val="bottom"/>
          </w:tcPr>
          <w:p>
            <w:pPr>
              <w:ind w:left="1360"/>
              <w:spacing w:after="0"/>
              <w:rPr>
                <w:sz w:val="20"/>
                <w:szCs w:val="20"/>
                <w:color w:val="auto"/>
              </w:rPr>
            </w:pPr>
            <w:r>
              <w:rPr>
                <w:rFonts w:ascii="Arial" w:cs="Arial" w:eastAsia="Arial" w:hAnsi="Arial"/>
                <w:sz w:val="15"/>
                <w:szCs w:val="15"/>
                <w:color w:val="auto"/>
                <w:w w:val="92"/>
              </w:rPr>
              <w:t>Yes</w:t>
            </w:r>
          </w:p>
        </w:tc>
        <w:tc>
          <w:tcPr>
            <w:tcW w:w="40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460" w:type="dxa"/>
            <w:vAlign w:val="bottom"/>
          </w:tcPr>
          <w:p>
            <w:pPr>
              <w:ind w:left="240"/>
              <w:spacing w:after="0"/>
              <w:rPr>
                <w:sz w:val="20"/>
                <w:szCs w:val="20"/>
                <w:color w:val="auto"/>
              </w:rPr>
            </w:pPr>
            <w:r>
              <w:rPr>
                <w:rFonts w:ascii="Arial" w:cs="Arial" w:eastAsia="Arial" w:hAnsi="Arial"/>
                <w:sz w:val="15"/>
                <w:szCs w:val="15"/>
                <w:color w:val="auto"/>
              </w:rPr>
              <w:t>No</w:t>
            </w:r>
          </w:p>
        </w:tc>
        <w:tc>
          <w:tcPr>
            <w:tcW w:w="16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54" w:lineRule="exact"/>
        <w:rPr>
          <w:sz w:val="24"/>
          <w:szCs w:val="24"/>
          <w:color w:val="auto"/>
        </w:rPr>
      </w:pPr>
    </w:p>
    <w:p>
      <w:pPr>
        <w:ind w:right="480" w:firstLine="369"/>
        <w:spacing w:after="0" w:line="276"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w:t>
      </w:r>
    </w:p>
    <w:p>
      <w:pPr>
        <w:spacing w:after="0" w:line="117" w:lineRule="exact"/>
        <w:rPr>
          <w:sz w:val="24"/>
          <w:szCs w:val="24"/>
          <w:color w:val="auto"/>
        </w:rPr>
      </w:pPr>
    </w:p>
    <w:tbl>
      <w:tblPr>
        <w:tblLayout w:type="fixed"/>
        <w:tblInd w:w="1080" w:type="dxa"/>
        <w:tblCellMar>
          <w:top w:w="0" w:type="dxa"/>
          <w:left w:w="0" w:type="dxa"/>
          <w:bottom w:w="0" w:type="dxa"/>
          <w:right w:w="0" w:type="dxa"/>
        </w:tblCellMar>
      </w:tblPr>
      <w:tr>
        <w:trPr>
          <w:trHeight w:val="181"/>
        </w:trPr>
        <w:tc>
          <w:tcPr>
            <w:tcW w:w="4420" w:type="dxa"/>
            <w:vAlign w:val="bottom"/>
          </w:tcPr>
          <w:p>
            <w:pPr>
              <w:spacing w:after="0"/>
              <w:rPr>
                <w:sz w:val="20"/>
                <w:szCs w:val="20"/>
                <w:color w:val="auto"/>
              </w:rPr>
            </w:pPr>
            <w:r>
              <w:rPr>
                <w:rFonts w:ascii="Arial" w:cs="Arial" w:eastAsia="Arial" w:hAnsi="Arial"/>
                <w:sz w:val="15"/>
                <w:szCs w:val="15"/>
                <w:color w:val="auto"/>
              </w:rPr>
              <w:t>Capitala Finance Corp.</w:t>
            </w:r>
          </w:p>
        </w:tc>
        <w:tc>
          <w:tcPr>
            <w:tcW w:w="1960" w:type="dxa"/>
            <w:vAlign w:val="bottom"/>
            <w:gridSpan w:val="2"/>
          </w:tcPr>
          <w:p>
            <w:pPr>
              <w:ind w:left="1360"/>
              <w:spacing w:after="0"/>
              <w:rPr>
                <w:sz w:val="20"/>
                <w:szCs w:val="20"/>
                <w:color w:val="auto"/>
              </w:rPr>
            </w:pPr>
            <w:r>
              <w:rPr>
                <w:rFonts w:ascii="Arial" w:cs="Arial" w:eastAsia="Arial" w:hAnsi="Arial"/>
                <w:sz w:val="15"/>
                <w:szCs w:val="15"/>
                <w:color w:val="auto"/>
              </w:rPr>
              <w:t>Yes x</w:t>
            </w:r>
          </w:p>
        </w:tc>
        <w:tc>
          <w:tcPr>
            <w:tcW w:w="620" w:type="dxa"/>
            <w:vAlign w:val="bottom"/>
            <w:gridSpan w:val="2"/>
          </w:tcPr>
          <w:p>
            <w:pPr>
              <w:ind w:left="240"/>
              <w:spacing w:after="0" w:line="173" w:lineRule="exact"/>
              <w:rPr>
                <w:sz w:val="20"/>
                <w:szCs w:val="20"/>
                <w:color w:val="auto"/>
              </w:rPr>
            </w:pPr>
            <w:r>
              <w:rPr>
                <w:rFonts w:ascii="Arial" w:cs="Arial" w:eastAsia="Arial" w:hAnsi="Arial"/>
                <w:sz w:val="15"/>
                <w:szCs w:val="15"/>
                <w:color w:val="auto"/>
                <w:w w:val="93"/>
              </w:rPr>
              <w:t xml:space="preserve">No </w:t>
            </w:r>
            <w:r>
              <w:rPr>
                <w:rFonts w:ascii="MS PGothic" w:cs="MS PGothic" w:eastAsia="MS PGothic" w:hAnsi="MS PGothic"/>
                <w:sz w:val="15"/>
                <w:szCs w:val="15"/>
                <w:color w:val="auto"/>
                <w:w w:val="93"/>
              </w:rPr>
              <w:t>☐</w:t>
            </w:r>
          </w:p>
        </w:tc>
      </w:tr>
      <w:tr>
        <w:trPr>
          <w:trHeight w:val="181"/>
        </w:trPr>
        <w:tc>
          <w:tcPr>
            <w:tcW w:w="4420" w:type="dxa"/>
            <w:vAlign w:val="bottom"/>
          </w:tcPr>
          <w:p>
            <w:pPr>
              <w:spacing w:after="0"/>
              <w:rPr>
                <w:sz w:val="20"/>
                <w:szCs w:val="20"/>
                <w:color w:val="auto"/>
              </w:rPr>
            </w:pPr>
            <w:r>
              <w:rPr>
                <w:rFonts w:ascii="Arial" w:cs="Arial" w:eastAsia="Arial" w:hAnsi="Arial"/>
                <w:sz w:val="15"/>
                <w:szCs w:val="15"/>
                <w:color w:val="auto"/>
              </w:rPr>
              <w:t>CapitalSouth Partners Fund II Limited Partnership</w:t>
            </w:r>
          </w:p>
        </w:tc>
        <w:tc>
          <w:tcPr>
            <w:tcW w:w="1620" w:type="dxa"/>
            <w:vAlign w:val="bottom"/>
          </w:tcPr>
          <w:p>
            <w:pPr>
              <w:ind w:left="1360"/>
              <w:spacing w:after="0"/>
              <w:rPr>
                <w:sz w:val="20"/>
                <w:szCs w:val="20"/>
                <w:color w:val="auto"/>
              </w:rPr>
            </w:pPr>
            <w:r>
              <w:rPr>
                <w:rFonts w:ascii="Arial" w:cs="Arial" w:eastAsia="Arial" w:hAnsi="Arial"/>
                <w:sz w:val="15"/>
                <w:szCs w:val="15"/>
                <w:color w:val="auto"/>
                <w:w w:val="92"/>
              </w:rPr>
              <w:t>Yes</w:t>
            </w:r>
          </w:p>
        </w:tc>
        <w:tc>
          <w:tcPr>
            <w:tcW w:w="340" w:type="dxa"/>
            <w:vAlign w:val="bottom"/>
          </w:tcPr>
          <w:p>
            <w:pPr>
              <w:ind w:left="40"/>
              <w:spacing w:after="0"/>
              <w:rPr>
                <w:sz w:val="20"/>
                <w:szCs w:val="20"/>
                <w:color w:val="auto"/>
              </w:rPr>
            </w:pPr>
            <w:r>
              <w:rPr>
                <w:rFonts w:ascii="Arial" w:cs="Arial" w:eastAsia="Arial" w:hAnsi="Arial"/>
                <w:sz w:val="15"/>
                <w:szCs w:val="15"/>
                <w:color w:val="auto"/>
              </w:rPr>
              <w:t>x</w:t>
            </w:r>
          </w:p>
        </w:tc>
        <w:tc>
          <w:tcPr>
            <w:tcW w:w="460" w:type="dxa"/>
            <w:vAlign w:val="bottom"/>
          </w:tcPr>
          <w:p>
            <w:pPr>
              <w:ind w:left="240"/>
              <w:spacing w:after="0"/>
              <w:rPr>
                <w:sz w:val="20"/>
                <w:szCs w:val="20"/>
                <w:color w:val="auto"/>
              </w:rPr>
            </w:pPr>
            <w:r>
              <w:rPr>
                <w:rFonts w:ascii="Arial" w:cs="Arial" w:eastAsia="Arial" w:hAnsi="Arial"/>
                <w:sz w:val="15"/>
                <w:szCs w:val="15"/>
                <w:color w:val="auto"/>
              </w:rPr>
              <w:t>No</w:t>
            </w:r>
          </w:p>
        </w:tc>
        <w:tc>
          <w:tcPr>
            <w:tcW w:w="160" w:type="dxa"/>
            <w:vAlign w:val="bottom"/>
          </w:tcPr>
          <w:p>
            <w:pPr>
              <w:ind w:left="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8"/>
        </w:trPr>
        <w:tc>
          <w:tcPr>
            <w:tcW w:w="4420" w:type="dxa"/>
            <w:vAlign w:val="bottom"/>
          </w:tcPr>
          <w:p>
            <w:pPr>
              <w:spacing w:after="0"/>
              <w:rPr>
                <w:sz w:val="20"/>
                <w:szCs w:val="20"/>
                <w:color w:val="auto"/>
              </w:rPr>
            </w:pPr>
            <w:r>
              <w:rPr>
                <w:rFonts w:ascii="Arial" w:cs="Arial" w:eastAsia="Arial" w:hAnsi="Arial"/>
                <w:sz w:val="15"/>
                <w:szCs w:val="15"/>
                <w:color w:val="auto"/>
              </w:rPr>
              <w:t>CapitalSouth Partners SBIC Fund III, L.P.</w:t>
            </w:r>
          </w:p>
        </w:tc>
        <w:tc>
          <w:tcPr>
            <w:tcW w:w="1620" w:type="dxa"/>
            <w:vAlign w:val="bottom"/>
          </w:tcPr>
          <w:p>
            <w:pPr>
              <w:ind w:left="1360"/>
              <w:spacing w:after="0"/>
              <w:rPr>
                <w:sz w:val="20"/>
                <w:szCs w:val="20"/>
                <w:color w:val="auto"/>
              </w:rPr>
            </w:pPr>
            <w:r>
              <w:rPr>
                <w:rFonts w:ascii="Arial" w:cs="Arial" w:eastAsia="Arial" w:hAnsi="Arial"/>
                <w:sz w:val="15"/>
                <w:szCs w:val="15"/>
                <w:color w:val="auto"/>
                <w:w w:val="92"/>
              </w:rPr>
              <w:t>Yes</w:t>
            </w:r>
          </w:p>
        </w:tc>
        <w:tc>
          <w:tcPr>
            <w:tcW w:w="340" w:type="dxa"/>
            <w:vAlign w:val="bottom"/>
          </w:tcPr>
          <w:p>
            <w:pPr>
              <w:ind w:left="40"/>
              <w:spacing w:after="0"/>
              <w:rPr>
                <w:sz w:val="20"/>
                <w:szCs w:val="20"/>
                <w:color w:val="auto"/>
              </w:rPr>
            </w:pPr>
            <w:r>
              <w:rPr>
                <w:rFonts w:ascii="Arial" w:cs="Arial" w:eastAsia="Arial" w:hAnsi="Arial"/>
                <w:sz w:val="15"/>
                <w:szCs w:val="15"/>
                <w:color w:val="auto"/>
              </w:rPr>
              <w:t>x</w:t>
            </w:r>
          </w:p>
        </w:tc>
        <w:tc>
          <w:tcPr>
            <w:tcW w:w="460" w:type="dxa"/>
            <w:vAlign w:val="bottom"/>
          </w:tcPr>
          <w:p>
            <w:pPr>
              <w:ind w:left="240"/>
              <w:spacing w:after="0"/>
              <w:rPr>
                <w:sz w:val="20"/>
                <w:szCs w:val="20"/>
                <w:color w:val="auto"/>
              </w:rPr>
            </w:pPr>
            <w:r>
              <w:rPr>
                <w:rFonts w:ascii="Arial" w:cs="Arial" w:eastAsia="Arial" w:hAnsi="Arial"/>
                <w:sz w:val="15"/>
                <w:szCs w:val="15"/>
                <w:color w:val="auto"/>
              </w:rPr>
              <w:t>No</w:t>
            </w:r>
          </w:p>
        </w:tc>
        <w:tc>
          <w:tcPr>
            <w:tcW w:w="160" w:type="dxa"/>
            <w:vAlign w:val="bottom"/>
          </w:tcPr>
          <w:p>
            <w:pPr>
              <w:ind w:left="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54" w:lineRule="exact"/>
        <w:rPr>
          <w:sz w:val="24"/>
          <w:szCs w:val="24"/>
          <w:color w:val="auto"/>
        </w:rPr>
      </w:pPr>
    </w:p>
    <w:p>
      <w:pPr>
        <w:ind w:right="420" w:firstLine="369"/>
        <w:spacing w:after="0" w:line="276"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40"/>
          </w:cols>
          <w:pgMar w:left="240" w:top="422" w:right="2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Arial" w:cs="Arial" w:eastAsia="Arial" w:hAnsi="Arial"/>
                <w:sz w:val="15"/>
                <w:szCs w:val="15"/>
                <w:color w:val="auto"/>
              </w:rPr>
              <w:t>Capitala Finance Corp.</w:t>
            </w:r>
          </w:p>
        </w:tc>
        <w:tc>
          <w:tcPr>
            <w:tcW w:w="2440" w:type="dxa"/>
            <w:vAlign w:val="bottom"/>
          </w:tcPr>
          <w:p>
            <w:pPr>
              <w:ind w:left="660"/>
              <w:spacing w:after="0"/>
              <w:rPr>
                <w:sz w:val="20"/>
                <w:szCs w:val="20"/>
                <w:color w:val="auto"/>
              </w:rPr>
            </w:pPr>
            <w:r>
              <w:rPr>
                <w:rFonts w:ascii="Arial" w:cs="Arial" w:eastAsia="Arial" w:hAnsi="Arial"/>
                <w:sz w:val="15"/>
                <w:szCs w:val="15"/>
                <w:color w:val="auto"/>
              </w:rPr>
              <w:t>Large accelerated filer</w:t>
            </w:r>
          </w:p>
        </w:tc>
        <w:tc>
          <w:tcPr>
            <w:tcW w:w="14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3160" w:type="dxa"/>
            <w:vAlign w:val="bottom"/>
          </w:tcPr>
          <w:p>
            <w:pPr>
              <w:ind w:left="920"/>
              <w:spacing w:after="0"/>
              <w:rPr>
                <w:sz w:val="20"/>
                <w:szCs w:val="20"/>
                <w:color w:val="auto"/>
              </w:rPr>
            </w:pPr>
            <w:r>
              <w:rPr>
                <w:rFonts w:ascii="Arial" w:cs="Arial" w:eastAsia="Arial" w:hAnsi="Arial"/>
                <w:sz w:val="15"/>
                <w:szCs w:val="15"/>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62"/>
        </w:trPr>
        <w:tc>
          <w:tcPr>
            <w:tcW w:w="368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Arial" w:cs="Arial" w:eastAsia="Arial" w:hAnsi="Arial"/>
                <w:sz w:val="15"/>
                <w:szCs w:val="15"/>
                <w:color w:val="auto"/>
              </w:rPr>
              <w:t>Non-accelerated filer</w:t>
            </w:r>
          </w:p>
        </w:tc>
        <w:tc>
          <w:tcPr>
            <w:tcW w:w="1440" w:type="dxa"/>
            <w:vAlign w:val="bottom"/>
          </w:tcPr>
          <w:p>
            <w:pPr>
              <w:ind w:left="400"/>
              <w:spacing w:after="0"/>
              <w:rPr>
                <w:sz w:val="20"/>
                <w:szCs w:val="20"/>
                <w:color w:val="auto"/>
              </w:rPr>
            </w:pPr>
            <w:r>
              <w:rPr>
                <w:rFonts w:ascii="Arial" w:cs="Arial" w:eastAsia="Arial" w:hAnsi="Arial"/>
                <w:sz w:val="15"/>
                <w:szCs w:val="15"/>
                <w:color w:val="auto"/>
              </w:rPr>
              <w:t>x</w:t>
            </w:r>
          </w:p>
        </w:tc>
        <w:tc>
          <w:tcPr>
            <w:tcW w:w="3160" w:type="dxa"/>
            <w:vAlign w:val="bottom"/>
          </w:tcPr>
          <w:p>
            <w:pPr>
              <w:ind w:left="920"/>
              <w:spacing w:after="0"/>
              <w:rPr>
                <w:sz w:val="20"/>
                <w:szCs w:val="20"/>
                <w:color w:val="auto"/>
              </w:rPr>
            </w:pPr>
            <w:r>
              <w:rPr>
                <w:rFonts w:ascii="Arial" w:cs="Arial" w:eastAsia="Arial" w:hAnsi="Arial"/>
                <w:sz w:val="15"/>
                <w:szCs w:val="15"/>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543"/>
        </w:trPr>
        <w:tc>
          <w:tcPr>
            <w:tcW w:w="3680" w:type="dxa"/>
            <w:vAlign w:val="bottom"/>
          </w:tcPr>
          <w:p>
            <w:pPr>
              <w:spacing w:after="0"/>
              <w:rPr>
                <w:sz w:val="20"/>
                <w:szCs w:val="20"/>
                <w:color w:val="auto"/>
              </w:rPr>
            </w:pPr>
            <w:r>
              <w:rPr>
                <w:rFonts w:ascii="Arial" w:cs="Arial" w:eastAsia="Arial" w:hAnsi="Arial"/>
                <w:sz w:val="15"/>
                <w:szCs w:val="15"/>
                <w:color w:val="auto"/>
              </w:rPr>
              <w:t>CapitalSouth Partners Fund II Limited Partnership</w:t>
            </w:r>
          </w:p>
        </w:tc>
        <w:tc>
          <w:tcPr>
            <w:tcW w:w="2440" w:type="dxa"/>
            <w:vAlign w:val="bottom"/>
          </w:tcPr>
          <w:p>
            <w:pPr>
              <w:ind w:left="660"/>
              <w:spacing w:after="0"/>
              <w:rPr>
                <w:sz w:val="20"/>
                <w:szCs w:val="20"/>
                <w:color w:val="auto"/>
              </w:rPr>
            </w:pPr>
            <w:r>
              <w:rPr>
                <w:rFonts w:ascii="Arial" w:cs="Arial" w:eastAsia="Arial" w:hAnsi="Arial"/>
                <w:sz w:val="15"/>
                <w:szCs w:val="15"/>
                <w:color w:val="auto"/>
              </w:rPr>
              <w:t>Large accelerated filer</w:t>
            </w:r>
          </w:p>
        </w:tc>
        <w:tc>
          <w:tcPr>
            <w:tcW w:w="14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3160" w:type="dxa"/>
            <w:vAlign w:val="bottom"/>
          </w:tcPr>
          <w:p>
            <w:pPr>
              <w:ind w:left="1020"/>
              <w:spacing w:after="0"/>
              <w:rPr>
                <w:sz w:val="20"/>
                <w:szCs w:val="20"/>
                <w:color w:val="auto"/>
              </w:rPr>
            </w:pPr>
            <w:r>
              <w:rPr>
                <w:rFonts w:ascii="Arial" w:cs="Arial" w:eastAsia="Arial" w:hAnsi="Arial"/>
                <w:sz w:val="15"/>
                <w:szCs w:val="15"/>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62"/>
        </w:trPr>
        <w:tc>
          <w:tcPr>
            <w:tcW w:w="368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Arial" w:cs="Arial" w:eastAsia="Arial" w:hAnsi="Arial"/>
                <w:sz w:val="15"/>
                <w:szCs w:val="15"/>
                <w:color w:val="auto"/>
              </w:rPr>
              <w:t>Non-accelerated filer</w:t>
            </w:r>
          </w:p>
        </w:tc>
        <w:tc>
          <w:tcPr>
            <w:tcW w:w="1440" w:type="dxa"/>
            <w:vAlign w:val="bottom"/>
          </w:tcPr>
          <w:p>
            <w:pPr>
              <w:ind w:left="400"/>
              <w:spacing w:after="0"/>
              <w:rPr>
                <w:sz w:val="20"/>
                <w:szCs w:val="20"/>
                <w:color w:val="auto"/>
              </w:rPr>
            </w:pPr>
            <w:r>
              <w:rPr>
                <w:rFonts w:ascii="Arial" w:cs="Arial" w:eastAsia="Arial" w:hAnsi="Arial"/>
                <w:sz w:val="15"/>
                <w:szCs w:val="15"/>
                <w:color w:val="auto"/>
              </w:rPr>
              <w:t>x</w:t>
            </w:r>
          </w:p>
        </w:tc>
        <w:tc>
          <w:tcPr>
            <w:tcW w:w="3160" w:type="dxa"/>
            <w:vAlign w:val="bottom"/>
          </w:tcPr>
          <w:p>
            <w:pPr>
              <w:ind w:left="1020"/>
              <w:spacing w:after="0"/>
              <w:rPr>
                <w:sz w:val="20"/>
                <w:szCs w:val="20"/>
                <w:color w:val="auto"/>
              </w:rPr>
            </w:pPr>
            <w:r>
              <w:rPr>
                <w:rFonts w:ascii="Arial" w:cs="Arial" w:eastAsia="Arial" w:hAnsi="Arial"/>
                <w:sz w:val="15"/>
                <w:szCs w:val="15"/>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543"/>
        </w:trPr>
        <w:tc>
          <w:tcPr>
            <w:tcW w:w="3680" w:type="dxa"/>
            <w:vAlign w:val="bottom"/>
          </w:tcPr>
          <w:p>
            <w:pPr>
              <w:spacing w:after="0"/>
              <w:rPr>
                <w:sz w:val="20"/>
                <w:szCs w:val="20"/>
                <w:color w:val="auto"/>
              </w:rPr>
            </w:pPr>
            <w:r>
              <w:rPr>
                <w:rFonts w:ascii="Arial" w:cs="Arial" w:eastAsia="Arial" w:hAnsi="Arial"/>
                <w:sz w:val="15"/>
                <w:szCs w:val="15"/>
                <w:color w:val="auto"/>
              </w:rPr>
              <w:t>CapitalSouth Partners SBIC Fund III, L.P.</w:t>
            </w:r>
          </w:p>
        </w:tc>
        <w:tc>
          <w:tcPr>
            <w:tcW w:w="2440" w:type="dxa"/>
            <w:vAlign w:val="bottom"/>
          </w:tcPr>
          <w:p>
            <w:pPr>
              <w:ind w:left="660"/>
              <w:spacing w:after="0"/>
              <w:rPr>
                <w:sz w:val="20"/>
                <w:szCs w:val="20"/>
                <w:color w:val="auto"/>
              </w:rPr>
            </w:pPr>
            <w:r>
              <w:rPr>
                <w:rFonts w:ascii="Arial" w:cs="Arial" w:eastAsia="Arial" w:hAnsi="Arial"/>
                <w:sz w:val="15"/>
                <w:szCs w:val="15"/>
                <w:color w:val="auto"/>
              </w:rPr>
              <w:t>Large accelerated filer</w:t>
            </w:r>
          </w:p>
        </w:tc>
        <w:tc>
          <w:tcPr>
            <w:tcW w:w="14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3160" w:type="dxa"/>
            <w:vAlign w:val="bottom"/>
          </w:tcPr>
          <w:p>
            <w:pPr>
              <w:ind w:left="1020"/>
              <w:spacing w:after="0"/>
              <w:rPr>
                <w:sz w:val="20"/>
                <w:szCs w:val="20"/>
                <w:color w:val="auto"/>
              </w:rPr>
            </w:pPr>
            <w:r>
              <w:rPr>
                <w:rFonts w:ascii="Arial" w:cs="Arial" w:eastAsia="Arial" w:hAnsi="Arial"/>
                <w:sz w:val="15"/>
                <w:szCs w:val="15"/>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62"/>
        </w:trPr>
        <w:tc>
          <w:tcPr>
            <w:tcW w:w="368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Arial" w:cs="Arial" w:eastAsia="Arial" w:hAnsi="Arial"/>
                <w:sz w:val="15"/>
                <w:szCs w:val="15"/>
                <w:color w:val="auto"/>
              </w:rPr>
              <w:t>Non-accelerated filer</w:t>
            </w:r>
          </w:p>
        </w:tc>
        <w:tc>
          <w:tcPr>
            <w:tcW w:w="1440" w:type="dxa"/>
            <w:vAlign w:val="bottom"/>
          </w:tcPr>
          <w:p>
            <w:pPr>
              <w:ind w:left="400"/>
              <w:spacing w:after="0"/>
              <w:rPr>
                <w:sz w:val="20"/>
                <w:szCs w:val="20"/>
                <w:color w:val="auto"/>
              </w:rPr>
            </w:pPr>
            <w:r>
              <w:rPr>
                <w:rFonts w:ascii="Arial" w:cs="Arial" w:eastAsia="Arial" w:hAnsi="Arial"/>
                <w:sz w:val="15"/>
                <w:szCs w:val="15"/>
                <w:color w:val="auto"/>
              </w:rPr>
              <w:t>x</w:t>
            </w:r>
          </w:p>
        </w:tc>
        <w:tc>
          <w:tcPr>
            <w:tcW w:w="3160" w:type="dxa"/>
            <w:vAlign w:val="bottom"/>
          </w:tcPr>
          <w:p>
            <w:pPr>
              <w:ind w:left="1020"/>
              <w:spacing w:after="0"/>
              <w:rPr>
                <w:sz w:val="20"/>
                <w:szCs w:val="20"/>
                <w:color w:val="auto"/>
              </w:rPr>
            </w:pPr>
            <w:r>
              <w:rPr>
                <w:rFonts w:ascii="Arial" w:cs="Arial" w:eastAsia="Arial" w:hAnsi="Arial"/>
                <w:sz w:val="15"/>
                <w:szCs w:val="15"/>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5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341" w:lineRule="exact"/>
        <w:rPr>
          <w:sz w:val="20"/>
          <w:szCs w:val="20"/>
          <w:color w:val="auto"/>
        </w:rPr>
      </w:pPr>
    </w:p>
    <w:tbl>
      <w:tblPr>
        <w:tblLayout w:type="fixed"/>
        <w:tblInd w:w="1080" w:type="dxa"/>
        <w:tblCellMar>
          <w:top w:w="0" w:type="dxa"/>
          <w:left w:w="0" w:type="dxa"/>
          <w:bottom w:w="0" w:type="dxa"/>
          <w:right w:w="0" w:type="dxa"/>
        </w:tblCellMar>
      </w:tblPr>
      <w:tr>
        <w:trPr>
          <w:trHeight w:val="181"/>
        </w:trPr>
        <w:tc>
          <w:tcPr>
            <w:tcW w:w="4420" w:type="dxa"/>
            <w:vAlign w:val="bottom"/>
          </w:tcPr>
          <w:p>
            <w:pPr>
              <w:spacing w:after="0"/>
              <w:rPr>
                <w:sz w:val="20"/>
                <w:szCs w:val="20"/>
                <w:color w:val="auto"/>
              </w:rPr>
            </w:pPr>
            <w:r>
              <w:rPr>
                <w:rFonts w:ascii="Arial" w:cs="Arial" w:eastAsia="Arial" w:hAnsi="Arial"/>
                <w:sz w:val="15"/>
                <w:szCs w:val="15"/>
                <w:color w:val="auto"/>
              </w:rPr>
              <w:t>Capitala Finance Corp.</w:t>
            </w:r>
          </w:p>
        </w:tc>
        <w:tc>
          <w:tcPr>
            <w:tcW w:w="2020" w:type="dxa"/>
            <w:vAlign w:val="bottom"/>
            <w:gridSpan w:val="2"/>
          </w:tcPr>
          <w:p>
            <w:pPr>
              <w:ind w:left="136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560" w:type="dxa"/>
            <w:vAlign w:val="bottom"/>
            <w:gridSpan w:val="2"/>
          </w:tcPr>
          <w:p>
            <w:pPr>
              <w:ind w:left="240"/>
              <w:spacing w:after="0"/>
              <w:rPr>
                <w:sz w:val="20"/>
                <w:szCs w:val="20"/>
                <w:color w:val="auto"/>
              </w:rPr>
            </w:pPr>
            <w:r>
              <w:rPr>
                <w:rFonts w:ascii="Arial" w:cs="Arial" w:eastAsia="Arial" w:hAnsi="Arial"/>
                <w:sz w:val="15"/>
                <w:szCs w:val="15"/>
                <w:color w:val="auto"/>
                <w:w w:val="97"/>
              </w:rPr>
              <w:t>No x</w:t>
            </w:r>
          </w:p>
        </w:tc>
      </w:tr>
      <w:tr>
        <w:trPr>
          <w:trHeight w:val="181"/>
        </w:trPr>
        <w:tc>
          <w:tcPr>
            <w:tcW w:w="4420" w:type="dxa"/>
            <w:vAlign w:val="bottom"/>
          </w:tcPr>
          <w:p>
            <w:pPr>
              <w:spacing w:after="0"/>
              <w:rPr>
                <w:sz w:val="20"/>
                <w:szCs w:val="20"/>
                <w:color w:val="auto"/>
              </w:rPr>
            </w:pPr>
            <w:r>
              <w:rPr>
                <w:rFonts w:ascii="Arial" w:cs="Arial" w:eastAsia="Arial" w:hAnsi="Arial"/>
                <w:sz w:val="15"/>
                <w:szCs w:val="15"/>
                <w:color w:val="auto"/>
              </w:rPr>
              <w:t>CapitalSouth Partners Fund II Limited Partnership</w:t>
            </w:r>
          </w:p>
        </w:tc>
        <w:tc>
          <w:tcPr>
            <w:tcW w:w="1620" w:type="dxa"/>
            <w:vAlign w:val="bottom"/>
          </w:tcPr>
          <w:p>
            <w:pPr>
              <w:ind w:left="1360"/>
              <w:spacing w:after="0"/>
              <w:rPr>
                <w:sz w:val="20"/>
                <w:szCs w:val="20"/>
                <w:color w:val="auto"/>
              </w:rPr>
            </w:pPr>
            <w:r>
              <w:rPr>
                <w:rFonts w:ascii="Arial" w:cs="Arial" w:eastAsia="Arial" w:hAnsi="Arial"/>
                <w:sz w:val="15"/>
                <w:szCs w:val="15"/>
                <w:color w:val="auto"/>
                <w:w w:val="92"/>
              </w:rPr>
              <w:t>Yes</w:t>
            </w:r>
          </w:p>
        </w:tc>
        <w:tc>
          <w:tcPr>
            <w:tcW w:w="40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460" w:type="dxa"/>
            <w:vAlign w:val="bottom"/>
          </w:tcPr>
          <w:p>
            <w:pPr>
              <w:ind w:left="240"/>
              <w:spacing w:after="0"/>
              <w:rPr>
                <w:sz w:val="20"/>
                <w:szCs w:val="20"/>
                <w:color w:val="auto"/>
              </w:rPr>
            </w:pPr>
            <w:r>
              <w:rPr>
                <w:rFonts w:ascii="Arial" w:cs="Arial" w:eastAsia="Arial" w:hAnsi="Arial"/>
                <w:sz w:val="15"/>
                <w:szCs w:val="15"/>
                <w:color w:val="auto"/>
              </w:rPr>
              <w:t>No</w:t>
            </w:r>
          </w:p>
        </w:tc>
        <w:tc>
          <w:tcPr>
            <w:tcW w:w="100" w:type="dxa"/>
            <w:vAlign w:val="bottom"/>
          </w:tcPr>
          <w:p>
            <w:pPr>
              <w:ind w:left="40"/>
              <w:spacing w:after="0"/>
              <w:rPr>
                <w:sz w:val="20"/>
                <w:szCs w:val="20"/>
                <w:color w:val="auto"/>
              </w:rPr>
            </w:pPr>
            <w:r>
              <w:rPr>
                <w:rFonts w:ascii="Arial" w:cs="Arial" w:eastAsia="Arial" w:hAnsi="Arial"/>
                <w:sz w:val="11"/>
                <w:szCs w:val="11"/>
                <w:color w:val="auto"/>
                <w:w w:val="71"/>
              </w:rPr>
              <w:t>x</w:t>
            </w:r>
          </w:p>
        </w:tc>
      </w:tr>
      <w:tr>
        <w:trPr>
          <w:trHeight w:val="238"/>
        </w:trPr>
        <w:tc>
          <w:tcPr>
            <w:tcW w:w="4420" w:type="dxa"/>
            <w:vAlign w:val="bottom"/>
          </w:tcPr>
          <w:p>
            <w:pPr>
              <w:spacing w:after="0"/>
              <w:rPr>
                <w:sz w:val="20"/>
                <w:szCs w:val="20"/>
                <w:color w:val="auto"/>
              </w:rPr>
            </w:pPr>
            <w:r>
              <w:rPr>
                <w:rFonts w:ascii="Arial" w:cs="Arial" w:eastAsia="Arial" w:hAnsi="Arial"/>
                <w:sz w:val="15"/>
                <w:szCs w:val="15"/>
                <w:color w:val="auto"/>
              </w:rPr>
              <w:t>CapitalSouth Partners SBIC Fund III, L.P.</w:t>
            </w:r>
          </w:p>
        </w:tc>
        <w:tc>
          <w:tcPr>
            <w:tcW w:w="1620" w:type="dxa"/>
            <w:vAlign w:val="bottom"/>
          </w:tcPr>
          <w:p>
            <w:pPr>
              <w:ind w:left="1360"/>
              <w:spacing w:after="0"/>
              <w:rPr>
                <w:sz w:val="20"/>
                <w:szCs w:val="20"/>
                <w:color w:val="auto"/>
              </w:rPr>
            </w:pPr>
            <w:r>
              <w:rPr>
                <w:rFonts w:ascii="Arial" w:cs="Arial" w:eastAsia="Arial" w:hAnsi="Arial"/>
                <w:sz w:val="15"/>
                <w:szCs w:val="15"/>
                <w:color w:val="auto"/>
                <w:w w:val="92"/>
              </w:rPr>
              <w:t>Yes</w:t>
            </w:r>
          </w:p>
        </w:tc>
        <w:tc>
          <w:tcPr>
            <w:tcW w:w="40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460" w:type="dxa"/>
            <w:vAlign w:val="bottom"/>
          </w:tcPr>
          <w:p>
            <w:pPr>
              <w:ind w:left="240"/>
              <w:spacing w:after="0"/>
              <w:rPr>
                <w:sz w:val="20"/>
                <w:szCs w:val="20"/>
                <w:color w:val="auto"/>
              </w:rPr>
            </w:pPr>
            <w:r>
              <w:rPr>
                <w:rFonts w:ascii="Arial" w:cs="Arial" w:eastAsia="Arial" w:hAnsi="Arial"/>
                <w:sz w:val="15"/>
                <w:szCs w:val="15"/>
                <w:color w:val="auto"/>
              </w:rPr>
              <w:t>No</w:t>
            </w:r>
          </w:p>
        </w:tc>
        <w:tc>
          <w:tcPr>
            <w:tcW w:w="100" w:type="dxa"/>
            <w:vAlign w:val="bottom"/>
          </w:tcPr>
          <w:p>
            <w:pPr>
              <w:ind w:left="40"/>
              <w:spacing w:after="0"/>
              <w:rPr>
                <w:sz w:val="20"/>
                <w:szCs w:val="20"/>
                <w:color w:val="auto"/>
              </w:rPr>
            </w:pPr>
            <w:r>
              <w:rPr>
                <w:rFonts w:ascii="Arial" w:cs="Arial" w:eastAsia="Arial" w:hAnsi="Arial"/>
                <w:sz w:val="11"/>
                <w:szCs w:val="11"/>
                <w:color w:val="auto"/>
                <w:w w:val="71"/>
              </w:rPr>
              <w:t>x</w:t>
            </w:r>
          </w:p>
        </w:tc>
      </w:tr>
    </w:tbl>
    <w:p>
      <w:pPr>
        <w:spacing w:after="0" w:line="154" w:lineRule="exact"/>
        <w:rPr>
          <w:sz w:val="20"/>
          <w:szCs w:val="20"/>
          <w:color w:val="auto"/>
        </w:rPr>
      </w:pPr>
    </w:p>
    <w:p>
      <w:pPr>
        <w:jc w:val="both"/>
        <w:ind w:right="40" w:firstLine="369"/>
        <w:spacing w:after="0" w:line="264" w:lineRule="auto"/>
        <w:rPr>
          <w:sz w:val="20"/>
          <w:szCs w:val="20"/>
          <w:color w:val="auto"/>
        </w:rPr>
      </w:pPr>
      <w:r>
        <w:rPr>
          <w:rFonts w:ascii="Arial" w:cs="Arial" w:eastAsia="Arial" w:hAnsi="Arial"/>
          <w:sz w:val="15"/>
          <w:szCs w:val="15"/>
          <w:color w:val="auto"/>
        </w:rPr>
        <w:t>The aggregate market value of the registrant’s common stock held by non-affiliates of the registrant as of June 28, 2013 was zero because trading of the registrant’s common stock on the NASDAQ Global Select Market did not commence until September 25, 2013. The aggregate market value of the registrant’s common stock held by non-affiliates of the registrant as of December 31, 2013 was $221.1 million.</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number of shares of Capitala Finance Corp.’s common stock, $0.01 par value, outstanding as of March 27, 2014 was 12,974,420.</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Documents Incorporated by Reference</w:t>
      </w:r>
    </w:p>
    <w:p>
      <w:pPr>
        <w:spacing w:after="0" w:line="193" w:lineRule="exact"/>
        <w:rPr>
          <w:sz w:val="20"/>
          <w:szCs w:val="20"/>
          <w:color w:val="auto"/>
        </w:rPr>
      </w:pPr>
    </w:p>
    <w:p>
      <w:pPr>
        <w:ind w:firstLine="369"/>
        <w:spacing w:after="0" w:line="264" w:lineRule="auto"/>
        <w:rPr>
          <w:sz w:val="20"/>
          <w:szCs w:val="20"/>
          <w:color w:val="auto"/>
        </w:rPr>
      </w:pPr>
      <w:r>
        <w:rPr>
          <w:rFonts w:ascii="Arial" w:cs="Arial" w:eastAsia="Arial" w:hAnsi="Arial"/>
          <w:sz w:val="15"/>
          <w:szCs w:val="15"/>
          <w:color w:val="auto"/>
        </w:rPr>
        <w:t>Portions of the registrant’s definitive proxy statement to be filed with the Securities and Exchange Commission pursuant to Regulation 14A relating to the registrant’s 2014 Annual Meeting of Stockholders, to be filed with the Securities and Exchange Commission within 120 days following the end of the Company’s fiscal year, are incorporated by reference in Part III of this Annual Report 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112395</wp:posOffset>
            </wp:positionV>
            <wp:extent cx="726884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84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140970</wp:posOffset>
            </wp:positionV>
            <wp:extent cx="726884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84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492760</wp:posOffset>
            </wp:positionV>
            <wp:extent cx="726884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360"/>
          </w:cols>
          <w:pgMar w:left="240" w:top="280"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120" w:type="dxa"/>
            <w:vAlign w:val="bottom"/>
            <w:gridSpan w:val="6"/>
          </w:tcPr>
          <w:p>
            <w:pPr>
              <w:ind w:left="360"/>
              <w:spacing w:after="0"/>
              <w:rPr>
                <w:sz w:val="20"/>
                <w:szCs w:val="20"/>
                <w:color w:val="auto"/>
              </w:rPr>
            </w:pPr>
            <w:r>
              <w:rPr>
                <w:rFonts w:ascii="Arial" w:cs="Arial" w:eastAsia="Arial" w:hAnsi="Arial"/>
                <w:sz w:val="15"/>
                <w:szCs w:val="15"/>
                <w:b w:val="1"/>
                <w:bCs w:val="1"/>
                <w:color w:val="auto"/>
              </w:rPr>
              <w:t>TABLE OF CONTENTS</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0" w:type="dxa"/>
            <w:vAlign w:val="bottom"/>
            <w:gridSpan w:val="2"/>
          </w:tcPr>
          <w:p>
            <w:pPr>
              <w:ind w:left="220"/>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620" w:type="dxa"/>
            <w:vAlign w:val="bottom"/>
            <w:gridSpan w:val="6"/>
            <w:shd w:val="clear" w:color="auto" w:fill="CCFFCC"/>
          </w:tcPr>
          <w:p>
            <w:pPr>
              <w:spacing w:after="0" w:line="147" w:lineRule="exact"/>
              <w:rPr>
                <w:rFonts w:ascii="Arial" w:cs="Arial" w:eastAsia="Arial" w:hAnsi="Arial"/>
                <w:sz w:val="15"/>
                <w:szCs w:val="15"/>
                <w:color w:val="0000EE"/>
              </w:rPr>
            </w:pPr>
            <w:hyperlink w:anchor="page4">
              <w:r>
                <w:rPr>
                  <w:rFonts w:ascii="Arial" w:cs="Arial" w:eastAsia="Arial" w:hAnsi="Arial"/>
                  <w:sz w:val="15"/>
                  <w:szCs w:val="15"/>
                  <w:color w:val="0000EE"/>
                </w:rPr>
                <w:t>PART I</w:t>
              </w:r>
            </w:hyperlink>
          </w:p>
        </w:tc>
        <w:tc>
          <w:tcPr>
            <w:tcW w:w="160" w:type="dxa"/>
            <w:vAlign w:val="bottom"/>
            <w:shd w:val="clear" w:color="auto" w:fill="CCFFCC"/>
          </w:tcPr>
          <w:p>
            <w:pPr>
              <w:spacing w:after="0"/>
              <w:rPr>
                <w:sz w:val="13"/>
                <w:szCs w:val="13"/>
                <w:color w:val="auto"/>
              </w:rPr>
            </w:pPr>
          </w:p>
        </w:tc>
        <w:tc>
          <w:tcPr>
            <w:tcW w:w="56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c>
          <w:tcPr>
            <w:tcW w:w="64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760" w:type="dxa"/>
            <w:vAlign w:val="bottom"/>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760" w:type="dxa"/>
            <w:vAlign w:val="bottom"/>
            <w:shd w:val="clear" w:color="auto" w:fill="CCFFCC"/>
          </w:tcPr>
          <w:p>
            <w:pPr>
              <w:spacing w:after="0"/>
              <w:rPr>
                <w:sz w:val="13"/>
                <w:szCs w:val="13"/>
                <w:color w:val="auto"/>
              </w:rPr>
            </w:pPr>
          </w:p>
        </w:tc>
        <w:tc>
          <w:tcPr>
            <w:tcW w:w="580" w:type="dxa"/>
            <w:vAlign w:val="bottom"/>
            <w:shd w:val="clear" w:color="auto" w:fill="CCFFCC"/>
          </w:tcPr>
          <w:p>
            <w:pPr>
              <w:spacing w:after="0"/>
              <w:rPr>
                <w:sz w:val="13"/>
                <w:szCs w:val="13"/>
                <w:color w:val="auto"/>
              </w:rPr>
            </w:pPr>
          </w:p>
        </w:tc>
        <w:tc>
          <w:tcPr>
            <w:tcW w:w="3080" w:type="dxa"/>
            <w:vAlign w:val="bottom"/>
            <w:shd w:val="clear" w:color="auto" w:fill="CCFFCC"/>
          </w:tcPr>
          <w:p>
            <w:pPr>
              <w:spacing w:after="0"/>
              <w:rPr>
                <w:sz w:val="13"/>
                <w:szCs w:val="13"/>
                <w:color w:val="auto"/>
              </w:rPr>
            </w:pPr>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40" w:type="dxa"/>
            <w:vAlign w:val="bottom"/>
            <w:tcBorders>
              <w:top w:val="single" w:sz="8" w:color="CCFFCC"/>
            </w:tcBorders>
          </w:tcPr>
          <w:p>
            <w:pPr>
              <w:spacing w:after="0"/>
              <w:rPr>
                <w:sz w:val="15"/>
                <w:szCs w:val="15"/>
                <w:color w:val="auto"/>
              </w:rPr>
            </w:pPr>
          </w:p>
        </w:tc>
        <w:tc>
          <w:tcPr>
            <w:tcW w:w="8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56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8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100" w:type="dxa"/>
            <w:vAlign w:val="bottom"/>
            <w:tcBorders>
              <w:top w:val="single" w:sz="8" w:color="CCFFCC"/>
            </w:tcBorders>
          </w:tcPr>
          <w:p>
            <w:pPr>
              <w:spacing w:after="0"/>
              <w:rPr>
                <w:sz w:val="15"/>
                <w:szCs w:val="15"/>
                <w:color w:val="auto"/>
              </w:rPr>
            </w:pPr>
          </w:p>
        </w:tc>
        <w:tc>
          <w:tcPr>
            <w:tcW w:w="240" w:type="dxa"/>
            <w:vAlign w:val="bottom"/>
            <w:tcBorders>
              <w:top w:val="single" w:sz="8" w:color="CCFFCC"/>
            </w:tcBorders>
          </w:tcPr>
          <w:p>
            <w:pPr>
              <w:spacing w:after="0"/>
              <w:rPr>
                <w:sz w:val="15"/>
                <w:szCs w:val="15"/>
                <w:color w:val="auto"/>
              </w:rPr>
            </w:pPr>
          </w:p>
        </w:tc>
        <w:tc>
          <w:tcPr>
            <w:tcW w:w="64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72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4">
              <w:r>
                <w:rPr>
                  <w:rFonts w:ascii="Arial" w:cs="Arial" w:eastAsia="Arial" w:hAnsi="Arial"/>
                  <w:sz w:val="15"/>
                  <w:szCs w:val="15"/>
                  <w:color w:val="0000EE"/>
                </w:rPr>
                <w:t>Item</w:t>
              </w:r>
            </w:hyperlink>
          </w:p>
        </w:tc>
        <w:tc>
          <w:tcPr>
            <w:tcW w:w="160" w:type="dxa"/>
            <w:vAlign w:val="bottom"/>
            <w:shd w:val="clear" w:color="auto" w:fill="CCFFCC"/>
          </w:tcPr>
          <w:p>
            <w:pPr>
              <w:ind w:left="20"/>
              <w:spacing w:after="0" w:line="147" w:lineRule="exact"/>
              <w:rPr>
                <w:rFonts w:ascii="Arial" w:cs="Arial" w:eastAsia="Arial" w:hAnsi="Arial"/>
                <w:sz w:val="15"/>
                <w:szCs w:val="15"/>
                <w:color w:val="0000EE"/>
                <w:w w:val="95"/>
              </w:rPr>
            </w:pPr>
            <w:hyperlink w:anchor="page4">
              <w:r>
                <w:rPr>
                  <w:rFonts w:ascii="Arial" w:cs="Arial" w:eastAsia="Arial" w:hAnsi="Arial"/>
                  <w:sz w:val="15"/>
                  <w:szCs w:val="15"/>
                  <w:color w:val="0000EE"/>
                  <w:w w:val="95"/>
                </w:rPr>
                <w:t>1.</w:t>
              </w:r>
            </w:hyperlink>
          </w:p>
        </w:tc>
        <w:tc>
          <w:tcPr>
            <w:tcW w:w="9860" w:type="dxa"/>
            <w:vAlign w:val="bottom"/>
            <w:gridSpan w:val="20"/>
            <w:shd w:val="clear" w:color="auto" w:fill="CCFFCC"/>
          </w:tcPr>
          <w:p>
            <w:pPr>
              <w:ind w:left="20"/>
              <w:spacing w:after="0" w:line="147" w:lineRule="exact"/>
              <w:rPr>
                <w:rFonts w:ascii="Arial" w:cs="Arial" w:eastAsia="Arial" w:hAnsi="Arial"/>
                <w:sz w:val="15"/>
                <w:szCs w:val="15"/>
                <w:color w:val="0000EE"/>
              </w:rPr>
            </w:pPr>
            <w:hyperlink w:anchor="page4">
              <w:r>
                <w:rPr>
                  <w:rFonts w:ascii="Arial" w:cs="Arial" w:eastAsia="Arial" w:hAnsi="Arial"/>
                  <w:sz w:val="15"/>
                  <w:szCs w:val="15"/>
                  <w:color w:val="0000EE"/>
                </w:rPr>
                <w:t>Business</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gridSpan w:val="2"/>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8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100" w:type="dxa"/>
            <w:vAlign w:val="bottom"/>
            <w:tcBorders>
              <w:top w:val="single" w:sz="8" w:color="CCFFCC"/>
            </w:tcBorders>
          </w:tcPr>
          <w:p>
            <w:pPr>
              <w:spacing w:after="0"/>
              <w:rPr>
                <w:sz w:val="15"/>
                <w:szCs w:val="15"/>
                <w:color w:val="auto"/>
              </w:rPr>
            </w:pPr>
          </w:p>
        </w:tc>
        <w:tc>
          <w:tcPr>
            <w:tcW w:w="240" w:type="dxa"/>
            <w:vAlign w:val="bottom"/>
            <w:tcBorders>
              <w:top w:val="single" w:sz="8" w:color="CCFFCC"/>
            </w:tcBorders>
          </w:tcPr>
          <w:p>
            <w:pPr>
              <w:spacing w:after="0"/>
              <w:rPr>
                <w:sz w:val="15"/>
                <w:szCs w:val="15"/>
                <w:color w:val="auto"/>
              </w:rPr>
            </w:pPr>
          </w:p>
        </w:tc>
        <w:tc>
          <w:tcPr>
            <w:tcW w:w="64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72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28">
              <w:r>
                <w:rPr>
                  <w:rFonts w:ascii="Arial" w:cs="Arial" w:eastAsia="Arial" w:hAnsi="Arial"/>
                  <w:sz w:val="15"/>
                  <w:szCs w:val="15"/>
                  <w:color w:val="0000EE"/>
                </w:rPr>
                <w:t>Item</w:t>
              </w:r>
            </w:hyperlink>
          </w:p>
        </w:tc>
        <w:tc>
          <w:tcPr>
            <w:tcW w:w="10020" w:type="dxa"/>
            <w:vAlign w:val="bottom"/>
            <w:gridSpan w:val="21"/>
            <w:shd w:val="clear" w:color="auto" w:fill="CCFFCC"/>
          </w:tcPr>
          <w:p>
            <w:pPr>
              <w:ind w:left="20"/>
              <w:spacing w:after="0" w:line="147" w:lineRule="exact"/>
              <w:rPr>
                <w:rFonts w:ascii="Arial" w:cs="Arial" w:eastAsia="Arial" w:hAnsi="Arial"/>
                <w:sz w:val="15"/>
                <w:szCs w:val="15"/>
                <w:color w:val="0000EE"/>
              </w:rPr>
            </w:pPr>
            <w:hyperlink w:anchor="page28">
              <w:r>
                <w:rPr>
                  <w:rFonts w:ascii="Arial" w:cs="Arial" w:eastAsia="Arial" w:hAnsi="Arial"/>
                  <w:sz w:val="15"/>
                  <w:szCs w:val="15"/>
                  <w:color w:val="0000EE"/>
                </w:rPr>
                <w:t>1A. Risk Factors</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27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gridSpan w:val="2"/>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8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100" w:type="dxa"/>
            <w:vAlign w:val="bottom"/>
            <w:tcBorders>
              <w:top w:val="single" w:sz="8" w:color="CCFFCC"/>
            </w:tcBorders>
          </w:tcPr>
          <w:p>
            <w:pPr>
              <w:spacing w:after="0"/>
              <w:rPr>
                <w:sz w:val="15"/>
                <w:szCs w:val="15"/>
                <w:color w:val="auto"/>
              </w:rPr>
            </w:pPr>
          </w:p>
        </w:tc>
        <w:tc>
          <w:tcPr>
            <w:tcW w:w="240" w:type="dxa"/>
            <w:vAlign w:val="bottom"/>
            <w:tcBorders>
              <w:top w:val="single" w:sz="8" w:color="CCFFCC"/>
            </w:tcBorders>
          </w:tcPr>
          <w:p>
            <w:pPr>
              <w:spacing w:after="0"/>
              <w:rPr>
                <w:sz w:val="15"/>
                <w:szCs w:val="15"/>
                <w:color w:val="auto"/>
              </w:rPr>
            </w:pPr>
          </w:p>
        </w:tc>
        <w:tc>
          <w:tcPr>
            <w:tcW w:w="64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72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50">
              <w:r>
                <w:rPr>
                  <w:rFonts w:ascii="Arial" w:cs="Arial" w:eastAsia="Arial" w:hAnsi="Arial"/>
                  <w:sz w:val="15"/>
                  <w:szCs w:val="15"/>
                  <w:color w:val="0000EE"/>
                </w:rPr>
                <w:t>Item</w:t>
              </w:r>
            </w:hyperlink>
          </w:p>
        </w:tc>
        <w:tc>
          <w:tcPr>
            <w:tcW w:w="10020" w:type="dxa"/>
            <w:vAlign w:val="bottom"/>
            <w:gridSpan w:val="21"/>
            <w:shd w:val="clear" w:color="auto" w:fill="CCFFCC"/>
          </w:tcPr>
          <w:p>
            <w:pPr>
              <w:ind w:left="20"/>
              <w:spacing w:after="0" w:line="147" w:lineRule="exact"/>
              <w:rPr>
                <w:rFonts w:ascii="Arial" w:cs="Arial" w:eastAsia="Arial" w:hAnsi="Arial"/>
                <w:sz w:val="15"/>
                <w:szCs w:val="15"/>
                <w:color w:val="0000EE"/>
              </w:rPr>
            </w:pPr>
            <w:hyperlink w:anchor="page50">
              <w:r>
                <w:rPr>
                  <w:rFonts w:ascii="Arial" w:cs="Arial" w:eastAsia="Arial" w:hAnsi="Arial"/>
                  <w:sz w:val="15"/>
                  <w:szCs w:val="15"/>
                  <w:color w:val="0000EE"/>
                </w:rPr>
                <w:t>1B. Unresolved Staff Comments</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49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4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72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50">
              <w:r>
                <w:rPr>
                  <w:rFonts w:ascii="Arial" w:cs="Arial" w:eastAsia="Arial" w:hAnsi="Arial"/>
                  <w:sz w:val="15"/>
                  <w:szCs w:val="15"/>
                  <w:color w:val="0000EE"/>
                </w:rPr>
                <w:t>Item</w:t>
              </w:r>
            </w:hyperlink>
          </w:p>
        </w:tc>
        <w:tc>
          <w:tcPr>
            <w:tcW w:w="160" w:type="dxa"/>
            <w:vAlign w:val="bottom"/>
            <w:shd w:val="clear" w:color="auto" w:fill="CCFFCC"/>
          </w:tcPr>
          <w:p>
            <w:pPr>
              <w:ind w:left="20"/>
              <w:spacing w:after="0" w:line="147" w:lineRule="exact"/>
              <w:rPr>
                <w:rFonts w:ascii="Arial" w:cs="Arial" w:eastAsia="Arial" w:hAnsi="Arial"/>
                <w:sz w:val="15"/>
                <w:szCs w:val="15"/>
                <w:color w:val="0000EE"/>
                <w:w w:val="95"/>
              </w:rPr>
            </w:pPr>
            <w:hyperlink w:anchor="page50">
              <w:r>
                <w:rPr>
                  <w:rFonts w:ascii="Arial" w:cs="Arial" w:eastAsia="Arial" w:hAnsi="Arial"/>
                  <w:sz w:val="15"/>
                  <w:szCs w:val="15"/>
                  <w:color w:val="0000EE"/>
                  <w:w w:val="95"/>
                </w:rPr>
                <w:t>2.</w:t>
              </w:r>
            </w:hyperlink>
          </w:p>
        </w:tc>
        <w:tc>
          <w:tcPr>
            <w:tcW w:w="9860" w:type="dxa"/>
            <w:vAlign w:val="bottom"/>
            <w:gridSpan w:val="20"/>
            <w:shd w:val="clear" w:color="auto" w:fill="CCFFCC"/>
          </w:tcPr>
          <w:p>
            <w:pPr>
              <w:ind w:left="20"/>
              <w:spacing w:after="0" w:line="147" w:lineRule="exact"/>
              <w:rPr>
                <w:rFonts w:ascii="Arial" w:cs="Arial" w:eastAsia="Arial" w:hAnsi="Arial"/>
                <w:sz w:val="15"/>
                <w:szCs w:val="15"/>
                <w:color w:val="0000EE"/>
              </w:rPr>
            </w:pPr>
            <w:hyperlink w:anchor="page50">
              <w:r>
                <w:rPr>
                  <w:rFonts w:ascii="Arial" w:cs="Arial" w:eastAsia="Arial" w:hAnsi="Arial"/>
                  <w:sz w:val="15"/>
                  <w:szCs w:val="15"/>
                  <w:color w:val="0000EE"/>
                </w:rPr>
                <w:t>Properties</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49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8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100" w:type="dxa"/>
            <w:vAlign w:val="bottom"/>
            <w:tcBorders>
              <w:top w:val="single" w:sz="8" w:color="CCFFCC"/>
            </w:tcBorders>
          </w:tcPr>
          <w:p>
            <w:pPr>
              <w:spacing w:after="0"/>
              <w:rPr>
                <w:sz w:val="15"/>
                <w:szCs w:val="15"/>
                <w:color w:val="auto"/>
              </w:rPr>
            </w:pPr>
          </w:p>
        </w:tc>
        <w:tc>
          <w:tcPr>
            <w:tcW w:w="240" w:type="dxa"/>
            <w:vAlign w:val="bottom"/>
            <w:tcBorders>
              <w:top w:val="single" w:sz="8" w:color="CCFFCC"/>
            </w:tcBorders>
          </w:tcPr>
          <w:p>
            <w:pPr>
              <w:spacing w:after="0"/>
              <w:rPr>
                <w:sz w:val="15"/>
                <w:szCs w:val="15"/>
                <w:color w:val="auto"/>
              </w:rPr>
            </w:pPr>
          </w:p>
        </w:tc>
        <w:tc>
          <w:tcPr>
            <w:tcW w:w="64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72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50">
              <w:r>
                <w:rPr>
                  <w:rFonts w:ascii="Arial" w:cs="Arial" w:eastAsia="Arial" w:hAnsi="Arial"/>
                  <w:sz w:val="15"/>
                  <w:szCs w:val="15"/>
                  <w:color w:val="0000EE"/>
                </w:rPr>
                <w:t>Item</w:t>
              </w:r>
            </w:hyperlink>
          </w:p>
        </w:tc>
        <w:tc>
          <w:tcPr>
            <w:tcW w:w="160" w:type="dxa"/>
            <w:vAlign w:val="bottom"/>
            <w:shd w:val="clear" w:color="auto" w:fill="CCFFCC"/>
          </w:tcPr>
          <w:p>
            <w:pPr>
              <w:ind w:left="20"/>
              <w:spacing w:after="0" w:line="147" w:lineRule="exact"/>
              <w:rPr>
                <w:rFonts w:ascii="Arial" w:cs="Arial" w:eastAsia="Arial" w:hAnsi="Arial"/>
                <w:sz w:val="15"/>
                <w:szCs w:val="15"/>
                <w:color w:val="0000EE"/>
                <w:w w:val="95"/>
              </w:rPr>
            </w:pPr>
            <w:hyperlink w:anchor="page50">
              <w:r>
                <w:rPr>
                  <w:rFonts w:ascii="Arial" w:cs="Arial" w:eastAsia="Arial" w:hAnsi="Arial"/>
                  <w:sz w:val="15"/>
                  <w:szCs w:val="15"/>
                  <w:color w:val="0000EE"/>
                  <w:w w:val="95"/>
                </w:rPr>
                <w:t>3.</w:t>
              </w:r>
            </w:hyperlink>
          </w:p>
        </w:tc>
        <w:tc>
          <w:tcPr>
            <w:tcW w:w="9860" w:type="dxa"/>
            <w:vAlign w:val="bottom"/>
            <w:gridSpan w:val="20"/>
            <w:shd w:val="clear" w:color="auto" w:fill="CCFFCC"/>
          </w:tcPr>
          <w:p>
            <w:pPr>
              <w:ind w:left="20"/>
              <w:spacing w:after="0" w:line="147" w:lineRule="exact"/>
              <w:rPr>
                <w:rFonts w:ascii="Arial" w:cs="Arial" w:eastAsia="Arial" w:hAnsi="Arial"/>
                <w:sz w:val="15"/>
                <w:szCs w:val="15"/>
                <w:color w:val="0000EE"/>
              </w:rPr>
            </w:pPr>
            <w:hyperlink w:anchor="page50">
              <w:r>
                <w:rPr>
                  <w:rFonts w:ascii="Arial" w:cs="Arial" w:eastAsia="Arial" w:hAnsi="Arial"/>
                  <w:sz w:val="15"/>
                  <w:szCs w:val="15"/>
                  <w:color w:val="0000EE"/>
                </w:rPr>
                <w:t>Legal Proceedings</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49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100" w:type="dxa"/>
            <w:vAlign w:val="bottom"/>
            <w:tcBorders>
              <w:top w:val="single" w:sz="8" w:color="CCFFCC"/>
            </w:tcBorders>
          </w:tcPr>
          <w:p>
            <w:pPr>
              <w:spacing w:after="0"/>
              <w:rPr>
                <w:sz w:val="15"/>
                <w:szCs w:val="15"/>
                <w:color w:val="auto"/>
              </w:rPr>
            </w:pPr>
          </w:p>
        </w:tc>
        <w:tc>
          <w:tcPr>
            <w:tcW w:w="240" w:type="dxa"/>
            <w:vAlign w:val="bottom"/>
            <w:tcBorders>
              <w:top w:val="single" w:sz="8" w:color="CCFFCC"/>
            </w:tcBorders>
          </w:tcPr>
          <w:p>
            <w:pPr>
              <w:spacing w:after="0"/>
              <w:rPr>
                <w:sz w:val="15"/>
                <w:szCs w:val="15"/>
                <w:color w:val="auto"/>
              </w:rPr>
            </w:pPr>
          </w:p>
        </w:tc>
        <w:tc>
          <w:tcPr>
            <w:tcW w:w="64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72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50">
              <w:r>
                <w:rPr>
                  <w:rFonts w:ascii="Arial" w:cs="Arial" w:eastAsia="Arial" w:hAnsi="Arial"/>
                  <w:sz w:val="15"/>
                  <w:szCs w:val="15"/>
                  <w:color w:val="0000EE"/>
                </w:rPr>
                <w:t>Item</w:t>
              </w:r>
            </w:hyperlink>
          </w:p>
        </w:tc>
        <w:tc>
          <w:tcPr>
            <w:tcW w:w="160" w:type="dxa"/>
            <w:vAlign w:val="bottom"/>
            <w:shd w:val="clear" w:color="auto" w:fill="CCFFCC"/>
          </w:tcPr>
          <w:p>
            <w:pPr>
              <w:ind w:left="20"/>
              <w:spacing w:after="0" w:line="147" w:lineRule="exact"/>
              <w:rPr>
                <w:rFonts w:ascii="Arial" w:cs="Arial" w:eastAsia="Arial" w:hAnsi="Arial"/>
                <w:sz w:val="15"/>
                <w:szCs w:val="15"/>
                <w:color w:val="0000EE"/>
                <w:w w:val="95"/>
              </w:rPr>
            </w:pPr>
            <w:hyperlink w:anchor="page50">
              <w:r>
                <w:rPr>
                  <w:rFonts w:ascii="Arial" w:cs="Arial" w:eastAsia="Arial" w:hAnsi="Arial"/>
                  <w:sz w:val="15"/>
                  <w:szCs w:val="15"/>
                  <w:color w:val="0000EE"/>
                  <w:w w:val="95"/>
                </w:rPr>
                <w:t>4.</w:t>
              </w:r>
            </w:hyperlink>
          </w:p>
        </w:tc>
        <w:tc>
          <w:tcPr>
            <w:tcW w:w="9860" w:type="dxa"/>
            <w:vAlign w:val="bottom"/>
            <w:gridSpan w:val="20"/>
            <w:shd w:val="clear" w:color="auto" w:fill="CCFFCC"/>
          </w:tcPr>
          <w:p>
            <w:pPr>
              <w:ind w:left="20"/>
              <w:spacing w:after="0" w:line="147" w:lineRule="exact"/>
              <w:rPr>
                <w:rFonts w:ascii="Arial" w:cs="Arial" w:eastAsia="Arial" w:hAnsi="Arial"/>
                <w:sz w:val="15"/>
                <w:szCs w:val="15"/>
                <w:color w:val="0000EE"/>
              </w:rPr>
            </w:pPr>
            <w:hyperlink w:anchor="page50">
              <w:r>
                <w:rPr>
                  <w:rFonts w:ascii="Arial" w:cs="Arial" w:eastAsia="Arial" w:hAnsi="Arial"/>
                  <w:sz w:val="15"/>
                  <w:szCs w:val="15"/>
                  <w:color w:val="0000EE"/>
                </w:rPr>
                <w:t>Mine Safety Disclosures</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49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CCFFCC"/>
            </w:tcBorders>
          </w:tcPr>
          <w:p>
            <w:pPr>
              <w:spacing w:after="0"/>
              <w:rPr>
                <w:sz w:val="15"/>
                <w:szCs w:val="15"/>
                <w:color w:val="auto"/>
              </w:rPr>
            </w:pPr>
          </w:p>
        </w:tc>
        <w:tc>
          <w:tcPr>
            <w:tcW w:w="240" w:type="dxa"/>
            <w:vAlign w:val="bottom"/>
            <w:tcBorders>
              <w:top w:val="single" w:sz="8" w:color="CCFFCC"/>
            </w:tcBorders>
          </w:tcPr>
          <w:p>
            <w:pPr>
              <w:spacing w:after="0"/>
              <w:rPr>
                <w:sz w:val="15"/>
                <w:szCs w:val="15"/>
                <w:color w:val="auto"/>
              </w:rPr>
            </w:pPr>
          </w:p>
        </w:tc>
        <w:tc>
          <w:tcPr>
            <w:tcW w:w="64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72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620" w:type="dxa"/>
            <w:vAlign w:val="bottom"/>
            <w:gridSpan w:val="6"/>
            <w:shd w:val="clear" w:color="auto" w:fill="CCFFCC"/>
          </w:tcPr>
          <w:p>
            <w:pPr>
              <w:spacing w:after="0" w:line="147" w:lineRule="exact"/>
              <w:rPr>
                <w:rFonts w:ascii="Arial" w:cs="Arial" w:eastAsia="Arial" w:hAnsi="Arial"/>
                <w:sz w:val="15"/>
                <w:szCs w:val="15"/>
                <w:color w:val="0000EE"/>
              </w:rPr>
            </w:pPr>
            <w:hyperlink w:anchor="page51">
              <w:r>
                <w:rPr>
                  <w:rFonts w:ascii="Arial" w:cs="Arial" w:eastAsia="Arial" w:hAnsi="Arial"/>
                  <w:sz w:val="15"/>
                  <w:szCs w:val="15"/>
                  <w:color w:val="0000EE"/>
                </w:rPr>
                <w:t>PART II</w:t>
              </w:r>
            </w:hyperlink>
          </w:p>
        </w:tc>
        <w:tc>
          <w:tcPr>
            <w:tcW w:w="160" w:type="dxa"/>
            <w:vAlign w:val="bottom"/>
            <w:shd w:val="clear" w:color="auto" w:fill="CCFFCC"/>
          </w:tcPr>
          <w:p>
            <w:pPr>
              <w:spacing w:after="0"/>
              <w:rPr>
                <w:sz w:val="13"/>
                <w:szCs w:val="13"/>
                <w:color w:val="auto"/>
              </w:rPr>
            </w:pPr>
          </w:p>
        </w:tc>
        <w:tc>
          <w:tcPr>
            <w:tcW w:w="56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c>
          <w:tcPr>
            <w:tcW w:w="64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760" w:type="dxa"/>
            <w:vAlign w:val="bottom"/>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760" w:type="dxa"/>
            <w:vAlign w:val="bottom"/>
            <w:shd w:val="clear" w:color="auto" w:fill="CCFFCC"/>
          </w:tcPr>
          <w:p>
            <w:pPr>
              <w:spacing w:after="0"/>
              <w:rPr>
                <w:sz w:val="13"/>
                <w:szCs w:val="13"/>
                <w:color w:val="auto"/>
              </w:rPr>
            </w:pPr>
          </w:p>
        </w:tc>
        <w:tc>
          <w:tcPr>
            <w:tcW w:w="580" w:type="dxa"/>
            <w:vAlign w:val="bottom"/>
            <w:shd w:val="clear" w:color="auto" w:fill="CCFFCC"/>
          </w:tcPr>
          <w:p>
            <w:pPr>
              <w:spacing w:after="0"/>
              <w:rPr>
                <w:sz w:val="13"/>
                <w:szCs w:val="13"/>
                <w:color w:val="auto"/>
              </w:rPr>
            </w:pPr>
          </w:p>
        </w:tc>
        <w:tc>
          <w:tcPr>
            <w:tcW w:w="3080" w:type="dxa"/>
            <w:vAlign w:val="bottom"/>
            <w:shd w:val="clear" w:color="auto" w:fill="CCFFCC"/>
          </w:tcPr>
          <w:p>
            <w:pPr>
              <w:spacing w:after="0"/>
              <w:rPr>
                <w:sz w:val="13"/>
                <w:szCs w:val="13"/>
                <w:color w:val="auto"/>
              </w:rPr>
            </w:pPr>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50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CCFFCC"/>
            </w:tcBorders>
          </w:tcPr>
          <w:p>
            <w:pPr>
              <w:spacing w:after="0"/>
              <w:rPr>
                <w:sz w:val="15"/>
                <w:szCs w:val="15"/>
                <w:color w:val="auto"/>
              </w:rPr>
            </w:pPr>
          </w:p>
        </w:tc>
        <w:tc>
          <w:tcPr>
            <w:tcW w:w="8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56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8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100" w:type="dxa"/>
            <w:vAlign w:val="bottom"/>
            <w:tcBorders>
              <w:top w:val="single" w:sz="8" w:color="CCFFCC"/>
            </w:tcBorders>
          </w:tcPr>
          <w:p>
            <w:pPr>
              <w:spacing w:after="0"/>
              <w:rPr>
                <w:sz w:val="15"/>
                <w:szCs w:val="15"/>
                <w:color w:val="auto"/>
              </w:rPr>
            </w:pPr>
          </w:p>
        </w:tc>
        <w:tc>
          <w:tcPr>
            <w:tcW w:w="240" w:type="dxa"/>
            <w:vAlign w:val="bottom"/>
            <w:tcBorders>
              <w:top w:val="single" w:sz="8" w:color="CCFFCC"/>
            </w:tcBorders>
          </w:tcPr>
          <w:p>
            <w:pPr>
              <w:spacing w:after="0"/>
              <w:rPr>
                <w:sz w:val="15"/>
                <w:szCs w:val="15"/>
                <w:color w:val="auto"/>
              </w:rPr>
            </w:pPr>
          </w:p>
        </w:tc>
        <w:tc>
          <w:tcPr>
            <w:tcW w:w="64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72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51">
              <w:r>
                <w:rPr>
                  <w:rFonts w:ascii="Arial" w:cs="Arial" w:eastAsia="Arial" w:hAnsi="Arial"/>
                  <w:sz w:val="15"/>
                  <w:szCs w:val="15"/>
                  <w:color w:val="0000EE"/>
                </w:rPr>
                <w:t>Item</w:t>
              </w:r>
            </w:hyperlink>
          </w:p>
        </w:tc>
        <w:tc>
          <w:tcPr>
            <w:tcW w:w="160" w:type="dxa"/>
            <w:vAlign w:val="bottom"/>
            <w:shd w:val="clear" w:color="auto" w:fill="CCFFCC"/>
          </w:tcPr>
          <w:p>
            <w:pPr>
              <w:ind w:left="20"/>
              <w:spacing w:after="0" w:line="147" w:lineRule="exact"/>
              <w:rPr>
                <w:rFonts w:ascii="Arial" w:cs="Arial" w:eastAsia="Arial" w:hAnsi="Arial"/>
                <w:sz w:val="15"/>
                <w:szCs w:val="15"/>
                <w:color w:val="0000EE"/>
                <w:w w:val="95"/>
              </w:rPr>
            </w:pPr>
            <w:hyperlink w:anchor="page51">
              <w:r>
                <w:rPr>
                  <w:rFonts w:ascii="Arial" w:cs="Arial" w:eastAsia="Arial" w:hAnsi="Arial"/>
                  <w:sz w:val="15"/>
                  <w:szCs w:val="15"/>
                  <w:color w:val="0000EE"/>
                  <w:w w:val="95"/>
                </w:rPr>
                <w:t>5.</w:t>
              </w:r>
            </w:hyperlink>
          </w:p>
        </w:tc>
        <w:tc>
          <w:tcPr>
            <w:tcW w:w="9860" w:type="dxa"/>
            <w:vAlign w:val="bottom"/>
            <w:gridSpan w:val="20"/>
            <w:shd w:val="clear" w:color="auto" w:fill="CCFFCC"/>
          </w:tcPr>
          <w:p>
            <w:pPr>
              <w:ind w:left="20"/>
              <w:spacing w:after="0" w:line="147" w:lineRule="exact"/>
              <w:rPr>
                <w:rFonts w:ascii="Arial" w:cs="Arial" w:eastAsia="Arial" w:hAnsi="Arial"/>
                <w:sz w:val="15"/>
                <w:szCs w:val="15"/>
                <w:color w:val="0000EE"/>
              </w:rPr>
            </w:pPr>
            <w:hyperlink w:anchor="page51">
              <w:r>
                <w:rPr>
                  <w:rFonts w:ascii="Arial" w:cs="Arial" w:eastAsia="Arial" w:hAnsi="Arial"/>
                  <w:sz w:val="15"/>
                  <w:szCs w:val="15"/>
                  <w:color w:val="0000EE"/>
                </w:rPr>
                <w:t>Market for Registrant’s Common Equity, Related Stockholder Matters and Issuer Purchases of Equity Securities</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50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54">
              <w:r>
                <w:rPr>
                  <w:rFonts w:ascii="Arial" w:cs="Arial" w:eastAsia="Arial" w:hAnsi="Arial"/>
                  <w:sz w:val="15"/>
                  <w:szCs w:val="15"/>
                  <w:color w:val="0000EE"/>
                </w:rPr>
                <w:t>Item</w:t>
              </w:r>
            </w:hyperlink>
          </w:p>
        </w:tc>
        <w:tc>
          <w:tcPr>
            <w:tcW w:w="160" w:type="dxa"/>
            <w:vAlign w:val="bottom"/>
            <w:shd w:val="clear" w:color="auto" w:fill="CCFFCC"/>
          </w:tcPr>
          <w:p>
            <w:pPr>
              <w:ind w:left="20"/>
              <w:spacing w:after="0" w:line="147" w:lineRule="exact"/>
              <w:rPr>
                <w:rFonts w:ascii="Arial" w:cs="Arial" w:eastAsia="Arial" w:hAnsi="Arial"/>
                <w:sz w:val="15"/>
                <w:szCs w:val="15"/>
                <w:color w:val="0000EE"/>
                <w:w w:val="95"/>
              </w:rPr>
            </w:pPr>
            <w:hyperlink w:anchor="page54">
              <w:r>
                <w:rPr>
                  <w:rFonts w:ascii="Arial" w:cs="Arial" w:eastAsia="Arial" w:hAnsi="Arial"/>
                  <w:sz w:val="15"/>
                  <w:szCs w:val="15"/>
                  <w:color w:val="0000EE"/>
                  <w:w w:val="95"/>
                </w:rPr>
                <w:t>6.</w:t>
              </w:r>
            </w:hyperlink>
          </w:p>
        </w:tc>
        <w:tc>
          <w:tcPr>
            <w:tcW w:w="9860" w:type="dxa"/>
            <w:vAlign w:val="bottom"/>
            <w:gridSpan w:val="20"/>
            <w:shd w:val="clear" w:color="auto" w:fill="CCFFCC"/>
          </w:tcPr>
          <w:p>
            <w:pPr>
              <w:ind w:left="20"/>
              <w:spacing w:after="0" w:line="147" w:lineRule="exact"/>
              <w:rPr>
                <w:rFonts w:ascii="Arial" w:cs="Arial" w:eastAsia="Arial" w:hAnsi="Arial"/>
                <w:sz w:val="15"/>
                <w:szCs w:val="15"/>
                <w:color w:val="0000EE"/>
              </w:rPr>
            </w:pPr>
            <w:hyperlink w:anchor="page54">
              <w:r>
                <w:rPr>
                  <w:rFonts w:ascii="Arial" w:cs="Arial" w:eastAsia="Arial" w:hAnsi="Arial"/>
                  <w:sz w:val="15"/>
                  <w:szCs w:val="15"/>
                  <w:color w:val="0000EE"/>
                </w:rPr>
                <w:t>Selected Financial Data</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53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100" w:type="dxa"/>
            <w:vAlign w:val="bottom"/>
            <w:tcBorders>
              <w:top w:val="single" w:sz="8" w:color="CCFFCC"/>
            </w:tcBorders>
          </w:tcPr>
          <w:p>
            <w:pPr>
              <w:spacing w:after="0"/>
              <w:rPr>
                <w:sz w:val="15"/>
                <w:szCs w:val="15"/>
                <w:color w:val="auto"/>
              </w:rPr>
            </w:pPr>
          </w:p>
        </w:tc>
        <w:tc>
          <w:tcPr>
            <w:tcW w:w="240" w:type="dxa"/>
            <w:vAlign w:val="bottom"/>
            <w:tcBorders>
              <w:top w:val="single" w:sz="8" w:color="CCFFCC"/>
            </w:tcBorders>
          </w:tcPr>
          <w:p>
            <w:pPr>
              <w:spacing w:after="0"/>
              <w:rPr>
                <w:sz w:val="15"/>
                <w:szCs w:val="15"/>
                <w:color w:val="auto"/>
              </w:rPr>
            </w:pPr>
          </w:p>
        </w:tc>
        <w:tc>
          <w:tcPr>
            <w:tcW w:w="64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72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55">
              <w:r>
                <w:rPr>
                  <w:rFonts w:ascii="Arial" w:cs="Arial" w:eastAsia="Arial" w:hAnsi="Arial"/>
                  <w:sz w:val="15"/>
                  <w:szCs w:val="15"/>
                  <w:color w:val="0000EE"/>
                </w:rPr>
                <w:t>Item</w:t>
              </w:r>
            </w:hyperlink>
          </w:p>
        </w:tc>
        <w:tc>
          <w:tcPr>
            <w:tcW w:w="160" w:type="dxa"/>
            <w:vAlign w:val="bottom"/>
            <w:shd w:val="clear" w:color="auto" w:fill="CCFFCC"/>
          </w:tcPr>
          <w:p>
            <w:pPr>
              <w:ind w:left="20"/>
              <w:spacing w:after="0" w:line="147" w:lineRule="exact"/>
              <w:rPr>
                <w:rFonts w:ascii="Arial" w:cs="Arial" w:eastAsia="Arial" w:hAnsi="Arial"/>
                <w:sz w:val="15"/>
                <w:szCs w:val="15"/>
                <w:color w:val="0000EE"/>
                <w:w w:val="95"/>
              </w:rPr>
            </w:pPr>
            <w:hyperlink w:anchor="page55">
              <w:r>
                <w:rPr>
                  <w:rFonts w:ascii="Arial" w:cs="Arial" w:eastAsia="Arial" w:hAnsi="Arial"/>
                  <w:sz w:val="15"/>
                  <w:szCs w:val="15"/>
                  <w:color w:val="0000EE"/>
                  <w:w w:val="95"/>
                </w:rPr>
                <w:t>7.</w:t>
              </w:r>
            </w:hyperlink>
          </w:p>
        </w:tc>
        <w:tc>
          <w:tcPr>
            <w:tcW w:w="9860" w:type="dxa"/>
            <w:vAlign w:val="bottom"/>
            <w:gridSpan w:val="20"/>
            <w:shd w:val="clear" w:color="auto" w:fill="CCFFCC"/>
          </w:tcPr>
          <w:p>
            <w:pPr>
              <w:ind w:left="20"/>
              <w:spacing w:after="0" w:line="147" w:lineRule="exact"/>
              <w:rPr>
                <w:rFonts w:ascii="Arial" w:cs="Arial" w:eastAsia="Arial" w:hAnsi="Arial"/>
                <w:sz w:val="15"/>
                <w:szCs w:val="15"/>
                <w:color w:val="0000EE"/>
              </w:rPr>
            </w:pPr>
            <w:hyperlink w:anchor="page55">
              <w:r>
                <w:rPr>
                  <w:rFonts w:ascii="Arial" w:cs="Arial" w:eastAsia="Arial" w:hAnsi="Arial"/>
                  <w:sz w:val="15"/>
                  <w:szCs w:val="15"/>
                  <w:color w:val="0000EE"/>
                </w:rPr>
                <w:t>Management’s Discussion and Analysis of Financial Condition and Results of Operations</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54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gridSpan w:val="2"/>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68">
              <w:r>
                <w:rPr>
                  <w:rFonts w:ascii="Arial" w:cs="Arial" w:eastAsia="Arial" w:hAnsi="Arial"/>
                  <w:sz w:val="15"/>
                  <w:szCs w:val="15"/>
                  <w:color w:val="0000EE"/>
                </w:rPr>
                <w:t>Item</w:t>
              </w:r>
            </w:hyperlink>
          </w:p>
        </w:tc>
        <w:tc>
          <w:tcPr>
            <w:tcW w:w="10020" w:type="dxa"/>
            <w:vAlign w:val="bottom"/>
            <w:gridSpan w:val="21"/>
            <w:shd w:val="clear" w:color="auto" w:fill="CCFFCC"/>
          </w:tcPr>
          <w:p>
            <w:pPr>
              <w:ind w:left="20"/>
              <w:spacing w:after="0" w:line="147" w:lineRule="exact"/>
              <w:rPr>
                <w:rFonts w:ascii="Arial" w:cs="Arial" w:eastAsia="Arial" w:hAnsi="Arial"/>
                <w:sz w:val="15"/>
                <w:szCs w:val="15"/>
                <w:color w:val="0000EE"/>
              </w:rPr>
            </w:pPr>
            <w:hyperlink w:anchor="page68">
              <w:r>
                <w:rPr>
                  <w:rFonts w:ascii="Arial" w:cs="Arial" w:eastAsia="Arial" w:hAnsi="Arial"/>
                  <w:sz w:val="15"/>
                  <w:szCs w:val="15"/>
                  <w:color w:val="0000EE"/>
                </w:rPr>
                <w:t>7A. Quantitative and Qualitative Disclosures about Market Risk</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67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9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51">
              <w:r>
                <w:rPr>
                  <w:rFonts w:ascii="Arial" w:cs="Arial" w:eastAsia="Arial" w:hAnsi="Arial"/>
                  <w:sz w:val="15"/>
                  <w:szCs w:val="15"/>
                  <w:color w:val="0000EE"/>
                </w:rPr>
                <w:t>Item</w:t>
              </w:r>
            </w:hyperlink>
          </w:p>
        </w:tc>
        <w:tc>
          <w:tcPr>
            <w:tcW w:w="160" w:type="dxa"/>
            <w:vAlign w:val="bottom"/>
            <w:shd w:val="clear" w:color="auto" w:fill="CCFFCC"/>
          </w:tcPr>
          <w:p>
            <w:pPr>
              <w:ind w:left="20"/>
              <w:spacing w:after="0" w:line="147" w:lineRule="exact"/>
              <w:rPr>
                <w:rFonts w:ascii="Arial" w:cs="Arial" w:eastAsia="Arial" w:hAnsi="Arial"/>
                <w:sz w:val="15"/>
                <w:szCs w:val="15"/>
                <w:color w:val="0000EE"/>
                <w:w w:val="95"/>
              </w:rPr>
            </w:pPr>
            <w:hyperlink w:anchor="page51">
              <w:r>
                <w:rPr>
                  <w:rFonts w:ascii="Arial" w:cs="Arial" w:eastAsia="Arial" w:hAnsi="Arial"/>
                  <w:sz w:val="15"/>
                  <w:szCs w:val="15"/>
                  <w:color w:val="0000EE"/>
                  <w:w w:val="95"/>
                </w:rPr>
                <w:t>8.</w:t>
              </w:r>
            </w:hyperlink>
          </w:p>
        </w:tc>
        <w:tc>
          <w:tcPr>
            <w:tcW w:w="9860" w:type="dxa"/>
            <w:vAlign w:val="bottom"/>
            <w:gridSpan w:val="20"/>
            <w:shd w:val="clear" w:color="auto" w:fill="CCFFCC"/>
          </w:tcPr>
          <w:p>
            <w:pPr>
              <w:ind w:left="20"/>
              <w:spacing w:after="0" w:line="147" w:lineRule="exact"/>
              <w:rPr>
                <w:rFonts w:ascii="Arial" w:cs="Arial" w:eastAsia="Arial" w:hAnsi="Arial"/>
                <w:sz w:val="15"/>
                <w:szCs w:val="15"/>
                <w:color w:val="0000EE"/>
              </w:rPr>
            </w:pPr>
            <w:hyperlink w:anchor="page51">
              <w:r>
                <w:rPr>
                  <w:rFonts w:ascii="Arial" w:cs="Arial" w:eastAsia="Arial" w:hAnsi="Arial"/>
                  <w:sz w:val="15"/>
                  <w:szCs w:val="15"/>
                  <w:color w:val="0000EE"/>
                </w:rPr>
                <w:t>Financial Statements and Supplementary Data</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68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72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99">
              <w:r>
                <w:rPr>
                  <w:rFonts w:ascii="Arial" w:cs="Arial" w:eastAsia="Arial" w:hAnsi="Arial"/>
                  <w:sz w:val="15"/>
                  <w:szCs w:val="15"/>
                  <w:color w:val="0000EE"/>
                </w:rPr>
                <w:t>Item</w:t>
              </w:r>
            </w:hyperlink>
          </w:p>
        </w:tc>
        <w:tc>
          <w:tcPr>
            <w:tcW w:w="160" w:type="dxa"/>
            <w:vAlign w:val="bottom"/>
            <w:shd w:val="clear" w:color="auto" w:fill="CCFFCC"/>
          </w:tcPr>
          <w:p>
            <w:pPr>
              <w:ind w:left="20"/>
              <w:spacing w:after="0" w:line="147" w:lineRule="exact"/>
              <w:rPr>
                <w:rFonts w:ascii="Arial" w:cs="Arial" w:eastAsia="Arial" w:hAnsi="Arial"/>
                <w:sz w:val="15"/>
                <w:szCs w:val="15"/>
                <w:color w:val="0000EE"/>
                <w:w w:val="95"/>
              </w:rPr>
            </w:pPr>
            <w:hyperlink w:anchor="page99">
              <w:r>
                <w:rPr>
                  <w:rFonts w:ascii="Arial" w:cs="Arial" w:eastAsia="Arial" w:hAnsi="Arial"/>
                  <w:sz w:val="15"/>
                  <w:szCs w:val="15"/>
                  <w:color w:val="0000EE"/>
                  <w:w w:val="95"/>
                </w:rPr>
                <w:t>9.</w:t>
              </w:r>
            </w:hyperlink>
          </w:p>
        </w:tc>
        <w:tc>
          <w:tcPr>
            <w:tcW w:w="9860" w:type="dxa"/>
            <w:vAlign w:val="bottom"/>
            <w:gridSpan w:val="20"/>
            <w:shd w:val="clear" w:color="auto" w:fill="CCFFCC"/>
          </w:tcPr>
          <w:p>
            <w:pPr>
              <w:ind w:left="20"/>
              <w:spacing w:after="0" w:line="147" w:lineRule="exact"/>
              <w:rPr>
                <w:rFonts w:ascii="Arial" w:cs="Arial" w:eastAsia="Arial" w:hAnsi="Arial"/>
                <w:sz w:val="15"/>
                <w:szCs w:val="15"/>
                <w:color w:val="0000EE"/>
              </w:rPr>
            </w:pPr>
            <w:hyperlink w:anchor="page99">
              <w:r>
                <w:rPr>
                  <w:rFonts w:ascii="Arial" w:cs="Arial" w:eastAsia="Arial" w:hAnsi="Arial"/>
                  <w:sz w:val="15"/>
                  <w:szCs w:val="15"/>
                  <w:color w:val="0000EE"/>
                </w:rPr>
                <w:t>Changes in and Disagreements with Accountants on Accounting and Financial Disclosure</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69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gridSpan w:val="2"/>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99">
              <w:r>
                <w:rPr>
                  <w:rFonts w:ascii="Arial" w:cs="Arial" w:eastAsia="Arial" w:hAnsi="Arial"/>
                  <w:sz w:val="15"/>
                  <w:szCs w:val="15"/>
                  <w:color w:val="0000EE"/>
                </w:rPr>
                <w:t>Item</w:t>
              </w:r>
            </w:hyperlink>
          </w:p>
        </w:tc>
        <w:tc>
          <w:tcPr>
            <w:tcW w:w="10020" w:type="dxa"/>
            <w:vAlign w:val="bottom"/>
            <w:gridSpan w:val="21"/>
            <w:shd w:val="clear" w:color="auto" w:fill="CCFFCC"/>
          </w:tcPr>
          <w:p>
            <w:pPr>
              <w:ind w:left="20"/>
              <w:spacing w:after="0" w:line="147" w:lineRule="exact"/>
              <w:rPr>
                <w:rFonts w:ascii="Arial" w:cs="Arial" w:eastAsia="Arial" w:hAnsi="Arial"/>
                <w:sz w:val="15"/>
                <w:szCs w:val="15"/>
                <w:color w:val="0000EE"/>
              </w:rPr>
            </w:pPr>
            <w:hyperlink w:anchor="page99">
              <w:r>
                <w:rPr>
                  <w:rFonts w:ascii="Arial" w:cs="Arial" w:eastAsia="Arial" w:hAnsi="Arial"/>
                  <w:sz w:val="15"/>
                  <w:szCs w:val="15"/>
                  <w:color w:val="0000EE"/>
                </w:rPr>
                <w:t>9A. Controls and Procedures</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69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gridSpan w:val="2"/>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CCFFCC"/>
            </w:tcBorders>
          </w:tcPr>
          <w:p>
            <w:pPr>
              <w:spacing w:after="0"/>
              <w:rPr>
                <w:sz w:val="15"/>
                <w:szCs w:val="15"/>
                <w:color w:val="auto"/>
              </w:rPr>
            </w:pPr>
          </w:p>
        </w:tc>
        <w:tc>
          <w:tcPr>
            <w:tcW w:w="64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72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99">
              <w:r>
                <w:rPr>
                  <w:rFonts w:ascii="Arial" w:cs="Arial" w:eastAsia="Arial" w:hAnsi="Arial"/>
                  <w:sz w:val="15"/>
                  <w:szCs w:val="15"/>
                  <w:color w:val="0000EE"/>
                </w:rPr>
                <w:t>Item</w:t>
              </w:r>
            </w:hyperlink>
          </w:p>
        </w:tc>
        <w:tc>
          <w:tcPr>
            <w:tcW w:w="10020" w:type="dxa"/>
            <w:vAlign w:val="bottom"/>
            <w:gridSpan w:val="21"/>
            <w:shd w:val="clear" w:color="auto" w:fill="CCFFCC"/>
          </w:tcPr>
          <w:p>
            <w:pPr>
              <w:ind w:left="20"/>
              <w:spacing w:after="0" w:line="147" w:lineRule="exact"/>
              <w:rPr>
                <w:rFonts w:ascii="Arial" w:cs="Arial" w:eastAsia="Arial" w:hAnsi="Arial"/>
                <w:sz w:val="15"/>
                <w:szCs w:val="15"/>
                <w:color w:val="0000EE"/>
              </w:rPr>
            </w:pPr>
            <w:hyperlink w:anchor="page99">
              <w:r>
                <w:rPr>
                  <w:rFonts w:ascii="Arial" w:cs="Arial" w:eastAsia="Arial" w:hAnsi="Arial"/>
                  <w:sz w:val="15"/>
                  <w:szCs w:val="15"/>
                  <w:color w:val="0000EE"/>
                </w:rPr>
                <w:t>9B. Other Information</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69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100" w:type="dxa"/>
            <w:vAlign w:val="bottom"/>
            <w:tcBorders>
              <w:top w:val="single" w:sz="8" w:color="CCFFCC"/>
            </w:tcBorders>
          </w:tcPr>
          <w:p>
            <w:pPr>
              <w:spacing w:after="0"/>
              <w:rPr>
                <w:sz w:val="15"/>
                <w:szCs w:val="15"/>
                <w:color w:val="auto"/>
              </w:rPr>
            </w:pPr>
          </w:p>
        </w:tc>
        <w:tc>
          <w:tcPr>
            <w:tcW w:w="240" w:type="dxa"/>
            <w:vAlign w:val="bottom"/>
            <w:tcBorders>
              <w:top w:val="single" w:sz="8" w:color="CCFFCC"/>
            </w:tcBorders>
          </w:tcPr>
          <w:p>
            <w:pPr>
              <w:spacing w:after="0"/>
              <w:rPr>
                <w:sz w:val="15"/>
                <w:szCs w:val="15"/>
                <w:color w:val="auto"/>
              </w:rPr>
            </w:pPr>
          </w:p>
        </w:tc>
        <w:tc>
          <w:tcPr>
            <w:tcW w:w="64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72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620" w:type="dxa"/>
            <w:vAlign w:val="bottom"/>
            <w:gridSpan w:val="6"/>
            <w:shd w:val="clear" w:color="auto" w:fill="CCFFCC"/>
          </w:tcPr>
          <w:p>
            <w:pPr>
              <w:spacing w:after="0" w:line="147" w:lineRule="exact"/>
              <w:rPr>
                <w:rFonts w:ascii="Arial" w:cs="Arial" w:eastAsia="Arial" w:hAnsi="Arial"/>
                <w:sz w:val="15"/>
                <w:szCs w:val="15"/>
                <w:color w:val="0000EE"/>
              </w:rPr>
            </w:pPr>
            <w:hyperlink w:anchor="page100">
              <w:r>
                <w:rPr>
                  <w:rFonts w:ascii="Arial" w:cs="Arial" w:eastAsia="Arial" w:hAnsi="Arial"/>
                  <w:sz w:val="15"/>
                  <w:szCs w:val="15"/>
                  <w:color w:val="0000EE"/>
                </w:rPr>
                <w:t>PART III</w:t>
              </w:r>
            </w:hyperlink>
          </w:p>
        </w:tc>
        <w:tc>
          <w:tcPr>
            <w:tcW w:w="160" w:type="dxa"/>
            <w:vAlign w:val="bottom"/>
            <w:shd w:val="clear" w:color="auto" w:fill="CCFFCC"/>
          </w:tcPr>
          <w:p>
            <w:pPr>
              <w:spacing w:after="0"/>
              <w:rPr>
                <w:sz w:val="13"/>
                <w:szCs w:val="13"/>
                <w:color w:val="auto"/>
              </w:rPr>
            </w:pPr>
          </w:p>
        </w:tc>
        <w:tc>
          <w:tcPr>
            <w:tcW w:w="56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c>
          <w:tcPr>
            <w:tcW w:w="64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760" w:type="dxa"/>
            <w:vAlign w:val="bottom"/>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760" w:type="dxa"/>
            <w:vAlign w:val="bottom"/>
            <w:shd w:val="clear" w:color="auto" w:fill="CCFFCC"/>
          </w:tcPr>
          <w:p>
            <w:pPr>
              <w:spacing w:after="0"/>
              <w:rPr>
                <w:sz w:val="13"/>
                <w:szCs w:val="13"/>
                <w:color w:val="auto"/>
              </w:rPr>
            </w:pPr>
          </w:p>
        </w:tc>
        <w:tc>
          <w:tcPr>
            <w:tcW w:w="580" w:type="dxa"/>
            <w:vAlign w:val="bottom"/>
            <w:shd w:val="clear" w:color="auto" w:fill="CCFFCC"/>
          </w:tcPr>
          <w:p>
            <w:pPr>
              <w:spacing w:after="0"/>
              <w:rPr>
                <w:sz w:val="13"/>
                <w:szCs w:val="13"/>
                <w:color w:val="auto"/>
              </w:rPr>
            </w:pPr>
          </w:p>
        </w:tc>
        <w:tc>
          <w:tcPr>
            <w:tcW w:w="3080" w:type="dxa"/>
            <w:vAlign w:val="bottom"/>
            <w:shd w:val="clear" w:color="auto" w:fill="CCFFCC"/>
          </w:tcPr>
          <w:p>
            <w:pPr>
              <w:spacing w:after="0"/>
              <w:rPr>
                <w:sz w:val="13"/>
                <w:szCs w:val="13"/>
                <w:color w:val="auto"/>
              </w:rPr>
            </w:pPr>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70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20" w:type="dxa"/>
            <w:vAlign w:val="bottom"/>
            <w:tcBorders>
              <w:top w:val="single" w:sz="8" w:color="CCFFCC"/>
            </w:tcBorders>
            <w:gridSpan w:val="2"/>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8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100" w:type="dxa"/>
            <w:vAlign w:val="bottom"/>
            <w:tcBorders>
              <w:top w:val="single" w:sz="8" w:color="CCFFCC"/>
            </w:tcBorders>
          </w:tcPr>
          <w:p>
            <w:pPr>
              <w:spacing w:after="0"/>
              <w:rPr>
                <w:sz w:val="15"/>
                <w:szCs w:val="15"/>
                <w:color w:val="auto"/>
              </w:rPr>
            </w:pPr>
          </w:p>
        </w:tc>
        <w:tc>
          <w:tcPr>
            <w:tcW w:w="240" w:type="dxa"/>
            <w:vAlign w:val="bottom"/>
            <w:tcBorders>
              <w:top w:val="single" w:sz="8" w:color="CCFFCC"/>
            </w:tcBorders>
          </w:tcPr>
          <w:p>
            <w:pPr>
              <w:spacing w:after="0"/>
              <w:rPr>
                <w:sz w:val="15"/>
                <w:szCs w:val="15"/>
                <w:color w:val="auto"/>
              </w:rPr>
            </w:pPr>
          </w:p>
        </w:tc>
        <w:tc>
          <w:tcPr>
            <w:tcW w:w="64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72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100">
              <w:r>
                <w:rPr>
                  <w:rFonts w:ascii="Arial" w:cs="Arial" w:eastAsia="Arial" w:hAnsi="Arial"/>
                  <w:sz w:val="15"/>
                  <w:szCs w:val="15"/>
                  <w:color w:val="0000EE"/>
                </w:rPr>
                <w:t>Item</w:t>
              </w:r>
            </w:hyperlink>
          </w:p>
        </w:tc>
        <w:tc>
          <w:tcPr>
            <w:tcW w:w="10020" w:type="dxa"/>
            <w:vAlign w:val="bottom"/>
            <w:gridSpan w:val="21"/>
            <w:shd w:val="clear" w:color="auto" w:fill="CCFFCC"/>
          </w:tcPr>
          <w:p>
            <w:pPr>
              <w:ind w:left="20"/>
              <w:spacing w:after="0" w:line="147" w:lineRule="exact"/>
              <w:rPr>
                <w:rFonts w:ascii="Arial" w:cs="Arial" w:eastAsia="Arial" w:hAnsi="Arial"/>
                <w:sz w:val="15"/>
                <w:szCs w:val="15"/>
                <w:color w:val="0000EE"/>
              </w:rPr>
            </w:pPr>
            <w:hyperlink w:anchor="page100">
              <w:r>
                <w:rPr>
                  <w:rFonts w:ascii="Arial" w:cs="Arial" w:eastAsia="Arial" w:hAnsi="Arial"/>
                  <w:sz w:val="15"/>
                  <w:szCs w:val="15"/>
                  <w:color w:val="0000EE"/>
                </w:rPr>
                <w:t>10. Directors, Executive Officers and Corporate Governance</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70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gridSpan w:val="2"/>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100">
              <w:r>
                <w:rPr>
                  <w:rFonts w:ascii="Arial" w:cs="Arial" w:eastAsia="Arial" w:hAnsi="Arial"/>
                  <w:sz w:val="15"/>
                  <w:szCs w:val="15"/>
                  <w:color w:val="0000EE"/>
                </w:rPr>
                <w:t>Item</w:t>
              </w:r>
            </w:hyperlink>
          </w:p>
        </w:tc>
        <w:tc>
          <w:tcPr>
            <w:tcW w:w="10020" w:type="dxa"/>
            <w:vAlign w:val="bottom"/>
            <w:gridSpan w:val="21"/>
            <w:shd w:val="clear" w:color="auto" w:fill="CCFFCC"/>
          </w:tcPr>
          <w:p>
            <w:pPr>
              <w:ind w:left="20"/>
              <w:spacing w:after="0" w:line="147" w:lineRule="exact"/>
              <w:rPr>
                <w:rFonts w:ascii="Arial" w:cs="Arial" w:eastAsia="Arial" w:hAnsi="Arial"/>
                <w:sz w:val="15"/>
                <w:szCs w:val="15"/>
                <w:color w:val="0000EE"/>
              </w:rPr>
            </w:pPr>
            <w:hyperlink w:anchor="page100">
              <w:r>
                <w:rPr>
                  <w:rFonts w:ascii="Arial" w:cs="Arial" w:eastAsia="Arial" w:hAnsi="Arial"/>
                  <w:sz w:val="15"/>
                  <w:szCs w:val="15"/>
                  <w:color w:val="0000EE"/>
                </w:rPr>
                <w:t>11. Executive Compensation</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70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gridSpan w:val="2"/>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CCFFCC"/>
            </w:tcBorders>
          </w:tcPr>
          <w:p>
            <w:pPr>
              <w:spacing w:after="0"/>
              <w:rPr>
                <w:sz w:val="15"/>
                <w:szCs w:val="15"/>
                <w:color w:val="auto"/>
              </w:rPr>
            </w:pPr>
          </w:p>
        </w:tc>
        <w:tc>
          <w:tcPr>
            <w:tcW w:w="64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72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100">
              <w:r>
                <w:rPr>
                  <w:rFonts w:ascii="Arial" w:cs="Arial" w:eastAsia="Arial" w:hAnsi="Arial"/>
                  <w:sz w:val="15"/>
                  <w:szCs w:val="15"/>
                  <w:color w:val="0000EE"/>
                </w:rPr>
                <w:t>Item</w:t>
              </w:r>
            </w:hyperlink>
          </w:p>
        </w:tc>
        <w:tc>
          <w:tcPr>
            <w:tcW w:w="10020" w:type="dxa"/>
            <w:vAlign w:val="bottom"/>
            <w:gridSpan w:val="21"/>
            <w:shd w:val="clear" w:color="auto" w:fill="CCFFCC"/>
          </w:tcPr>
          <w:p>
            <w:pPr>
              <w:ind w:left="20"/>
              <w:spacing w:after="0" w:line="147" w:lineRule="exact"/>
              <w:rPr>
                <w:rFonts w:ascii="Arial" w:cs="Arial" w:eastAsia="Arial" w:hAnsi="Arial"/>
                <w:sz w:val="15"/>
                <w:szCs w:val="15"/>
                <w:color w:val="0000EE"/>
              </w:rPr>
            </w:pPr>
            <w:hyperlink w:anchor="page100">
              <w:r>
                <w:rPr>
                  <w:rFonts w:ascii="Arial" w:cs="Arial" w:eastAsia="Arial" w:hAnsi="Arial"/>
                  <w:sz w:val="15"/>
                  <w:szCs w:val="15"/>
                  <w:color w:val="0000EE"/>
                </w:rPr>
                <w:t>12. Security Ownership of Certain Beneficial Owners and Management and Related Stockholder Matters</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70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gridSpan w:val="2"/>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100">
              <w:r>
                <w:rPr>
                  <w:rFonts w:ascii="Arial" w:cs="Arial" w:eastAsia="Arial" w:hAnsi="Arial"/>
                  <w:sz w:val="15"/>
                  <w:szCs w:val="15"/>
                  <w:color w:val="0000EE"/>
                </w:rPr>
                <w:t>Item</w:t>
              </w:r>
            </w:hyperlink>
          </w:p>
        </w:tc>
        <w:tc>
          <w:tcPr>
            <w:tcW w:w="10020" w:type="dxa"/>
            <w:vAlign w:val="bottom"/>
            <w:gridSpan w:val="21"/>
            <w:shd w:val="clear" w:color="auto" w:fill="CCFFCC"/>
          </w:tcPr>
          <w:p>
            <w:pPr>
              <w:ind w:left="20"/>
              <w:spacing w:after="0" w:line="147" w:lineRule="exact"/>
              <w:rPr>
                <w:rFonts w:ascii="Arial" w:cs="Arial" w:eastAsia="Arial" w:hAnsi="Arial"/>
                <w:sz w:val="15"/>
                <w:szCs w:val="15"/>
                <w:color w:val="0000EE"/>
              </w:rPr>
            </w:pPr>
            <w:hyperlink w:anchor="page100">
              <w:r>
                <w:rPr>
                  <w:rFonts w:ascii="Arial" w:cs="Arial" w:eastAsia="Arial" w:hAnsi="Arial"/>
                  <w:sz w:val="15"/>
                  <w:szCs w:val="15"/>
                  <w:color w:val="0000EE"/>
                </w:rPr>
                <w:t>13. Certain Relationships and Related Transactions, and Director Independence</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70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gridSpan w:val="2"/>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100">
              <w:r>
                <w:rPr>
                  <w:rFonts w:ascii="Arial" w:cs="Arial" w:eastAsia="Arial" w:hAnsi="Arial"/>
                  <w:sz w:val="15"/>
                  <w:szCs w:val="15"/>
                  <w:color w:val="0000EE"/>
                </w:rPr>
                <w:t>Item</w:t>
              </w:r>
            </w:hyperlink>
          </w:p>
        </w:tc>
        <w:tc>
          <w:tcPr>
            <w:tcW w:w="10020" w:type="dxa"/>
            <w:vAlign w:val="bottom"/>
            <w:gridSpan w:val="21"/>
            <w:shd w:val="clear" w:color="auto" w:fill="CCFFCC"/>
          </w:tcPr>
          <w:p>
            <w:pPr>
              <w:ind w:left="20"/>
              <w:spacing w:after="0" w:line="147" w:lineRule="exact"/>
              <w:rPr>
                <w:rFonts w:ascii="Arial" w:cs="Arial" w:eastAsia="Arial" w:hAnsi="Arial"/>
                <w:sz w:val="15"/>
                <w:szCs w:val="15"/>
                <w:color w:val="0000EE"/>
              </w:rPr>
            </w:pPr>
            <w:hyperlink w:anchor="page100">
              <w:r>
                <w:rPr>
                  <w:rFonts w:ascii="Arial" w:cs="Arial" w:eastAsia="Arial" w:hAnsi="Arial"/>
                  <w:sz w:val="15"/>
                  <w:szCs w:val="15"/>
                  <w:color w:val="0000EE"/>
                </w:rPr>
                <w:t>14. Principal Accountant Fees and Services</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70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72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620" w:type="dxa"/>
            <w:vAlign w:val="bottom"/>
            <w:gridSpan w:val="6"/>
            <w:shd w:val="clear" w:color="auto" w:fill="CCFFCC"/>
          </w:tcPr>
          <w:p>
            <w:pPr>
              <w:spacing w:after="0" w:line="147" w:lineRule="exact"/>
              <w:rPr>
                <w:rFonts w:ascii="Arial" w:cs="Arial" w:eastAsia="Arial" w:hAnsi="Arial"/>
                <w:sz w:val="15"/>
                <w:szCs w:val="15"/>
                <w:color w:val="0000EE"/>
              </w:rPr>
            </w:pPr>
            <w:hyperlink w:anchor="page101">
              <w:r>
                <w:rPr>
                  <w:rFonts w:ascii="Arial" w:cs="Arial" w:eastAsia="Arial" w:hAnsi="Arial"/>
                  <w:sz w:val="15"/>
                  <w:szCs w:val="15"/>
                  <w:color w:val="0000EE"/>
                </w:rPr>
                <w:t>PART IV</w:t>
              </w:r>
            </w:hyperlink>
          </w:p>
        </w:tc>
        <w:tc>
          <w:tcPr>
            <w:tcW w:w="160" w:type="dxa"/>
            <w:vAlign w:val="bottom"/>
            <w:shd w:val="clear" w:color="auto" w:fill="CCFFCC"/>
          </w:tcPr>
          <w:p>
            <w:pPr>
              <w:spacing w:after="0"/>
              <w:rPr>
                <w:sz w:val="13"/>
                <w:szCs w:val="13"/>
                <w:color w:val="auto"/>
              </w:rPr>
            </w:pPr>
          </w:p>
        </w:tc>
        <w:tc>
          <w:tcPr>
            <w:tcW w:w="56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c>
          <w:tcPr>
            <w:tcW w:w="64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760" w:type="dxa"/>
            <w:vAlign w:val="bottom"/>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760" w:type="dxa"/>
            <w:vAlign w:val="bottom"/>
            <w:shd w:val="clear" w:color="auto" w:fill="CCFFCC"/>
          </w:tcPr>
          <w:p>
            <w:pPr>
              <w:spacing w:after="0"/>
              <w:rPr>
                <w:sz w:val="13"/>
                <w:szCs w:val="13"/>
                <w:color w:val="auto"/>
              </w:rPr>
            </w:pPr>
          </w:p>
        </w:tc>
        <w:tc>
          <w:tcPr>
            <w:tcW w:w="580" w:type="dxa"/>
            <w:vAlign w:val="bottom"/>
            <w:shd w:val="clear" w:color="auto" w:fill="CCFFCC"/>
          </w:tcPr>
          <w:p>
            <w:pPr>
              <w:spacing w:after="0"/>
              <w:rPr>
                <w:sz w:val="13"/>
                <w:szCs w:val="13"/>
                <w:color w:val="auto"/>
              </w:rPr>
            </w:pPr>
          </w:p>
        </w:tc>
        <w:tc>
          <w:tcPr>
            <w:tcW w:w="3080" w:type="dxa"/>
            <w:vAlign w:val="bottom"/>
            <w:shd w:val="clear" w:color="auto" w:fill="CCFFCC"/>
          </w:tcPr>
          <w:p>
            <w:pPr>
              <w:spacing w:after="0"/>
              <w:rPr>
                <w:sz w:val="13"/>
                <w:szCs w:val="13"/>
                <w:color w:val="auto"/>
              </w:rPr>
            </w:pPr>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71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20" w:type="dxa"/>
            <w:vAlign w:val="bottom"/>
            <w:tcBorders>
              <w:top w:val="single" w:sz="8" w:color="CCFFCC"/>
            </w:tcBorders>
            <w:gridSpan w:val="2"/>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8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100" w:type="dxa"/>
            <w:vAlign w:val="bottom"/>
            <w:tcBorders>
              <w:top w:val="single" w:sz="8" w:color="CCFFCC"/>
            </w:tcBorders>
          </w:tcPr>
          <w:p>
            <w:pPr>
              <w:spacing w:after="0"/>
              <w:rPr>
                <w:sz w:val="15"/>
                <w:szCs w:val="15"/>
                <w:color w:val="auto"/>
              </w:rPr>
            </w:pPr>
          </w:p>
        </w:tc>
        <w:tc>
          <w:tcPr>
            <w:tcW w:w="240" w:type="dxa"/>
            <w:vAlign w:val="bottom"/>
            <w:tcBorders>
              <w:top w:val="single" w:sz="8" w:color="CCFFCC"/>
            </w:tcBorders>
          </w:tcPr>
          <w:p>
            <w:pPr>
              <w:spacing w:after="0"/>
              <w:rPr>
                <w:sz w:val="15"/>
                <w:szCs w:val="15"/>
                <w:color w:val="auto"/>
              </w:rPr>
            </w:pPr>
          </w:p>
        </w:tc>
        <w:tc>
          <w:tcPr>
            <w:tcW w:w="64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72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rPr>
            </w:pPr>
            <w:hyperlink w:anchor="page101">
              <w:r>
                <w:rPr>
                  <w:rFonts w:ascii="Arial" w:cs="Arial" w:eastAsia="Arial" w:hAnsi="Arial"/>
                  <w:sz w:val="15"/>
                  <w:szCs w:val="15"/>
                  <w:color w:val="0000EE"/>
                </w:rPr>
                <w:t>Item</w:t>
              </w:r>
            </w:hyperlink>
          </w:p>
        </w:tc>
        <w:tc>
          <w:tcPr>
            <w:tcW w:w="10020" w:type="dxa"/>
            <w:vAlign w:val="bottom"/>
            <w:gridSpan w:val="21"/>
            <w:shd w:val="clear" w:color="auto" w:fill="CCFFCC"/>
          </w:tcPr>
          <w:p>
            <w:pPr>
              <w:ind w:left="20"/>
              <w:spacing w:after="0" w:line="147" w:lineRule="exact"/>
              <w:rPr>
                <w:rFonts w:ascii="Arial" w:cs="Arial" w:eastAsia="Arial" w:hAnsi="Arial"/>
                <w:sz w:val="15"/>
                <w:szCs w:val="15"/>
                <w:color w:val="0000EE"/>
              </w:rPr>
            </w:pPr>
            <w:hyperlink w:anchor="page101">
              <w:r>
                <w:rPr>
                  <w:rFonts w:ascii="Arial" w:cs="Arial" w:eastAsia="Arial" w:hAnsi="Arial"/>
                  <w:sz w:val="15"/>
                  <w:szCs w:val="15"/>
                  <w:color w:val="0000EE"/>
                </w:rPr>
                <w:t>15. Exhibits and Financial Statement Schedules</w:t>
              </w:r>
            </w:hyperlink>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71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340" w:type="dxa"/>
            <w:vAlign w:val="bottom"/>
            <w:tcBorders>
              <w:top w:val="single" w:sz="8" w:color="CCFFCC"/>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720" w:type="dxa"/>
            <w:vAlign w:val="bottom"/>
            <w:tcBorders>
              <w:top w:val="single" w:sz="8" w:color="CCFFCC"/>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20" w:type="dxa"/>
            <w:vAlign w:val="bottom"/>
            <w:tcBorders>
              <w:top w:val="single" w:sz="8" w:color="CCFFCC"/>
            </w:tcBorders>
          </w:tcPr>
          <w:p>
            <w:pPr>
              <w:spacing w:after="0"/>
              <w:rPr>
                <w:sz w:val="15"/>
                <w:szCs w:val="15"/>
                <w:color w:val="auto"/>
              </w:rPr>
            </w:pPr>
          </w:p>
        </w:tc>
        <w:tc>
          <w:tcPr>
            <w:tcW w:w="760" w:type="dxa"/>
            <w:vAlign w:val="bottom"/>
            <w:tcBorders>
              <w:top w:val="single" w:sz="8" w:color="CCFFCC"/>
            </w:tcBorders>
          </w:tcPr>
          <w:p>
            <w:pPr>
              <w:spacing w:after="0"/>
              <w:rPr>
                <w:sz w:val="15"/>
                <w:szCs w:val="15"/>
                <w:color w:val="auto"/>
              </w:rPr>
            </w:pPr>
          </w:p>
        </w:tc>
        <w:tc>
          <w:tcPr>
            <w:tcW w:w="580" w:type="dxa"/>
            <w:vAlign w:val="bottom"/>
            <w:tcBorders>
              <w:top w:val="single" w:sz="8" w:color="CCFFCC"/>
            </w:tcBorders>
          </w:tcPr>
          <w:p>
            <w:pPr>
              <w:spacing w:after="0"/>
              <w:rPr>
                <w:sz w:val="15"/>
                <w:szCs w:val="15"/>
                <w:color w:val="auto"/>
              </w:rPr>
            </w:pPr>
          </w:p>
        </w:tc>
        <w:tc>
          <w:tcPr>
            <w:tcW w:w="3080" w:type="dxa"/>
            <w:vAlign w:val="bottom"/>
            <w:tcBorders>
              <w:top w:val="single" w:sz="8" w:color="CCFFCC"/>
            </w:tcBorders>
          </w:tcPr>
          <w:p>
            <w:pPr>
              <w:spacing w:after="0"/>
              <w:rPr>
                <w:sz w:val="15"/>
                <w:szCs w:val="15"/>
                <w:color w:val="auto"/>
              </w:rPr>
            </w:pPr>
          </w:p>
        </w:tc>
        <w:tc>
          <w:tcPr>
            <w:tcW w:w="780" w:type="dxa"/>
            <w:vAlign w:val="bottom"/>
            <w:tcBorders>
              <w:top w:val="single" w:sz="8" w:color="CCFFCC"/>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620" w:type="dxa"/>
            <w:vAlign w:val="bottom"/>
            <w:gridSpan w:val="6"/>
            <w:shd w:val="clear" w:color="auto" w:fill="CCFFCC"/>
          </w:tcPr>
          <w:p>
            <w:pPr>
              <w:jc w:val="right"/>
              <w:ind w:right="20"/>
              <w:spacing w:after="0" w:line="147" w:lineRule="exact"/>
              <w:rPr>
                <w:rFonts w:ascii="Arial" w:cs="Arial" w:eastAsia="Arial" w:hAnsi="Arial"/>
                <w:sz w:val="15"/>
                <w:szCs w:val="15"/>
                <w:color w:val="0000EE"/>
                <w:w w:val="80"/>
              </w:rPr>
            </w:pPr>
            <w:hyperlink w:anchor="page103">
              <w:r>
                <w:rPr>
                  <w:rFonts w:ascii="Arial" w:cs="Arial" w:eastAsia="Arial" w:hAnsi="Arial"/>
                  <w:sz w:val="15"/>
                  <w:szCs w:val="15"/>
                  <w:color w:val="0000EE"/>
                  <w:w w:val="80"/>
                </w:rPr>
                <w:t>Signatures</w:t>
              </w:r>
            </w:hyperlink>
          </w:p>
        </w:tc>
        <w:tc>
          <w:tcPr>
            <w:tcW w:w="160" w:type="dxa"/>
            <w:vAlign w:val="bottom"/>
            <w:shd w:val="clear" w:color="auto" w:fill="CCFFCC"/>
          </w:tcPr>
          <w:p>
            <w:pPr>
              <w:spacing w:after="0"/>
              <w:rPr>
                <w:sz w:val="13"/>
                <w:szCs w:val="13"/>
                <w:color w:val="auto"/>
              </w:rPr>
            </w:pPr>
          </w:p>
        </w:tc>
        <w:tc>
          <w:tcPr>
            <w:tcW w:w="56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c>
          <w:tcPr>
            <w:tcW w:w="64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760" w:type="dxa"/>
            <w:vAlign w:val="bottom"/>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760" w:type="dxa"/>
            <w:vAlign w:val="bottom"/>
            <w:shd w:val="clear" w:color="auto" w:fill="CCFFCC"/>
          </w:tcPr>
          <w:p>
            <w:pPr>
              <w:spacing w:after="0"/>
              <w:rPr>
                <w:sz w:val="13"/>
                <w:szCs w:val="13"/>
                <w:color w:val="auto"/>
              </w:rPr>
            </w:pPr>
          </w:p>
        </w:tc>
        <w:tc>
          <w:tcPr>
            <w:tcW w:w="580" w:type="dxa"/>
            <w:vAlign w:val="bottom"/>
            <w:shd w:val="clear" w:color="auto" w:fill="CCFFCC"/>
          </w:tcPr>
          <w:p>
            <w:pPr>
              <w:spacing w:after="0"/>
              <w:rPr>
                <w:sz w:val="13"/>
                <w:szCs w:val="13"/>
                <w:color w:val="auto"/>
              </w:rPr>
            </w:pPr>
          </w:p>
        </w:tc>
        <w:tc>
          <w:tcPr>
            <w:tcW w:w="3080" w:type="dxa"/>
            <w:vAlign w:val="bottom"/>
            <w:shd w:val="clear" w:color="auto" w:fill="CCFFCC"/>
          </w:tcPr>
          <w:p>
            <w:pPr>
              <w:spacing w:after="0"/>
              <w:rPr>
                <w:sz w:val="13"/>
                <w:szCs w:val="13"/>
                <w:color w:val="auto"/>
              </w:rPr>
            </w:pPr>
          </w:p>
        </w:tc>
        <w:tc>
          <w:tcPr>
            <w:tcW w:w="780" w:type="dxa"/>
            <w:vAlign w:val="bottom"/>
            <w:shd w:val="clear" w:color="auto" w:fill="CCFFCC"/>
          </w:tcPr>
          <w:p>
            <w:pPr>
              <w:jc w:val="right"/>
              <w:spacing w:after="0" w:line="147" w:lineRule="exact"/>
              <w:rPr>
                <w:sz w:val="20"/>
                <w:szCs w:val="20"/>
                <w:color w:val="auto"/>
              </w:rPr>
            </w:pPr>
            <w:r>
              <w:rPr>
                <w:rFonts w:ascii="Arial" w:cs="Arial" w:eastAsia="Arial" w:hAnsi="Arial"/>
                <w:sz w:val="15"/>
                <w:szCs w:val="15"/>
                <w:color w:val="auto"/>
              </w:rPr>
              <w:t>73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5"/>
        </w:trPr>
        <w:tc>
          <w:tcPr>
            <w:tcW w:w="20" w:type="dxa"/>
            <w:vAlign w:val="bottom"/>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FFCC"/>
              <w:bottom w:val="single" w:sz="8" w:color="auto"/>
            </w:tcBorders>
          </w:tcPr>
          <w:p>
            <w:pPr>
              <w:spacing w:after="0"/>
              <w:rPr>
                <w:sz w:val="24"/>
                <w:szCs w:val="24"/>
                <w:color w:val="auto"/>
              </w:rPr>
            </w:pPr>
          </w:p>
        </w:tc>
        <w:tc>
          <w:tcPr>
            <w:tcW w:w="160" w:type="dxa"/>
            <w:vAlign w:val="bottom"/>
            <w:tcBorders>
              <w:top w:val="single" w:sz="8" w:color="CCFFCC"/>
              <w:bottom w:val="single" w:sz="8" w:color="auto"/>
            </w:tcBorders>
          </w:tcPr>
          <w:p>
            <w:pPr>
              <w:spacing w:after="0"/>
              <w:rPr>
                <w:sz w:val="24"/>
                <w:szCs w:val="24"/>
                <w:color w:val="auto"/>
              </w:rPr>
            </w:pPr>
          </w:p>
        </w:tc>
        <w:tc>
          <w:tcPr>
            <w:tcW w:w="5420" w:type="dxa"/>
            <w:vAlign w:val="bottom"/>
            <w:tcBorders>
              <w:top w:val="single" w:sz="8" w:color="CCFFCC"/>
              <w:bottom w:val="single" w:sz="8" w:color="auto"/>
            </w:tcBorders>
            <w:gridSpan w:val="16"/>
          </w:tcPr>
          <w:p>
            <w:pPr>
              <w:ind w:left="4880"/>
              <w:spacing w:after="0"/>
              <w:rPr>
                <w:sz w:val="20"/>
                <w:szCs w:val="20"/>
                <w:color w:val="auto"/>
              </w:rPr>
            </w:pPr>
            <w:r>
              <w:rPr>
                <w:rFonts w:ascii="Arial" w:cs="Arial" w:eastAsia="Arial" w:hAnsi="Arial"/>
                <w:sz w:val="15"/>
                <w:szCs w:val="15"/>
                <w:color w:val="auto"/>
              </w:rPr>
              <w:t>2</w:t>
            </w:r>
          </w:p>
        </w:tc>
        <w:tc>
          <w:tcPr>
            <w:tcW w:w="20" w:type="dxa"/>
            <w:vAlign w:val="bottom"/>
            <w:tcBorders>
              <w:top w:val="single" w:sz="8" w:color="CCFFCC"/>
              <w:bottom w:val="single" w:sz="8" w:color="auto"/>
            </w:tcBorders>
          </w:tcPr>
          <w:p>
            <w:pPr>
              <w:spacing w:after="0"/>
              <w:rPr>
                <w:sz w:val="24"/>
                <w:szCs w:val="24"/>
                <w:color w:val="auto"/>
              </w:rPr>
            </w:pPr>
          </w:p>
        </w:tc>
        <w:tc>
          <w:tcPr>
            <w:tcW w:w="760" w:type="dxa"/>
            <w:vAlign w:val="bottom"/>
            <w:tcBorders>
              <w:top w:val="single" w:sz="8" w:color="CCFFCC"/>
              <w:bottom w:val="single" w:sz="8" w:color="auto"/>
            </w:tcBorders>
          </w:tcPr>
          <w:p>
            <w:pPr>
              <w:spacing w:after="0"/>
              <w:rPr>
                <w:sz w:val="24"/>
                <w:szCs w:val="24"/>
                <w:color w:val="auto"/>
              </w:rPr>
            </w:pPr>
          </w:p>
        </w:tc>
        <w:tc>
          <w:tcPr>
            <w:tcW w:w="580" w:type="dxa"/>
            <w:vAlign w:val="bottom"/>
            <w:tcBorders>
              <w:top w:val="single" w:sz="8" w:color="CCFFCC"/>
              <w:bottom w:val="single" w:sz="8" w:color="auto"/>
            </w:tcBorders>
          </w:tcPr>
          <w:p>
            <w:pPr>
              <w:spacing w:after="0"/>
              <w:rPr>
                <w:sz w:val="24"/>
                <w:szCs w:val="24"/>
                <w:color w:val="auto"/>
              </w:rPr>
            </w:pPr>
          </w:p>
        </w:tc>
        <w:tc>
          <w:tcPr>
            <w:tcW w:w="3080" w:type="dxa"/>
            <w:vAlign w:val="bottom"/>
            <w:tcBorders>
              <w:top w:val="single" w:sz="8" w:color="CCFFCC"/>
              <w:bottom w:val="single" w:sz="8" w:color="auto"/>
            </w:tcBorders>
          </w:tcPr>
          <w:p>
            <w:pPr>
              <w:spacing w:after="0"/>
              <w:rPr>
                <w:sz w:val="24"/>
                <w:szCs w:val="24"/>
                <w:color w:val="auto"/>
              </w:rPr>
            </w:pPr>
          </w:p>
        </w:tc>
        <w:tc>
          <w:tcPr>
            <w:tcW w:w="780" w:type="dxa"/>
            <w:vAlign w:val="bottom"/>
            <w:tcBorders>
              <w:top w:val="single" w:sz="8" w:color="CCFFCC"/>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58" w:right="219" w:bottom="1440" w:gutter="0" w:footer="0" w:header="0"/>
        </w:sectPr>
      </w:pPr>
    </w:p>
    <w:bookmarkStart w:id="3" w:name="page4"/>
    <w:bookmarkEnd w:id="3"/>
    <w:p>
      <w:pPr>
        <w:jc w:val="center"/>
        <w:ind w:right="-9"/>
        <w:spacing w:after="0"/>
        <w:rPr>
          <w:sz w:val="20"/>
          <w:szCs w:val="20"/>
          <w:color w:val="auto"/>
        </w:rPr>
      </w:pPr>
      <w:r>
        <w:rPr>
          <w:rFonts w:ascii="Arial" w:cs="Arial" w:eastAsia="Arial" w:hAnsi="Arial"/>
          <w:sz w:val="15"/>
          <w:szCs w:val="15"/>
          <w:b w:val="1"/>
          <w:bCs w:val="1"/>
          <w:color w:val="auto"/>
        </w:rPr>
        <w:t>PART I</w:t>
      </w:r>
    </w:p>
    <w:p>
      <w:pPr>
        <w:spacing w:after="0" w:line="193"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auto"/>
        </w:rPr>
        <w:t>In this annual report on Form 10-K, except as otherwise indicated, the terms:</w:t>
      </w:r>
    </w:p>
    <w:p>
      <w:pPr>
        <w:spacing w:after="0" w:line="18" w:lineRule="exact"/>
        <w:rPr>
          <w:sz w:val="20"/>
          <w:szCs w:val="20"/>
          <w:color w:val="auto"/>
        </w:rPr>
      </w:pPr>
    </w:p>
    <w:p>
      <w:pPr>
        <w:ind w:left="710" w:hanging="280"/>
        <w:spacing w:after="0"/>
        <w:tabs>
          <w:tab w:leader="none" w:pos="71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“we,” “us,” “our,” “Capitala Finance” and the “Company” refer to Capitala Finance Corp., together with its consolidated subsidiaries;</w:t>
      </w:r>
    </w:p>
    <w:p>
      <w:pPr>
        <w:spacing w:after="0" w:line="8" w:lineRule="exact"/>
        <w:rPr>
          <w:rFonts w:ascii="Arial" w:cs="Arial" w:eastAsia="Arial" w:hAnsi="Arial"/>
          <w:sz w:val="15"/>
          <w:szCs w:val="15"/>
          <w:color w:val="auto"/>
        </w:rPr>
      </w:pPr>
    </w:p>
    <w:p>
      <w:pPr>
        <w:ind w:left="710" w:hanging="280"/>
        <w:spacing w:after="0"/>
        <w:tabs>
          <w:tab w:leader="none" w:pos="710"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The “Investment Advisor” and “Capitala Investment Advisors” refers to Capitala Investment Advisors, LLC, our investment advisor; and</w:t>
      </w:r>
    </w:p>
    <w:p>
      <w:pPr>
        <w:spacing w:after="0" w:line="8" w:lineRule="exact"/>
        <w:rPr>
          <w:rFonts w:ascii="Arial" w:cs="Arial" w:eastAsia="Arial" w:hAnsi="Arial"/>
          <w:sz w:val="15"/>
          <w:szCs w:val="15"/>
          <w:i w:val="1"/>
          <w:iCs w:val="1"/>
          <w:color w:val="auto"/>
        </w:rPr>
      </w:pPr>
    </w:p>
    <w:p>
      <w:pPr>
        <w:ind w:left="710" w:hanging="280"/>
        <w:spacing w:after="0"/>
        <w:tabs>
          <w:tab w:leader="none" w:pos="71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The “Administrator” refers to Capitala Advisors Corp., our administrator.</w:t>
      </w:r>
    </w:p>
    <w:p>
      <w:pPr>
        <w:spacing w:after="0" w:line="176"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ITEM 1. BUSINESS</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FORMATION OF OUR COMPANY</w:t>
      </w:r>
    </w:p>
    <w:p>
      <w:pPr>
        <w:spacing w:after="0" w:line="193" w:lineRule="exact"/>
        <w:rPr>
          <w:sz w:val="20"/>
          <w:szCs w:val="20"/>
          <w:color w:val="auto"/>
        </w:rPr>
      </w:pPr>
    </w:p>
    <w:p>
      <w:pPr>
        <w:ind w:left="10" w:firstLine="543"/>
        <w:spacing w:after="0" w:line="277" w:lineRule="auto"/>
        <w:rPr>
          <w:sz w:val="20"/>
          <w:szCs w:val="20"/>
          <w:color w:val="auto"/>
        </w:rPr>
      </w:pPr>
      <w:r>
        <w:rPr>
          <w:rFonts w:ascii="Arial" w:cs="Arial" w:eastAsia="Arial" w:hAnsi="Arial"/>
          <w:sz w:val="14"/>
          <w:szCs w:val="14"/>
          <w:color w:val="auto"/>
        </w:rPr>
        <w:t>We are an externally managed non-diversified closed-end management investment company incorporated in Maryland that has elected to be regulated as a business development company (“BDC”) under the Investment Company Act of 1940, as amended (the “1940 Act”). We commenced operations on May 24, 2013 and completed our initial public offering (“IPO”) on September 30, 2013. The Company is managed by Capitala Investment Advisors, LLC, an investment adviser that is registered as an investment adviser under the Investment Advisers Act of 1940, as amended (the “Advisers Act”), and Capitala Advisors Corp. provides the administrative services necessary for us to operate. In addition, for U.S. federal income tax purposes, the Company intends to elect to be treated as a regulated investment company (“RIC”) commencing with our tax year ending August 31, 2014, under Subchapter M of the Internal Revenue Code of 1986, as amended (the “Code”). We are an “emerging growth company” within the meaning of the Jumpstart Our Business Startups Act of 2012 (the “JOBS Act”), and as such are subject to reduced public company reporting requirements.</w:t>
      </w:r>
    </w:p>
    <w:p>
      <w:pPr>
        <w:spacing w:after="0" w:line="147" w:lineRule="exact"/>
        <w:rPr>
          <w:sz w:val="20"/>
          <w:szCs w:val="20"/>
          <w:color w:val="auto"/>
        </w:rPr>
      </w:pPr>
    </w:p>
    <w:p>
      <w:pPr>
        <w:ind w:left="10" w:right="160" w:firstLine="543"/>
        <w:spacing w:after="0" w:line="295" w:lineRule="auto"/>
        <w:rPr>
          <w:sz w:val="20"/>
          <w:szCs w:val="20"/>
          <w:color w:val="auto"/>
        </w:rPr>
      </w:pPr>
      <w:r>
        <w:rPr>
          <w:rFonts w:ascii="Arial" w:cs="Arial" w:eastAsia="Arial" w:hAnsi="Arial"/>
          <w:sz w:val="13"/>
          <w:szCs w:val="13"/>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w:t>
      </w:r>
    </w:p>
    <w:p>
      <w:pPr>
        <w:spacing w:after="0" w:line="1" w:lineRule="exact"/>
        <w:rPr>
          <w:sz w:val="20"/>
          <w:szCs w:val="20"/>
          <w:color w:val="auto"/>
        </w:rPr>
      </w:pPr>
    </w:p>
    <w:p>
      <w:pPr>
        <w:ind w:left="10" w:right="300" w:hanging="10"/>
        <w:spacing w:after="0" w:line="263" w:lineRule="auto"/>
        <w:tabs>
          <w:tab w:leader="none" w:pos="232" w:val="left"/>
        </w:tabs>
        <w:numPr>
          <w:ilvl w:val="0"/>
          <w:numId w:val="4"/>
        </w:numPr>
        <w:rPr>
          <w:rFonts w:ascii="Arial" w:cs="Arial" w:eastAsia="Arial" w:hAnsi="Arial"/>
          <w:sz w:val="15"/>
          <w:szCs w:val="15"/>
          <w:color w:val="auto"/>
        </w:rPr>
      </w:pPr>
      <w:r>
        <w:rPr>
          <w:rFonts w:ascii="Arial" w:cs="Arial" w:eastAsia="Arial" w:hAnsi="Arial"/>
          <w:sz w:val="15"/>
          <w:szCs w:val="15"/>
          <w:color w:val="auto"/>
        </w:rPr>
        <w:t>raising capital in the IPO and (iii) continuing and expanding the business of the Legacy Funds by making additional debt and equity investments in smaller and lower middle market companies.</w:t>
      </w:r>
    </w:p>
    <w:p>
      <w:pPr>
        <w:spacing w:after="0" w:line="156" w:lineRule="exact"/>
        <w:rPr>
          <w:sz w:val="20"/>
          <w:szCs w:val="20"/>
          <w:color w:val="auto"/>
        </w:rPr>
      </w:pPr>
    </w:p>
    <w:p>
      <w:pPr>
        <w:ind w:left="10" w:firstLine="543"/>
        <w:spacing w:after="0" w:line="258" w:lineRule="auto"/>
        <w:rPr>
          <w:sz w:val="20"/>
          <w:szCs w:val="20"/>
          <w:color w:val="auto"/>
        </w:rPr>
      </w:pPr>
      <w:r>
        <w:rPr>
          <w:rFonts w:ascii="Arial" w:cs="Arial" w:eastAsia="Arial" w:hAnsi="Arial"/>
          <w:sz w:val="15"/>
          <w:szCs w:val="15"/>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smaller and lower middle-market companies.</w:t>
      </w:r>
    </w:p>
    <w:p>
      <w:pPr>
        <w:spacing w:after="0" w:line="159" w:lineRule="exact"/>
        <w:rPr>
          <w:sz w:val="20"/>
          <w:szCs w:val="20"/>
          <w:color w:val="auto"/>
        </w:rPr>
      </w:pPr>
    </w:p>
    <w:p>
      <w:pPr>
        <w:ind w:left="10" w:right="20" w:firstLine="543"/>
        <w:spacing w:after="0" w:line="258" w:lineRule="auto"/>
        <w:rPr>
          <w:sz w:val="20"/>
          <w:szCs w:val="20"/>
          <w:color w:val="auto"/>
        </w:rPr>
      </w:pPr>
      <w:r>
        <w:rPr>
          <w:rFonts w:ascii="Arial" w:cs="Arial" w:eastAsia="Arial" w:hAnsi="Arial"/>
          <w:sz w:val="15"/>
          <w:szCs w:val="15"/>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wholly-owned subsidiaries. Fund II and Fund III retained their SBIC licenses, continue to hold their existing investments and continue to make new investments. The IPO consisted of the sale of 4,000,000 shares of the Company’s common stock at a price of $20.00 per share resulting in net proceeds to the Company of $74,250,000, after deducting underwriting fees and commissions totaling $5,750,000.</w:t>
      </w:r>
    </w:p>
    <w:p>
      <w:pPr>
        <w:spacing w:after="0" w:line="15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OUR INVESTMENT STRATEGY</w:t>
      </w:r>
    </w:p>
    <w:p>
      <w:pPr>
        <w:spacing w:after="0" w:line="193" w:lineRule="exact"/>
        <w:rPr>
          <w:sz w:val="20"/>
          <w:szCs w:val="20"/>
          <w:color w:val="auto"/>
        </w:rPr>
      </w:pPr>
    </w:p>
    <w:p>
      <w:pPr>
        <w:ind w:left="10" w:firstLine="543"/>
        <w:spacing w:after="0" w:line="276" w:lineRule="auto"/>
        <w:rPr>
          <w:sz w:val="20"/>
          <w:szCs w:val="20"/>
          <w:color w:val="auto"/>
        </w:rPr>
      </w:pPr>
      <w:r>
        <w:rPr>
          <w:rFonts w:ascii="Arial" w:cs="Arial" w:eastAsia="Arial" w:hAnsi="Arial"/>
          <w:sz w:val="14"/>
          <w:szCs w:val="14"/>
          <w:color w:val="auto"/>
        </w:rPr>
        <w:t>Our investment objective is to generate both current income and capital appreciation through debt and equity investments. We expect the companies in which we invest will generally have between $5 million and $30 million in trailing twelve month earnings before interest, tax, depreciation and amortization (“EBITDA”). We believe our focus on mezzanine and senior subordinated loans enables us to receive higher interest rates and more substantial equity participation. We may also invest in first-lien, senior secured positions in “stretch” senior secured loans, also referred to as “unitranche” loans, which combine characteristics of traditional first-lien senior secured loans and subordinated loans, providing us with greater influence and security in the primary collateral of a borrower and potentially mitigating loss of principal should a borrower default. In addition to debt securities, we may acquire equity or detachable equity-related interests (including warrants) from a borrower. Typically, the debt in which we invest is not initially rated by any rating agency; however, we believe that if such investments were rated, they would be rated below investment grade. Below investment grade securities, which are often referred to as “high yield” or “junk,” have predominantly speculative characteristics with respect to the issuer’s capacity to pay interest and repay principal. We intend to target investments that mature in four to six years from our investment.</w:t>
      </w:r>
    </w:p>
    <w:p>
      <w:pPr>
        <w:spacing w:after="0" w:line="329"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6884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30"/>
          </w:cols>
          <w:pgMar w:left="230" w:top="758" w:right="239" w:bottom="1440" w:gutter="0" w:footer="0" w:header="0"/>
        </w:sectPr>
      </w:pPr>
    </w:p>
    <w:bookmarkStart w:id="4" w:name="page5"/>
    <w:bookmarkEnd w:id="4"/>
    <w:p>
      <w:pPr>
        <w:ind w:right="20" w:firstLine="543"/>
        <w:spacing w:after="0" w:line="303" w:lineRule="auto"/>
        <w:rPr>
          <w:sz w:val="20"/>
          <w:szCs w:val="20"/>
          <w:color w:val="auto"/>
        </w:rPr>
      </w:pPr>
      <w:r>
        <w:rPr>
          <w:rFonts w:ascii="Arial" w:cs="Arial" w:eastAsia="Arial" w:hAnsi="Arial"/>
          <w:sz w:val="13"/>
          <w:szCs w:val="13"/>
          <w:color w:val="auto"/>
        </w:rPr>
        <w:t>We typically will not limit our loan commitments to a percentage of a traditional borrowing base, although we attempt to protect against risk of loss on our debt investments by structuring, underwriting and pricing loans based on anticipated cash flows of our borrowers. As of December 31, 2013, our investment adviser, Capitala Investment Advisors, underwrote investments in 80 smaller and lower middle-market companies totaling more than $510 million of invested capital since 2000, and we believe that a continuation of this strategy allows us to make structured investments with more attractive pricing and greater opportunities for meaningful equity participation than traditional asset-based, senior secured loans. Further, we believe that we benefit from our investment adviser’s long-standing relationships with many private equity fund sponsors, whose participation in portfolio companies, we believe, makes repayment from refinancing, asset sales and/or sales of the borrowers themselves more likely than a strategy whereby we consider investments only in founder-owned or non-sponsored borrowers.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INVESTMENT ADVISOR</w:t>
      </w:r>
    </w:p>
    <w:p>
      <w:pPr>
        <w:spacing w:after="0" w:line="193" w:lineRule="exact"/>
        <w:rPr>
          <w:sz w:val="20"/>
          <w:szCs w:val="20"/>
          <w:color w:val="auto"/>
        </w:rPr>
      </w:pPr>
    </w:p>
    <w:p>
      <w:pPr>
        <w:ind w:firstLine="543"/>
        <w:spacing w:after="0" w:line="299" w:lineRule="auto"/>
        <w:rPr>
          <w:sz w:val="20"/>
          <w:szCs w:val="20"/>
          <w:color w:val="auto"/>
        </w:rPr>
      </w:pPr>
      <w:r>
        <w:rPr>
          <w:rFonts w:ascii="Arial" w:cs="Arial" w:eastAsia="Arial" w:hAnsi="Arial"/>
          <w:sz w:val="13"/>
          <w:szCs w:val="13"/>
          <w:color w:val="auto"/>
        </w:rPr>
        <w:t>We are managed by Capitala Investment Advisors, whose investment team members have significant and diverse experience financing, advising, operating and investing in smaller and lower middle-market companies. Capitala Investment Advisors’ investment team also manages CapitalSouth Partners SBIC Fund IV, L.P. (“Fund IV”), a private investment limited partnership providing financing solutions to companies that generate between $5 million and $50 million in annual revenues and have between $1 million and $5 million in annual EBITDA. Fund IV had its first closing in March 2013 and obtained SBA approval for its SBIC license in April 2013. In addition to Fund IV, affiliates of Capitala Investment Advisors manage several affiliated funds. We will not co-invest in transactions with other entities affiliated with Capitala Investment Advisors unless we obtain an exemptive order from the SEC or do so in accordance with existing regulatory guidance. We intend to submit an exemptive application to the SEC to permit us to participate in negotiated co-investments with other funds managed by Capitala Investment Advisors or affiliated advisers in a manner consistent with our investment objective, strategies and restrictions, as well as regulatory requirement and other pertinent factors. We do not expect to make co-investments, or otherwise compete for investment opportunities, with Fund IV because its focus and investment strategy differ from our own.</w:t>
      </w:r>
    </w:p>
    <w:p>
      <w:pPr>
        <w:spacing w:after="0" w:line="139" w:lineRule="exact"/>
        <w:rPr>
          <w:sz w:val="20"/>
          <w:szCs w:val="20"/>
          <w:color w:val="auto"/>
        </w:rPr>
      </w:pPr>
    </w:p>
    <w:p>
      <w:pPr>
        <w:ind w:right="360" w:firstLine="543"/>
        <w:spacing w:after="0" w:line="284" w:lineRule="auto"/>
        <w:rPr>
          <w:sz w:val="20"/>
          <w:szCs w:val="20"/>
          <w:color w:val="auto"/>
        </w:rPr>
      </w:pPr>
      <w:r>
        <w:rPr>
          <w:rFonts w:ascii="Arial" w:cs="Arial" w:eastAsia="Arial" w:hAnsi="Arial"/>
          <w:sz w:val="14"/>
          <w:szCs w:val="14"/>
          <w:color w:val="auto"/>
        </w:rPr>
        <w:t>Our investment adviser is led by Joseph B. Alala, III, our chief executive officer, president, chairman of our Board of Directors and the managing partner and chief investment officer of our investment adviser, Hunt Broyhill, a partner of our investment adviser, Stephen A. Arnall, our chief financial officer, and John F. McGlinn, our chief operating officer, secretary and treasurer, and a director of our investment adviser. Messrs. Alala, Broyhill and McGlinn serve as our investment adviser’s investment committee. They are assisted by Christopher B. Norton and Michael S. Marr, who both serve as directors of our investment adviser, as well as thirteen other investment professionals.</w:t>
      </w:r>
    </w:p>
    <w:p>
      <w:pPr>
        <w:spacing w:after="0" w:line="143" w:lineRule="exact"/>
        <w:rPr>
          <w:sz w:val="20"/>
          <w:szCs w:val="20"/>
          <w:color w:val="auto"/>
        </w:rPr>
      </w:pPr>
    </w:p>
    <w:p>
      <w:pPr>
        <w:ind w:right="260" w:firstLine="543"/>
        <w:spacing w:after="0" w:line="306" w:lineRule="auto"/>
        <w:rPr>
          <w:sz w:val="20"/>
          <w:szCs w:val="20"/>
          <w:color w:val="auto"/>
        </w:rPr>
      </w:pPr>
      <w:r>
        <w:rPr>
          <w:rFonts w:ascii="Arial" w:cs="Arial" w:eastAsia="Arial" w:hAnsi="Arial"/>
          <w:sz w:val="13"/>
          <w:szCs w:val="13"/>
          <w:color w:val="auto"/>
        </w:rPr>
        <w:t>Our investment adviser’s investment committee, as well as certain key investment team members that are involved in screening and underwriting portfolio transactions, have worked together for more than ten years. These investment professionals have an average of over 20 years of experience in various finance-related fields, including operations, corporate finance, investment banking, business law and merchant banking, and have collectively developed a broad network of contacts that can offer us investment opportunities. Much of our investment adviser’s investment team has worked together screening opportunities, underwriting new investments and managing a portfolio of investments in smaller and lower middle-market companies through two recessions, a credit crunch, the dot-com boom and bust and a historic, leverage-fueled asset valuation bubble.</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INVESTMENTS</w:t>
      </w:r>
    </w:p>
    <w:p>
      <w:pPr>
        <w:spacing w:after="0" w:line="193" w:lineRule="exact"/>
        <w:rPr>
          <w:sz w:val="20"/>
          <w:szCs w:val="20"/>
          <w:color w:val="auto"/>
        </w:rPr>
      </w:pPr>
    </w:p>
    <w:p>
      <w:pPr>
        <w:ind w:firstLine="543"/>
        <w:spacing w:after="0" w:line="255" w:lineRule="auto"/>
        <w:rPr>
          <w:sz w:val="20"/>
          <w:szCs w:val="20"/>
          <w:color w:val="auto"/>
        </w:rPr>
      </w:pPr>
      <w:r>
        <w:rPr>
          <w:rFonts w:ascii="Arial" w:cs="Arial" w:eastAsia="Arial" w:hAnsi="Arial"/>
          <w:sz w:val="15"/>
          <w:szCs w:val="15"/>
          <w:color w:val="auto"/>
        </w:rPr>
        <w:t>We will engage in various investment strategies from time to time in order to achieve our overall lending and investment objectives. Our strategies will generally require current cash yields and sensible leverage and fixed charge coverage ratios and either a first- or second-lien position (subject to limited instances in which we will not obtain security) in the collateral of the portfolio company. The strategy we select will depend upon, among other things, market opportunities, the skills and experience of our investment adviser’s investment team, the result of our financial, operational and strategic evaluation of the opportunity, and our overall portfolio composition. Most of our existing debt investments offer, and we expect most of our future debt investments will offer, the opportunity to participate in a borrower’s equity performance through warrant participation, direct equity ownership or otherwise, and many notes that we purchase will require the borrower to pay an early termination fee. Collectively, these attributes have been, and are expected to be, important contributors to the returns generated by our investment adviser’s investment team.</w:t>
      </w:r>
    </w:p>
    <w:p>
      <w:pPr>
        <w:spacing w:after="0" w:line="165" w:lineRule="exact"/>
        <w:rPr>
          <w:sz w:val="20"/>
          <w:szCs w:val="20"/>
          <w:color w:val="auto"/>
        </w:rPr>
      </w:pPr>
    </w:p>
    <w:p>
      <w:pPr>
        <w:ind w:right="20" w:firstLine="543"/>
        <w:spacing w:after="0" w:line="260" w:lineRule="auto"/>
        <w:rPr>
          <w:sz w:val="20"/>
          <w:szCs w:val="20"/>
          <w:color w:val="auto"/>
        </w:rPr>
      </w:pPr>
      <w:r>
        <w:rPr>
          <w:rFonts w:ascii="Arial" w:cs="Arial" w:eastAsia="Arial" w:hAnsi="Arial"/>
          <w:sz w:val="15"/>
          <w:szCs w:val="15"/>
          <w:color w:val="auto"/>
        </w:rPr>
        <w:t>Capitala Investment Advisors’ investment team uses a disciplined investment, portfolio monitoring and risk management process that emphasizes strict underwriting standards and guidelines, strong due diligence investigation, regular portfolio review, analysis and performance-guided responses, and proper investment diversification. We allocate capital among different industries, geographies and private equity sponsors on the basis of relative risk/reward profiles as a function of their associated downside risk, volatility, perceived fundamental risk and our ability to obtain favorable investment protection terms.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Types of Investments</w:t>
      </w:r>
    </w:p>
    <w:p>
      <w:pPr>
        <w:spacing w:after="0" w:line="189" w:lineRule="exact"/>
        <w:rPr>
          <w:sz w:val="20"/>
          <w:szCs w:val="20"/>
          <w:color w:val="auto"/>
        </w:rPr>
      </w:pPr>
    </w:p>
    <w:p>
      <w:pPr>
        <w:jc w:val="both"/>
        <w:ind w:firstLine="543"/>
        <w:spacing w:after="0" w:line="264" w:lineRule="auto"/>
        <w:rPr>
          <w:sz w:val="20"/>
          <w:szCs w:val="20"/>
          <w:color w:val="auto"/>
        </w:rPr>
      </w:pPr>
      <w:r>
        <w:rPr>
          <w:rFonts w:ascii="Arial" w:cs="Arial" w:eastAsia="Arial" w:hAnsi="Arial"/>
          <w:sz w:val="15"/>
          <w:szCs w:val="15"/>
          <w:color w:val="auto"/>
        </w:rPr>
        <w:t>We will target debt investments that yield meaningful current income and, in many cases, provide the opportunity for capital appreciation through equity securities. In each case, the following criteria and guidelines are applied to the review of a potential investment; however, not all criteria are met in every single investment in our portfolio, nor do we guarantee that all criteria will be met in the investments we will make in the future.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5" w:name="page6"/>
    <w:bookmarkEnd w:id="5"/>
    <w:p>
      <w:pPr>
        <w:ind w:left="560" w:hanging="332"/>
        <w:spacing w:after="0" w:line="264"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Established Companies With Positive Cash Flow. </w:t>
      </w:r>
      <w:r>
        <w:rPr>
          <w:rFonts w:ascii="Arial" w:cs="Arial" w:eastAsia="Arial" w:hAnsi="Arial"/>
          <w:sz w:val="15"/>
          <w:szCs w:val="15"/>
          <w:color w:val="auto"/>
        </w:rPr>
        <w:t>We seek to invest in established companies with a history of generating revenues and positive cash flows. We intend to focus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companies with a history of profitability and minimum trailing twelve-month EBITDA of $5 million. We do not intend to invest in start-up companies, distressed or “turn-around” situations or companies with business plans that we do not understand.</w:t>
      </w:r>
    </w:p>
    <w:p>
      <w:pPr>
        <w:spacing w:after="0" w:line="199" w:lineRule="exact"/>
        <w:rPr>
          <w:rFonts w:ascii="Arial" w:cs="Arial" w:eastAsia="Arial" w:hAnsi="Arial"/>
          <w:sz w:val="15"/>
          <w:szCs w:val="15"/>
          <w:color w:val="auto"/>
        </w:rPr>
      </w:pPr>
    </w:p>
    <w:p>
      <w:pPr>
        <w:ind w:left="560" w:right="300" w:hanging="332"/>
        <w:spacing w:after="0" w:line="264"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Experienced Management Teams with Meaningful Investment. </w:t>
      </w:r>
      <w:r>
        <w:rPr>
          <w:rFonts w:ascii="Arial" w:cs="Arial" w:eastAsia="Arial" w:hAnsi="Arial"/>
          <w:sz w:val="15"/>
          <w:szCs w:val="15"/>
          <w:color w:val="auto"/>
        </w:rPr>
        <w:t>We seek to invest in companies in which senior or key managers have significant company- or industry-level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experience and have significant equity ownership. It has been our experience that these management teams are more committed to the company’s success and more likely to manage the company in a manner that protects our debt and equity investments.</w:t>
      </w:r>
    </w:p>
    <w:p>
      <w:pPr>
        <w:spacing w:after="0" w:line="154" w:lineRule="exact"/>
        <w:rPr>
          <w:rFonts w:ascii="Arial" w:cs="Arial" w:eastAsia="Arial" w:hAnsi="Arial"/>
          <w:sz w:val="15"/>
          <w:szCs w:val="15"/>
          <w:color w:val="auto"/>
        </w:rPr>
      </w:pPr>
    </w:p>
    <w:p>
      <w:pPr>
        <w:ind w:left="560" w:right="120" w:hanging="332"/>
        <w:spacing w:after="0" w:line="264"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Significant Invested Capital. </w:t>
      </w:r>
      <w:r>
        <w:rPr>
          <w:rFonts w:ascii="Arial" w:cs="Arial" w:eastAsia="Arial" w:hAnsi="Arial"/>
          <w:sz w:val="15"/>
          <w:szCs w:val="15"/>
          <w:color w:val="auto"/>
        </w:rPr>
        <w:t>We believe that the existence of an appropriate amount of equity beneath our debt capital provides valuable support for our investment. In addition,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degree to which the particular investment is a meaningful one for the portfolio company’s financial sponsor, and the financial sponsor’s ability and willingness to invest additional equity capital as and to the extent necessary, are also important considerations.</w:t>
      </w:r>
    </w:p>
    <w:p>
      <w:pPr>
        <w:spacing w:after="0" w:line="154" w:lineRule="exact"/>
        <w:rPr>
          <w:rFonts w:ascii="Arial" w:cs="Arial" w:eastAsia="Arial" w:hAnsi="Arial"/>
          <w:sz w:val="15"/>
          <w:szCs w:val="15"/>
          <w:color w:val="auto"/>
        </w:rPr>
      </w:pPr>
    </w:p>
    <w:p>
      <w:pPr>
        <w:ind w:left="560" w:right="60" w:hanging="332"/>
        <w:spacing w:after="0" w:line="264"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Appropriate Capital Structures. </w:t>
      </w:r>
      <w:r>
        <w:rPr>
          <w:rFonts w:ascii="Arial" w:cs="Arial" w:eastAsia="Arial" w:hAnsi="Arial"/>
          <w:sz w:val="15"/>
          <w:szCs w:val="15"/>
          <w:color w:val="auto"/>
        </w:rPr>
        <w:t>We seek to invest in companies that are appropriately capitalized. First, we examine the amount of equity that is being invested by the company’s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private equity sponsor to determine whether there is a sufficient capital cushion beneath our invested capital. We also analyze the amount of leverage, and the characteristics of senior debt with lien priority over our investment.</w:t>
      </w:r>
    </w:p>
    <w:p>
      <w:pPr>
        <w:spacing w:after="0" w:line="154" w:lineRule="exact"/>
        <w:rPr>
          <w:rFonts w:ascii="Arial" w:cs="Arial" w:eastAsia="Arial" w:hAnsi="Arial"/>
          <w:sz w:val="15"/>
          <w:szCs w:val="15"/>
          <w:color w:val="auto"/>
        </w:rPr>
      </w:pPr>
    </w:p>
    <w:p>
      <w:pPr>
        <w:ind w:left="560" w:right="60" w:hanging="332"/>
        <w:spacing w:after="0" w:line="260"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Strong Competitive Position. </w:t>
      </w:r>
      <w:r>
        <w:rPr>
          <w:rFonts w:ascii="Arial" w:cs="Arial" w:eastAsia="Arial" w:hAnsi="Arial"/>
          <w:sz w:val="15"/>
          <w:szCs w:val="15"/>
          <w:color w:val="auto"/>
        </w:rPr>
        <w:t>We intend to invest in companies that have developed strong, defensible product or service offerings within their respective market segments. These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companies should be well positioned to capitalize on organic and strategic growth opportunities, and should compete in industries with strong fundamentals and meaningful barriers to entry. We further analyze prospective portfolio investments in order to identify competitive advantages within their industry, which may result in superior operating margins or industry-leading growth.</w:t>
      </w:r>
    </w:p>
    <w:p>
      <w:pPr>
        <w:spacing w:after="0" w:line="157" w:lineRule="exact"/>
        <w:rPr>
          <w:rFonts w:ascii="Arial" w:cs="Arial" w:eastAsia="Arial" w:hAnsi="Arial"/>
          <w:sz w:val="15"/>
          <w:szCs w:val="15"/>
          <w:color w:val="auto"/>
        </w:rPr>
      </w:pPr>
    </w:p>
    <w:p>
      <w:pPr>
        <w:ind w:left="560" w:hanging="332"/>
        <w:spacing w:after="0" w:line="258"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Customer and Supplier Diversification. </w:t>
      </w:r>
      <w:r>
        <w:rPr>
          <w:rFonts w:ascii="Arial" w:cs="Arial" w:eastAsia="Arial" w:hAnsi="Arial"/>
          <w:sz w:val="15"/>
          <w:szCs w:val="15"/>
          <w:color w:val="auto"/>
        </w:rPr>
        <w:t>We expect to invest in companies with sufficiently diverse customer and supplier bases. We believe these companies will be better able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endure industry consolidation, economic contraction and increased competition than those that are not sufficiently diversified. However, we also recognize that from time to time, an attractive investment opportunity with some concentration among its customer base or supply chain will present itself. We believe that concentration issues can be evaluated and, in some instances (whether due to supplier or customer product or platform diversification, the existence and quality of long-term agreements with such customers or suppliers or other select factors), mitigated, thus presenting a superior risk-adjusted pricing scenario.</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Debt Investments</w:t>
      </w:r>
    </w:p>
    <w:p>
      <w:pPr>
        <w:spacing w:after="0" w:line="189" w:lineRule="exact"/>
        <w:rPr>
          <w:sz w:val="20"/>
          <w:szCs w:val="20"/>
          <w:color w:val="auto"/>
        </w:rPr>
      </w:pPr>
    </w:p>
    <w:p>
      <w:pPr>
        <w:ind w:right="20" w:firstLine="543"/>
        <w:spacing w:after="0" w:line="298" w:lineRule="auto"/>
        <w:rPr>
          <w:sz w:val="20"/>
          <w:szCs w:val="20"/>
          <w:color w:val="auto"/>
        </w:rPr>
      </w:pPr>
      <w:r>
        <w:rPr>
          <w:rFonts w:ascii="Arial" w:cs="Arial" w:eastAsia="Arial" w:hAnsi="Arial"/>
          <w:sz w:val="13"/>
          <w:szCs w:val="13"/>
          <w:color w:val="auto"/>
        </w:rPr>
        <w:t>Capitala Investment Advisors’ investment team tailors the terms of each debt investment to the facts and circumstances of the transaction, the needs of the prospective portfolio company and, as applicable, its financial sponsor, negotiating a structure that seeks to protect our rights and manage our risk while creating incentives for the portfolio company to achieve its business plan. As of December 31, 2013, 35% of our debt investments were secured by a first lien on the assets of the portfolio company, 63% of our debt investments were secured by a second lien on the assets of the portfolio company and 2% of our debt investments were unsecured. We expect our primary source of return to be the monthly cash interest we will collect on our debt investments. We also typically seek board observation rights with each portfolio company and we offer (and have historically provided) managerial and strategic assistance to these companies. We seek to further protect invested principal by negotiating appropriate affirmative, negative and financial covenants in our debt documents that are conservative enough to represent a prudent cushion at closing or to budgeted projections, but that are flexible enough to afford our portfolio companies and their financial sponsors sufficient latitude to allow them to grow their businesses. Typical covenants include default triggers and remedies (including penalties), lien protection, leverage and fixed charge coverage ratios, change of control provisions and put rights. Most of our loans feature call protection to enhance our total return on debt investments that are repaid prior to maturity.</w:t>
      </w:r>
    </w:p>
    <w:p>
      <w:pPr>
        <w:spacing w:after="0" w:line="139" w:lineRule="exact"/>
        <w:rPr>
          <w:sz w:val="20"/>
          <w:szCs w:val="20"/>
          <w:color w:val="auto"/>
        </w:rPr>
      </w:pPr>
    </w:p>
    <w:p>
      <w:pPr>
        <w:ind w:right="160" w:firstLine="543"/>
        <w:spacing w:after="0" w:line="293" w:lineRule="auto"/>
        <w:rPr>
          <w:sz w:val="20"/>
          <w:szCs w:val="20"/>
          <w:color w:val="auto"/>
        </w:rPr>
      </w:pPr>
      <w:r>
        <w:rPr>
          <w:rFonts w:ascii="Arial" w:cs="Arial" w:eastAsia="Arial" w:hAnsi="Arial"/>
          <w:sz w:val="13"/>
          <w:szCs w:val="13"/>
          <w:color w:val="auto"/>
        </w:rPr>
        <w:t>Most of our debt investments are structured as senior subordinated notes. On a fair market value basis, 56% of our debt investments consist of senior subordinated notes as of December 31, 2013. Senior subordinated notes are subordinate to senior debt provided by financial institutions (primarily, asset-based revolving credit facilities and, in some cases, term loans) but senior to other subordinated notes, including junior subordinated notes and seller notes. Our senior subordinated notes are typically issued with five-year terms. Some senior subordinated notes have payment-in-kind (“PIK”) interest, which is a form of interest that is not paid currently in cash, but is accrued and added to the loan balance until paid at the end of the term. While we generally seek to minimize the percentage of our fixed return that is in the form of PIK interest, we sometimes receive PIK due to prevailing market conditions that do not support the overall blended interest yield on our debt investments being paid in all-cash interest. As of December 31, 2013, our weighted average PIK yield in our debt investments is</w:t>
      </w:r>
    </w:p>
    <w:p>
      <w:pPr>
        <w:jc w:val="both"/>
        <w:ind w:right="60"/>
        <w:spacing w:after="0" w:line="257" w:lineRule="auto"/>
        <w:rPr>
          <w:sz w:val="20"/>
          <w:szCs w:val="20"/>
          <w:color w:val="auto"/>
        </w:rPr>
      </w:pPr>
      <w:r>
        <w:rPr>
          <w:rFonts w:ascii="Arial" w:cs="Arial" w:eastAsia="Arial" w:hAnsi="Arial"/>
          <w:sz w:val="15"/>
          <w:szCs w:val="15"/>
          <w:color w:val="auto"/>
        </w:rPr>
        <w:t>1.1%. In addition to yield in the form of current cash and PIK interest, most of our debt investments include an equity component, such as a warrant to purchase a common equity interest in the borrower for a nominal price. As of December 31, 2013, the weighted average annualized yield on all of our outstanding debt investments was 13.7%, the weighted average annualized yield, excluding PIK interest, was 12.6% and 55% of our debt investments came with detachable warrants.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808" w:right="239" w:bottom="1440" w:gutter="0" w:footer="0" w:header="0"/>
        </w:sectPr>
      </w:pPr>
    </w:p>
    <w:bookmarkStart w:id="6" w:name="page7"/>
    <w:bookmarkEnd w:id="6"/>
    <w:p>
      <w:pPr>
        <w:ind w:right="20" w:firstLine="543"/>
        <w:spacing w:after="0" w:line="277" w:lineRule="auto"/>
        <w:rPr>
          <w:sz w:val="20"/>
          <w:szCs w:val="20"/>
          <w:color w:val="auto"/>
        </w:rPr>
      </w:pPr>
      <w:r>
        <w:rPr>
          <w:rFonts w:ascii="Arial" w:cs="Arial" w:eastAsia="Arial" w:hAnsi="Arial"/>
          <w:sz w:val="14"/>
          <w:szCs w:val="14"/>
          <w:color w:val="auto"/>
        </w:rPr>
        <w:t>We also opportunistically structure certain debt investments as senior secured or unitranche notes and as of December 31, 2013, 18% of the fair value of our debt investments consisted of such investments. Senior secured loans will typically provide for a fixed interest rate and may contain some minimum amount of principal amortization, excess cash flow sweep feature, prepayment penalties, or any combination of the foregoing. Senior secured loans are secured by a first priority lien in all existing and future assets of the borrower and may take the form of term loans or delayed draw facilities. As of December 31, 2013, 24% of the fair value of our portfolio’s debt investments consisted of senior secured term loans with liens that are subordinated only to a senior secured revolving credit facility provider. Unitranche debt financing typically involves issuing one debt security that blends the risk and return profiles of both senior secured and subordinated debt in one debt security. We believe that unitranche debt can be attractive for many smaller and lower middle-market businesses, given the reduced structural complexity, single lender interface and elimination of intercreditor or potential agency conflicts among lenders.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Investments</w:t>
      </w:r>
    </w:p>
    <w:p>
      <w:pPr>
        <w:spacing w:after="0" w:line="189" w:lineRule="exact"/>
        <w:rPr>
          <w:sz w:val="20"/>
          <w:szCs w:val="20"/>
          <w:color w:val="auto"/>
        </w:rPr>
      </w:pPr>
    </w:p>
    <w:p>
      <w:pPr>
        <w:ind w:right="120" w:firstLine="543"/>
        <w:spacing w:after="0" w:line="280" w:lineRule="auto"/>
        <w:rPr>
          <w:sz w:val="20"/>
          <w:szCs w:val="20"/>
          <w:color w:val="auto"/>
        </w:rPr>
      </w:pPr>
      <w:r>
        <w:rPr>
          <w:rFonts w:ascii="Arial" w:cs="Arial" w:eastAsia="Arial" w:hAnsi="Arial"/>
          <w:sz w:val="14"/>
          <w:szCs w:val="14"/>
          <w:color w:val="auto"/>
        </w:rPr>
        <w:t>When we make a debt investment, we may be granted equity participation in the form of detachable warrants to purchase common equity in the company in the same class of security that the owners or equity sponsors receive upon funding. In addition, we may make non-control equity co-investments in conjunction with a loan transaction with a borrower. Capitala Investment Advisors’ investment team generally seeks to structure our equity investments, such as direct equity co-investments, to provide us with minority rights provisions and, as and to the extent available, event-driven put rights. They also seek to obtain limited registration rights in connection with these investments, which may include “piggyback” registration rights. In addition to warrants and equity co-investments, our debt investments in the future may contain a synthetic equity position.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PROCESS</w:t>
      </w:r>
    </w:p>
    <w:p>
      <w:pPr>
        <w:spacing w:after="0" w:line="193" w:lineRule="exact"/>
        <w:rPr>
          <w:sz w:val="20"/>
          <w:szCs w:val="20"/>
          <w:color w:val="auto"/>
        </w:rPr>
      </w:pPr>
    </w:p>
    <w:p>
      <w:pPr>
        <w:ind w:right="40" w:firstLine="543"/>
        <w:spacing w:after="0" w:line="276" w:lineRule="auto"/>
        <w:rPr>
          <w:sz w:val="20"/>
          <w:szCs w:val="20"/>
          <w:color w:val="auto"/>
        </w:rPr>
      </w:pPr>
      <w:r>
        <w:rPr>
          <w:rFonts w:ascii="Arial" w:cs="Arial" w:eastAsia="Arial" w:hAnsi="Arial"/>
          <w:sz w:val="14"/>
          <w:szCs w:val="14"/>
          <w:color w:val="auto"/>
        </w:rPr>
        <w:t>Our investment adviser’s investment team is led by its investment committee and is responsible for all aspects of our investment process. The current members of the investment committee are Joseph B. Alala, III, our chief executive officer, president, chairman of our Board of Directors and the managing partner and chief investment officer of our investment adviser, Hunt Broyhill, a partner of our investment adviser, and John F. McGlinn, our chief operating officer, secretary and treasurer, and a director of our investment adviser. Christopher B. Norton and Michael S. Marr, also both serve as directors of our investment adviser, and Adam Richeson, Richard Wheelahan, our chief compliance officer, and J. Davis Hutchens each serves as a vice president of our investment adviser. While the investment strategy involves a team approach, whereby potential transactions are screened by various members of the investment team, Mr. Alala and one other member of the investment committee of Capitala Investment Advisors must approve investments in order for them to proceed. Messrs. Alala and McGlinn meet weekly and, together with Mr. Broyhill, on an as needed basis, depending on the nature and volume of investment opportunities. Capitala Investment Advisors’ investment committee has worked together for over ten years. The stages of our investment selection process are as follows: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Deal Generation/Origination</w:t>
      </w:r>
    </w:p>
    <w:p>
      <w:pPr>
        <w:spacing w:after="0" w:line="189" w:lineRule="exact"/>
        <w:rPr>
          <w:sz w:val="20"/>
          <w:szCs w:val="20"/>
          <w:color w:val="auto"/>
        </w:rPr>
      </w:pPr>
    </w:p>
    <w:p>
      <w:pPr>
        <w:ind w:firstLine="543"/>
        <w:spacing w:after="0" w:line="275" w:lineRule="auto"/>
        <w:rPr>
          <w:sz w:val="20"/>
          <w:szCs w:val="20"/>
          <w:color w:val="auto"/>
        </w:rPr>
      </w:pPr>
      <w:r>
        <w:rPr>
          <w:rFonts w:ascii="Arial" w:cs="Arial" w:eastAsia="Arial" w:hAnsi="Arial"/>
          <w:sz w:val="14"/>
          <w:szCs w:val="14"/>
          <w:color w:val="auto"/>
        </w:rPr>
        <w:t>Deal generation and origination is maximized through long-standing and extensive relationships with industry contacts, brokers, commercial and investment bankers, entrepreneurs, service providers (such as lawyers and accountants), as well as current and former clients, portfolio companies and investors. Our investment adviser’s investment team supplements these lead generators by also utilizing broader marketing efforts, such as attendance at prospective borrower industry conventions, an active calling effort to investment banking boutiques, private equity firms and independent sponsors that are also investing in high quality smaller and lower middle-market companies, and, most importantly, based on our investment adviser’s track record as a responsive, flexible, value-add lender and co-investor, as demonstrated by 80 investments in smaller and lower middle-market businesses and equity co-investments with reputed private equity firms. We have developed a reputation as a knowledgeable and reliable source of capital, providing value-added industry advice and financing assistance to borrowers’ businesses and in executing financial sponsors’ growth strategies. Furthermore, with offices throughout the Southeast, we have the ability to cover a large geographical area and to market to unique groups from each office. Specifically, our Charlotte, Louisville, Raleigh, Fort Lauderdale, Washington D.C. and Atlanta offices cover significant territory that is traditionally underserved, allowing us to source a high volume of direct deal flow.</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Screening</w:t>
      </w:r>
    </w:p>
    <w:p>
      <w:pPr>
        <w:spacing w:after="0" w:line="189" w:lineRule="exact"/>
        <w:rPr>
          <w:sz w:val="20"/>
          <w:szCs w:val="20"/>
          <w:color w:val="auto"/>
        </w:rPr>
      </w:pPr>
    </w:p>
    <w:p>
      <w:pPr>
        <w:ind w:right="60" w:firstLine="543"/>
        <w:spacing w:after="0" w:line="260" w:lineRule="auto"/>
        <w:rPr>
          <w:sz w:val="20"/>
          <w:szCs w:val="20"/>
          <w:color w:val="auto"/>
        </w:rPr>
      </w:pPr>
      <w:r>
        <w:rPr>
          <w:rFonts w:ascii="Arial" w:cs="Arial" w:eastAsia="Arial" w:hAnsi="Arial"/>
          <w:sz w:val="15"/>
          <w:szCs w:val="15"/>
          <w:color w:val="auto"/>
        </w:rPr>
        <w:t>All potential investments that are received are screened for suitability and consistency with our investment criteria (see “— Due Diligence and Underwriting,” below). In screening potential investments, our investment adviser’s investment team utilizes the same value-oriented investment philosophy they employed in their work with the Legacy Funds and commits resources to managing downside exposure. If a potential investment meets our basic investment criteria, a deal team is assigned to perform preliminary due diligence. In doing so, we consider some or all of the following factors: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7" w:name="page8"/>
    <w:bookmarkEnd w:id="7"/>
    <w:p>
      <w:pPr>
        <w:ind w:left="560" w:right="260" w:hanging="332"/>
        <w:spacing w:after="0" w:line="291"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comprehensive financial model that we prepare based on quantitative analysis of historical financial performance, financial projections made by management or the financial sponsor, as the case may be, and pro forma financial ratios assuming an investment consistent with possible structures. In analyzing our model, we test various investment structures, pricing options, downside scenarios and other sensitivities in order to better understand potential risks and possible financial covenant ratios.</w:t>
      </w:r>
    </w:p>
    <w:p>
      <w:pPr>
        <w:spacing w:after="0" w:line="138" w:lineRule="exact"/>
        <w:rPr>
          <w:rFonts w:ascii="Arial" w:cs="Arial" w:eastAsia="Arial" w:hAnsi="Arial"/>
          <w:sz w:val="14"/>
          <w:szCs w:val="14"/>
          <w:color w:val="auto"/>
        </w:rPr>
      </w:pPr>
    </w:p>
    <w:p>
      <w:pPr>
        <w:ind w:left="560" w:hanging="332"/>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competitive landscape and industry dynamics impacting the potential portfolio company;</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Strengths and weaknesses of the potential investment’s business strategy and industry outlook; and</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Results of a broad qualitative analysis of the company’s products or services, market position and outlook, customers, suppliers and quality of management.</w:t>
      </w:r>
    </w:p>
    <w:p>
      <w:pPr>
        <w:spacing w:after="0" w:line="189" w:lineRule="exact"/>
        <w:rPr>
          <w:sz w:val="20"/>
          <w:szCs w:val="20"/>
          <w:color w:val="auto"/>
        </w:rPr>
      </w:pPr>
    </w:p>
    <w:p>
      <w:pPr>
        <w:ind w:right="640" w:firstLine="543"/>
        <w:spacing w:after="0" w:line="313" w:lineRule="auto"/>
        <w:rPr>
          <w:sz w:val="20"/>
          <w:szCs w:val="20"/>
          <w:color w:val="auto"/>
        </w:rPr>
      </w:pPr>
      <w:r>
        <w:rPr>
          <w:rFonts w:ascii="Arial" w:cs="Arial" w:eastAsia="Arial" w:hAnsi="Arial"/>
          <w:sz w:val="14"/>
          <w:szCs w:val="14"/>
          <w:color w:val="auto"/>
        </w:rPr>
        <w:t>If the results of this preliminary due diligence are satisfactory, the deal team prepares an executive summary that is presented to certain members our investment adviser’s investment committee in a meeting that includes all members of the portfolio and investment teams. This executive summary includes the following areas:</w:t>
      </w:r>
    </w:p>
    <w:p>
      <w:pPr>
        <w:spacing w:after="0" w:line="123" w:lineRule="exact"/>
        <w:rPr>
          <w:sz w:val="20"/>
          <w:szCs w:val="20"/>
          <w:color w:val="auto"/>
        </w:rPr>
      </w:pPr>
    </w:p>
    <w:p>
      <w:pPr>
        <w:ind w:left="560" w:hanging="332"/>
        <w:spacing w:after="0"/>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Company history and summary of product(s) and/or service(s);</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An overview of investors, anticipated capital sources and transaction timing;</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Investment structure and expected returns, including initial projected financial ratios;</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Analysis of historical financial results and key assumptions;</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Analysis of company’s business strategy;</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Analysis of financial sponsor’s relevant experience or expected strategy;</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Investment strengths, weaknesses and priority issues to be addressed in due diligence; and</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Pro forma capitalization and ownership.</w:t>
      </w:r>
    </w:p>
    <w:p>
      <w:pPr>
        <w:spacing w:after="0" w:line="189" w:lineRule="exact"/>
        <w:rPr>
          <w:sz w:val="20"/>
          <w:szCs w:val="20"/>
          <w:color w:val="auto"/>
        </w:rPr>
      </w:pPr>
    </w:p>
    <w:p>
      <w:pPr>
        <w:ind w:right="140" w:firstLine="543"/>
        <w:spacing w:after="0" w:line="356" w:lineRule="auto"/>
        <w:rPr>
          <w:sz w:val="20"/>
          <w:szCs w:val="20"/>
          <w:color w:val="auto"/>
        </w:rPr>
      </w:pPr>
      <w:r>
        <w:rPr>
          <w:rFonts w:ascii="Arial" w:cs="Arial" w:eastAsia="Arial" w:hAnsi="Arial"/>
          <w:sz w:val="13"/>
          <w:szCs w:val="13"/>
          <w:color w:val="auto"/>
        </w:rPr>
        <w:t>If our investment committee recommends moving forward, we issue a non-binding term sheet or indication of interest to the potential portfolio company and, when applicable, its financial sponsor. If a term sheet is successfully negotiated, we begin more formal due diligence and underwriting as we progress towards ultimate investment approval and closing.</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Due Diligence and Underwriting</w:t>
      </w:r>
    </w:p>
    <w:p>
      <w:pPr>
        <w:spacing w:after="0" w:line="189" w:lineRule="exact"/>
        <w:rPr>
          <w:sz w:val="20"/>
          <w:szCs w:val="20"/>
          <w:color w:val="auto"/>
        </w:rPr>
      </w:pPr>
    </w:p>
    <w:p>
      <w:pPr>
        <w:ind w:right="60" w:firstLine="543"/>
        <w:spacing w:after="0" w:line="256" w:lineRule="auto"/>
        <w:rPr>
          <w:sz w:val="20"/>
          <w:szCs w:val="20"/>
          <w:color w:val="auto"/>
        </w:rPr>
      </w:pPr>
      <w:r>
        <w:rPr>
          <w:rFonts w:ascii="Arial" w:cs="Arial" w:eastAsia="Arial" w:hAnsi="Arial"/>
          <w:sz w:val="15"/>
          <w:szCs w:val="15"/>
          <w:color w:val="auto"/>
        </w:rPr>
        <w:t>The completion of due diligence deliverables is led by at least two investment professionals; however, all investment and portfolio team members are regularly updated with due diligence progress, especially any issues that emerge. The two investment professionals leading the due diligence efforts are typically assigned to the original deal team that worked on the executive summary; however, post-term sheet deal teams sometimes contain one or more additional investment professionals and may include other professionals from business development, portfolio or other areas if a particular skill or experience set would be especially valuable in the due diligence process. The members of the underwriting team complete due diligence and analyze the relationships among the prospective portfolio company’s business plan, operations and expected financial performance. Due diligence touches upon some or all of the following:</w:t>
      </w:r>
    </w:p>
    <w:p>
      <w:pPr>
        <w:spacing w:after="0" w:line="163" w:lineRule="exact"/>
        <w:rPr>
          <w:sz w:val="20"/>
          <w:szCs w:val="20"/>
          <w:color w:val="auto"/>
        </w:rPr>
      </w:pPr>
    </w:p>
    <w:p>
      <w:pPr>
        <w:ind w:left="560" w:hanging="332"/>
        <w:spacing w:after="0"/>
        <w:tabs>
          <w:tab w:leader="none" w:pos="560" w:val="left"/>
        </w:tabs>
        <w:numPr>
          <w:ilvl w:val="0"/>
          <w:numId w:val="8"/>
        </w:numPr>
        <w:rPr>
          <w:rFonts w:ascii="Arial" w:cs="Arial" w:eastAsia="Arial" w:hAnsi="Arial"/>
          <w:sz w:val="15"/>
          <w:szCs w:val="15"/>
          <w:color w:val="auto"/>
        </w:rPr>
      </w:pPr>
      <w:r>
        <w:rPr>
          <w:rFonts w:ascii="Arial" w:cs="Arial" w:eastAsia="Arial" w:hAnsi="Arial"/>
          <w:sz w:val="15"/>
          <w:szCs w:val="15"/>
          <w:color w:val="auto"/>
        </w:rPr>
        <w:t>On-site visits with management and relevant key employees;</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In-depth review of historical and projected financial statements, including covenant calculation work sheets;</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Interviews with customers and suppliers;</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8"/>
        </w:numPr>
        <w:rPr>
          <w:rFonts w:ascii="Arial" w:cs="Arial" w:eastAsia="Arial" w:hAnsi="Arial"/>
          <w:sz w:val="15"/>
          <w:szCs w:val="15"/>
          <w:color w:val="auto"/>
        </w:rPr>
      </w:pPr>
      <w:r>
        <w:rPr>
          <w:rFonts w:ascii="Arial" w:cs="Arial" w:eastAsia="Arial" w:hAnsi="Arial"/>
          <w:sz w:val="15"/>
          <w:szCs w:val="15"/>
          <w:color w:val="auto"/>
        </w:rPr>
        <w:t>Management background checks;</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Review of reports by third-party accountants, outside counsel and other industry, operational or financial experts, whether retained by us, or the financial sponsor;</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Review of material contracts; and</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Review of financial sponsor’s due diligence package and internal executive summaries.</w:t>
      </w:r>
    </w:p>
    <w:p>
      <w:pPr>
        <w:spacing w:after="0" w:line="189" w:lineRule="exact"/>
        <w:rPr>
          <w:sz w:val="20"/>
          <w:szCs w:val="20"/>
          <w:color w:val="auto"/>
        </w:rPr>
      </w:pPr>
    </w:p>
    <w:p>
      <w:pPr>
        <w:ind w:firstLine="543"/>
        <w:spacing w:after="0" w:line="258" w:lineRule="auto"/>
        <w:rPr>
          <w:sz w:val="20"/>
          <w:szCs w:val="20"/>
          <w:color w:val="auto"/>
        </w:rPr>
      </w:pPr>
      <w:r>
        <w:rPr>
          <w:rFonts w:ascii="Arial" w:cs="Arial" w:eastAsia="Arial" w:hAnsi="Arial"/>
          <w:sz w:val="15"/>
          <w:szCs w:val="15"/>
          <w:color w:val="auto"/>
        </w:rPr>
        <w:t>Typically, we utilize outside experts to analyze the legal affairs, accounting systems and financial results and, where appropriate, we engage specialists to investigate certain issues. During the underwriting process, significant, ongoing attention is devoted to sensitivity analyses regarding whether a company might bear a significant “downside” case and remain profitable and in compliance with assumed financial covenants. These “downside” scenarios typically involve assumptions regarding the loss of key customers and/or suppliers, an economic downturn, adverse regulatory changes and other relevant stressors that we attempt to simulate in our quantitative and qualitative analyses. Further, we continually examine the effect of these scenarios on financial ratios and other metrics.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8" w:name="page9"/>
    <w:bookmarkEnd w:id="8"/>
    <w:p>
      <w:pPr>
        <w:ind w:right="100" w:firstLine="543"/>
        <w:spacing w:after="0" w:line="264" w:lineRule="auto"/>
        <w:rPr>
          <w:sz w:val="20"/>
          <w:szCs w:val="20"/>
          <w:color w:val="auto"/>
        </w:rPr>
      </w:pPr>
      <w:r>
        <w:rPr>
          <w:rFonts w:ascii="Arial" w:cs="Arial" w:eastAsia="Arial" w:hAnsi="Arial"/>
          <w:sz w:val="15"/>
          <w:szCs w:val="15"/>
          <w:color w:val="auto"/>
        </w:rPr>
        <w:t>During the underwriting process, the executive summary that was completed for the initial investment committee presentation is updated and changes are presented at subsequent, weekly meetings of the investment committee for continued discussion and, to the extent applicable, the investment committee issues new instructions to the underwriting team from the investment committee.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Approval, Documentation and Closing</w:t>
      </w:r>
    </w:p>
    <w:p>
      <w:pPr>
        <w:spacing w:after="0" w:line="189" w:lineRule="exact"/>
        <w:rPr>
          <w:sz w:val="20"/>
          <w:szCs w:val="20"/>
          <w:color w:val="auto"/>
        </w:rPr>
      </w:pPr>
    </w:p>
    <w:p>
      <w:pPr>
        <w:ind w:right="20" w:firstLine="543"/>
        <w:spacing w:after="0" w:line="264" w:lineRule="auto"/>
        <w:rPr>
          <w:sz w:val="20"/>
          <w:szCs w:val="20"/>
          <w:color w:val="auto"/>
        </w:rPr>
      </w:pPr>
      <w:r>
        <w:rPr>
          <w:rFonts w:ascii="Arial" w:cs="Arial" w:eastAsia="Arial" w:hAnsi="Arial"/>
          <w:sz w:val="15"/>
          <w:szCs w:val="15"/>
          <w:color w:val="auto"/>
        </w:rPr>
        <w:t>The underwriting team for the proposed investment presents the updated executive summary and key findings from due diligence to the investment committee on an ongoing, weekly basis. Prior to the commencement of documentation, approval from the investment committee is sought and, if approved, the underwriting professionals heretofore involved proceed to documentation.</w:t>
      </w:r>
    </w:p>
    <w:p>
      <w:pPr>
        <w:spacing w:after="0" w:line="155" w:lineRule="exact"/>
        <w:rPr>
          <w:sz w:val="20"/>
          <w:szCs w:val="20"/>
          <w:color w:val="auto"/>
        </w:rPr>
      </w:pPr>
    </w:p>
    <w:p>
      <w:pPr>
        <w:ind w:firstLine="543"/>
        <w:spacing w:after="0" w:line="260" w:lineRule="auto"/>
        <w:rPr>
          <w:sz w:val="20"/>
          <w:szCs w:val="20"/>
          <w:color w:val="auto"/>
        </w:rPr>
      </w:pPr>
      <w:r>
        <w:rPr>
          <w:rFonts w:ascii="Arial" w:cs="Arial" w:eastAsia="Arial" w:hAnsi="Arial"/>
          <w:sz w:val="15"/>
          <w:szCs w:val="15"/>
          <w:color w:val="auto"/>
        </w:rPr>
        <w:t>At all times during the documentation process, the underwriting professionals who conducted the due diligence remain involved; likewise, all extensively negotiated documentation decisions are made by the lead underwriting team member, in accordance with input from at least one investment committee member and guidance from outside counsel. As and to the extent necessary, key documentation challenges are brought before the investment committee for prompt discussion and resolution. Upon the completion of satisfactory documentation and the satisfaction of closing conditions, final approval is sought from the investment committee before closing and funding.</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ONGOING RELATIONSHIPS WITH PORTFOLIO COMPANIES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Monitoring</w:t>
      </w:r>
    </w:p>
    <w:p>
      <w:pPr>
        <w:spacing w:after="0" w:line="189" w:lineRule="exact"/>
        <w:rPr>
          <w:sz w:val="20"/>
          <w:szCs w:val="20"/>
          <w:color w:val="auto"/>
        </w:rPr>
      </w:pPr>
    </w:p>
    <w:p>
      <w:pPr>
        <w:ind w:firstLine="543"/>
        <w:spacing w:after="0" w:line="256" w:lineRule="auto"/>
        <w:rPr>
          <w:sz w:val="20"/>
          <w:szCs w:val="20"/>
          <w:color w:val="auto"/>
        </w:rPr>
      </w:pPr>
      <w:r>
        <w:rPr>
          <w:rFonts w:ascii="Arial" w:cs="Arial" w:eastAsia="Arial" w:hAnsi="Arial"/>
          <w:sz w:val="15"/>
          <w:szCs w:val="15"/>
          <w:color w:val="auto"/>
        </w:rPr>
        <w:t>Our investment adviser will monitor our portfolio companies on an ongoing basis. It will monitor the financial trends of each portfolio company to determine if it is meeting its business plan and to assess the appropriate course of action for each company. We generally require our portfolio companies to provide annual audited financial statements, quarterly unaudited financial statements, in each case, with management discussion and analysis and covenant compliance certificates, and monthly unaudited financial statements. Using the monthly financial statements, we calculate and evaluate all financial covenants and additional financial coverage ratios that might not be part of our covenant package in the loan documents. For purposes of analyzing a portfolio company’s financial performance, we may adjust their financial statements to reflect pro forma results in the event of a recent change of control, sale, acquisition or anticipated cost savings.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investment adviser has several methods of evaluating and monitoring the performance and fair value of our investments, including the following:</w:t>
      </w:r>
    </w:p>
    <w:p>
      <w:pPr>
        <w:spacing w:after="0" w:line="189" w:lineRule="exact"/>
        <w:rPr>
          <w:sz w:val="20"/>
          <w:szCs w:val="20"/>
          <w:color w:val="auto"/>
        </w:rPr>
      </w:pPr>
    </w:p>
    <w:p>
      <w:pPr>
        <w:ind w:left="5680" w:right="4200" w:hanging="5452"/>
        <w:spacing w:after="0" w:line="780" w:lineRule="auto"/>
        <w:tabs>
          <w:tab w:leader="none" w:pos="571" w:val="left"/>
        </w:tabs>
        <w:numPr>
          <w:ilvl w:val="0"/>
          <w:numId w:val="9"/>
        </w:numPr>
        <w:rPr>
          <w:rFonts w:ascii="Arial" w:cs="Arial" w:eastAsia="Arial" w:hAnsi="Arial"/>
          <w:sz w:val="15"/>
          <w:szCs w:val="15"/>
          <w:color w:val="auto"/>
        </w:rPr>
      </w:pPr>
      <w:r>
        <w:rPr>
          <w:rFonts w:ascii="Arial" w:cs="Arial" w:eastAsia="Arial" w:hAnsi="Arial"/>
          <w:sz w:val="15"/>
          <w:szCs w:val="15"/>
          <w:color w:val="auto"/>
        </w:rPr>
        <w:t>Assessment of success in adhering to each portfolio company’s business plan and compliance with covenants;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26884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00"/>
          </w:cols>
          <w:pgMar w:left="240" w:top="762" w:right="259" w:bottom="1440" w:gutter="0" w:footer="0" w:header="0"/>
        </w:sectPr>
      </w:pPr>
    </w:p>
    <w:bookmarkStart w:id="9" w:name="page10"/>
    <w:bookmarkEnd w:id="9"/>
    <w:p>
      <w:pPr>
        <w:ind w:left="560" w:right="800" w:hanging="332"/>
        <w:spacing w:after="0" w:line="276" w:lineRule="auto"/>
        <w:tabs>
          <w:tab w:leader="none" w:pos="5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Periodic and regular contact with portfolio company management and, if appropriate, the financial or strategic sponsor, to discuss financial position, requirements and accomplishments;</w:t>
      </w:r>
    </w:p>
    <w:p>
      <w:pPr>
        <w:spacing w:after="0" w:line="146" w:lineRule="exact"/>
        <w:rPr>
          <w:rFonts w:ascii="Arial" w:cs="Arial" w:eastAsia="Arial" w:hAnsi="Arial"/>
          <w:sz w:val="15"/>
          <w:szCs w:val="15"/>
          <w:color w:val="auto"/>
        </w:rPr>
      </w:pPr>
    </w:p>
    <w:p>
      <w:pPr>
        <w:ind w:left="560" w:hanging="332"/>
        <w:spacing w:after="0"/>
        <w:tabs>
          <w:tab w:leader="none" w:pos="5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Comparisons to our other portfolio companies in the industry, if any;</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Attendance at and participation in board meetings; and</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Review of monthly and quarterly financial statements and financial projections for portfolio companies.</w:t>
      </w:r>
    </w:p>
    <w:p>
      <w:pPr>
        <w:spacing w:after="0" w:line="189" w:lineRule="exact"/>
        <w:rPr>
          <w:sz w:val="20"/>
          <w:szCs w:val="20"/>
          <w:color w:val="auto"/>
        </w:rPr>
      </w:pPr>
    </w:p>
    <w:p>
      <w:pPr>
        <w:ind w:right="40" w:firstLine="543"/>
        <w:spacing w:after="0" w:line="276" w:lineRule="auto"/>
        <w:rPr>
          <w:sz w:val="20"/>
          <w:szCs w:val="20"/>
          <w:color w:val="auto"/>
        </w:rPr>
      </w:pPr>
      <w:r>
        <w:rPr>
          <w:rFonts w:ascii="Arial" w:cs="Arial" w:eastAsia="Arial" w:hAnsi="Arial"/>
          <w:sz w:val="15"/>
          <w:szCs w:val="15"/>
          <w:color w:val="auto"/>
        </w:rPr>
        <w:t>In addition to various risk management and monitoring tools, our investment adviser also uses an investment rating system to characterize and monitor our expected level of return on each investment in our portfolio.</w:t>
      </w:r>
    </w:p>
    <w:p>
      <w:pPr>
        <w:spacing w:after="0" w:line="146" w:lineRule="exact"/>
        <w:rPr>
          <w:sz w:val="20"/>
          <w:szCs w:val="20"/>
          <w:color w:val="auto"/>
        </w:rPr>
      </w:pPr>
    </w:p>
    <w:p>
      <w:pPr>
        <w:ind w:firstLine="543"/>
        <w:spacing w:after="0" w:line="284" w:lineRule="auto"/>
        <w:rPr>
          <w:sz w:val="20"/>
          <w:szCs w:val="20"/>
          <w:color w:val="auto"/>
        </w:rPr>
      </w:pPr>
      <w:r>
        <w:rPr>
          <w:rFonts w:ascii="Arial" w:cs="Arial" w:eastAsia="Arial" w:hAnsi="Arial"/>
          <w:sz w:val="14"/>
          <w:szCs w:val="14"/>
          <w:color w:val="auto"/>
        </w:rPr>
        <w:t>As part of our valuation procedures, we risk rate all of our investments. In general, our investment rating system uses a scale of 1 to 5, with 1 being the lowest probability of default and principal loss. Our internal rating is not an exact system, but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internal investment rating system incorporates the following five categories:</w:t>
      </w:r>
    </w:p>
    <w:p>
      <w:pPr>
        <w:sectPr>
          <w:pgSz w:w="11900" w:h="16838" w:orient="portrait"/>
          <w:cols w:equalWidth="0" w:num="1">
            <w:col w:w="11380"/>
          </w:cols>
          <w:pgMar w:left="240" w:top="762" w:right="279" w:bottom="1440" w:gutter="0" w:footer="0" w:header="0"/>
        </w:sectPr>
      </w:pPr>
    </w:p>
    <w:p>
      <w:pPr>
        <w:spacing w:after="0" w:line="185" w:lineRule="exact"/>
        <w:rPr>
          <w:sz w:val="20"/>
          <w:szCs w:val="20"/>
          <w:color w:val="auto"/>
        </w:rPr>
      </w:pPr>
    </w:p>
    <w:p>
      <w:pPr>
        <w:jc w:val="center"/>
        <w:ind w:right="1980"/>
        <w:spacing w:after="0"/>
        <w:rPr>
          <w:sz w:val="20"/>
          <w:szCs w:val="20"/>
          <w:color w:val="auto"/>
        </w:rPr>
      </w:pPr>
      <w:r>
        <w:rPr>
          <w:rFonts w:ascii="Arial" w:cs="Arial" w:eastAsia="Arial" w:hAnsi="Arial"/>
          <w:sz w:val="13"/>
          <w:szCs w:val="13"/>
          <w:b w:val="1"/>
          <w:bCs w:val="1"/>
          <w:color w:val="auto"/>
        </w:rPr>
        <w:t>Investment</w:t>
      </w:r>
    </w:p>
    <w:p>
      <w:pPr>
        <w:spacing w:after="0" w:line="45" w:lineRule="exact"/>
        <w:rPr>
          <w:sz w:val="20"/>
          <w:szCs w:val="20"/>
          <w:color w:val="auto"/>
        </w:rPr>
      </w:pPr>
    </w:p>
    <w:p>
      <w:pPr>
        <w:jc w:val="center"/>
        <w:ind w:right="1980"/>
        <w:spacing w:after="0"/>
        <w:rPr>
          <w:sz w:val="20"/>
          <w:szCs w:val="20"/>
          <w:color w:val="auto"/>
        </w:rPr>
      </w:pPr>
      <w:r>
        <w:rPr>
          <w:rFonts w:ascii="Arial" w:cs="Arial" w:eastAsia="Arial" w:hAnsi="Arial"/>
          <w:sz w:val="15"/>
          <w:szCs w:val="15"/>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6350</wp:posOffset>
            </wp:positionV>
            <wp:extent cx="62484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484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jc w:val="center"/>
        <w:ind w:right="4140"/>
        <w:spacing w:after="0"/>
        <w:rPr>
          <w:sz w:val="20"/>
          <w:szCs w:val="20"/>
          <w:color w:val="auto"/>
        </w:rPr>
      </w:pPr>
      <w:r>
        <w:rPr>
          <w:rFonts w:ascii="Arial" w:cs="Arial" w:eastAsia="Arial" w:hAnsi="Arial"/>
          <w:sz w:val="13"/>
          <w:szCs w:val="13"/>
          <w:b w:val="1"/>
          <w:bCs w:val="1"/>
          <w:color w:val="auto"/>
        </w:rPr>
        <w:t>Summary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-2264410</wp:posOffset>
            </wp:positionH>
            <wp:positionV relativeFrom="paragraph">
              <wp:posOffset>29210</wp:posOffset>
            </wp:positionV>
            <wp:extent cx="542988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29885" cy="698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5100" w:space="720"/>
            <w:col w:w="5560"/>
          </w:cols>
          <w:pgMar w:left="240" w:top="762" w:right="279" w:bottom="1440" w:gutter="0" w:footer="0" w:header="0"/>
          <w:type w:val="continuous"/>
        </w:sectPr>
      </w:pPr>
    </w:p>
    <w:p>
      <w:pPr>
        <w:ind w:left="2260" w:right="600" w:hanging="729"/>
        <w:spacing w:after="0" w:line="258" w:lineRule="auto"/>
        <w:tabs>
          <w:tab w:leader="none" w:pos="22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 general, the investment may be performing above our internal expectations. Full return of principal and interest is expected. Capital gain is expected.</w:t>
      </w:r>
    </w:p>
    <w:p>
      <w:pPr>
        <w:ind w:left="2260" w:hanging="729"/>
        <w:spacing w:after="0"/>
        <w:tabs>
          <w:tab w:leader="none" w:pos="2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general, the investment may be performing within our internal expectations, and potential risks to the applicable investment are considered</w:t>
      </w:r>
    </w:p>
    <w:p>
      <w:pPr>
        <w:spacing w:after="0" w:line="20" w:lineRule="exact"/>
        <w:rPr>
          <w:sz w:val="20"/>
          <w:szCs w:val="20"/>
          <w:color w:val="auto"/>
        </w:rPr>
      </w:pPr>
    </w:p>
    <w:p>
      <w:pPr>
        <w:ind w:left="2260" w:right="740"/>
        <w:spacing w:after="0" w:line="251" w:lineRule="auto"/>
        <w:rPr>
          <w:sz w:val="20"/>
          <w:szCs w:val="20"/>
          <w:color w:val="auto"/>
        </w:rPr>
      </w:pPr>
      <w:r>
        <w:rPr>
          <w:rFonts w:ascii="Arial" w:cs="Arial" w:eastAsia="Arial" w:hAnsi="Arial"/>
          <w:sz w:val="15"/>
          <w:szCs w:val="15"/>
          <w:color w:val="auto"/>
        </w:rPr>
        <w:t>to be neutral or favorable compared to any potential risks at the time of the original investment. All new investments are initially given this rating.</w:t>
      </w:r>
    </w:p>
    <w:p>
      <w:pPr>
        <w:spacing w:after="0" w:line="1" w:lineRule="exact"/>
        <w:rPr>
          <w:sz w:val="20"/>
          <w:szCs w:val="20"/>
          <w:color w:val="auto"/>
        </w:rPr>
      </w:pPr>
    </w:p>
    <w:p>
      <w:pPr>
        <w:ind w:left="2260" w:right="680" w:hanging="729"/>
        <w:spacing w:after="0" w:line="290" w:lineRule="auto"/>
        <w:tabs>
          <w:tab w:leader="none" w:pos="22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 general, the investment may be performing below our internal expectations and therefore, investments in this category may require closer internal monitoring; however, the valuation team believes that no loss of investment return (interest and/or dividends) or principal is</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5"/>
          <w:szCs w:val="15"/>
          <w:color w:val="auto"/>
        </w:rPr>
        <w:t>expected. The investment also may be out of compliance with certain senior or senior subordinated debt financial covenants.</w:t>
      </w:r>
    </w:p>
    <w:p>
      <w:pPr>
        <w:spacing w:after="0" w:line="8" w:lineRule="exact"/>
        <w:rPr>
          <w:sz w:val="20"/>
          <w:szCs w:val="20"/>
          <w:color w:val="auto"/>
        </w:rPr>
      </w:pPr>
    </w:p>
    <w:p>
      <w:pPr>
        <w:ind w:left="2260" w:right="640" w:hanging="729"/>
        <w:spacing w:after="0" w:line="251" w:lineRule="auto"/>
        <w:tabs>
          <w:tab w:leader="none" w:pos="22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 general, the investment may be performing below internal expectations and quantitative or qualitative risks may have increased materially since the date of the investment. Some loss of investment return and/or principal is expected.</w:t>
      </w:r>
    </w:p>
    <w:p>
      <w:pPr>
        <w:spacing w:after="0" w:line="1" w:lineRule="exact"/>
        <w:rPr>
          <w:sz w:val="20"/>
          <w:szCs w:val="20"/>
          <w:color w:val="auto"/>
        </w:rPr>
      </w:pPr>
    </w:p>
    <w:p>
      <w:pPr>
        <w:ind w:left="2260" w:right="700" w:hanging="729"/>
        <w:spacing w:after="0" w:line="263" w:lineRule="auto"/>
        <w:tabs>
          <w:tab w:leader="none" w:pos="22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156" w:lineRule="exact"/>
        <w:rPr>
          <w:sz w:val="20"/>
          <w:szCs w:val="20"/>
          <w:color w:val="auto"/>
        </w:rPr>
      </w:pPr>
    </w:p>
    <w:p>
      <w:pPr>
        <w:ind w:right="20" w:firstLine="543"/>
        <w:spacing w:after="0" w:line="264" w:lineRule="auto"/>
        <w:rPr>
          <w:sz w:val="20"/>
          <w:szCs w:val="20"/>
          <w:color w:val="auto"/>
        </w:rPr>
      </w:pPr>
      <w:r>
        <w:rPr>
          <w:rFonts w:ascii="Arial" w:cs="Arial" w:eastAsia="Arial" w:hAnsi="Arial"/>
          <w:sz w:val="15"/>
          <w:szCs w:val="15"/>
          <w:color w:val="auto"/>
        </w:rPr>
        <w:t>Our investment adviser will monitor and, when appropriate, change the investment ratings assigned to each investment in our portfolio. In connection with our valuation process, our investment adviser will review these investment ratings on a quarterly basis, and our Board of Directors will affirm such ratings. The investment rating of a particular investment should not, however, be deemed to be a guarantee of the investment’s future performance.</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 following table shows the distribution of our investments on the 1 to 5 investment performance rating scale at fair value as of December 31, 2013 (dollars in thousands):</w:t>
      </w:r>
    </w:p>
    <w:p>
      <w:pPr>
        <w:spacing w:after="0" w:line="197" w:lineRule="exact"/>
        <w:rPr>
          <w:sz w:val="20"/>
          <w:szCs w:val="20"/>
          <w:color w:val="auto"/>
        </w:rPr>
      </w:pPr>
    </w:p>
    <w:tbl>
      <w:tblPr>
        <w:tblLayout w:type="fixed"/>
        <w:tblInd w:w="860" w:type="dxa"/>
        <w:tblCellMar>
          <w:top w:w="0" w:type="dxa"/>
          <w:left w:w="0" w:type="dxa"/>
          <w:bottom w:w="0" w:type="dxa"/>
          <w:right w:w="0" w:type="dxa"/>
        </w:tblCellMar>
      </w:tblPr>
      <w:tr>
        <w:trPr>
          <w:trHeight w:val="181"/>
        </w:trPr>
        <w:tc>
          <w:tcPr>
            <w:tcW w:w="6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5"/>
                <w:szCs w:val="15"/>
                <w:b w:val="1"/>
                <w:bCs w:val="1"/>
                <w:color w:val="auto"/>
                <w:w w:val="89"/>
              </w:rPr>
              <w:t>Investments</w:t>
            </w:r>
          </w:p>
        </w:tc>
        <w:tc>
          <w:tcPr>
            <w:tcW w:w="130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86"/>
              </w:rPr>
              <w:t>Percentage</w:t>
            </w:r>
          </w:p>
        </w:tc>
        <w:tc>
          <w:tcPr>
            <w:tcW w:w="0" w:type="dxa"/>
            <w:vAlign w:val="bottom"/>
          </w:tcPr>
          <w:p>
            <w:pPr>
              <w:spacing w:after="0"/>
              <w:rPr>
                <w:sz w:val="1"/>
                <w:szCs w:val="1"/>
                <w:color w:val="auto"/>
              </w:rPr>
            </w:pPr>
          </w:p>
        </w:tc>
      </w:tr>
      <w:tr>
        <w:trPr>
          <w:trHeight w:val="181"/>
        </w:trPr>
        <w:tc>
          <w:tcPr>
            <w:tcW w:w="6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5"/>
                <w:szCs w:val="15"/>
                <w:b w:val="1"/>
                <w:bCs w:val="1"/>
                <w:color w:val="auto"/>
                <w:w w:val="97"/>
              </w:rPr>
              <w:t>at Fair</w:t>
            </w:r>
          </w:p>
        </w:tc>
        <w:tc>
          <w:tcPr>
            <w:tcW w:w="130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2"/>
              </w:rPr>
              <w:t>of Total</w:t>
            </w:r>
          </w:p>
        </w:tc>
        <w:tc>
          <w:tcPr>
            <w:tcW w:w="0" w:type="dxa"/>
            <w:vAlign w:val="bottom"/>
          </w:tcPr>
          <w:p>
            <w:pPr>
              <w:spacing w:after="0"/>
              <w:rPr>
                <w:sz w:val="1"/>
                <w:szCs w:val="1"/>
                <w:color w:val="auto"/>
              </w:rPr>
            </w:pPr>
          </w:p>
        </w:tc>
      </w:tr>
      <w:tr>
        <w:trPr>
          <w:trHeight w:val="195"/>
        </w:trPr>
        <w:tc>
          <w:tcPr>
            <w:tcW w:w="68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Investment Performance Rating</w:t>
            </w:r>
          </w:p>
        </w:tc>
        <w:tc>
          <w:tcPr>
            <w:tcW w:w="100" w:type="dxa"/>
            <w:vAlign w:val="bottom"/>
            <w:tcBorders>
              <w:bottom w:val="single" w:sz="8" w:color="CCFFC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b w:val="1"/>
                <w:bCs w:val="1"/>
                <w:color w:val="auto"/>
                <w:w w:val="89"/>
              </w:rPr>
              <w:t>Value</w:t>
            </w:r>
          </w:p>
        </w:tc>
        <w:tc>
          <w:tcPr>
            <w:tcW w:w="180" w:type="dxa"/>
            <w:vAlign w:val="bottom"/>
            <w:tcBorders>
              <w:bottom w:val="single" w:sz="8" w:color="CCFFC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5"/>
              <w:spacing w:after="0"/>
              <w:rPr>
                <w:sz w:val="20"/>
                <w:szCs w:val="20"/>
                <w:color w:val="auto"/>
              </w:rPr>
            </w:pPr>
            <w:r>
              <w:rPr>
                <w:rFonts w:ascii="Arial" w:cs="Arial" w:eastAsia="Arial" w:hAnsi="Arial"/>
                <w:sz w:val="15"/>
                <w:szCs w:val="15"/>
                <w:b w:val="1"/>
                <w:bCs w:val="1"/>
                <w:color w:val="auto"/>
                <w:w w:val="89"/>
              </w:rPr>
              <w:t>Investments</w:t>
            </w:r>
          </w:p>
        </w:tc>
        <w:tc>
          <w:tcPr>
            <w:tcW w:w="140" w:type="dxa"/>
            <w:vAlign w:val="bottom"/>
            <w:tcBorders>
              <w:bottom w:val="single" w:sz="8" w:color="CCFFCC"/>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800" w:type="dxa"/>
            <w:vAlign w:val="bottom"/>
            <w:shd w:val="clear" w:color="auto" w:fill="CCFFCC"/>
          </w:tcPr>
          <w:p>
            <w:pPr>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jc w:val="right"/>
              <w:ind w:right="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183,194</w:t>
            </w:r>
          </w:p>
        </w:tc>
        <w:tc>
          <w:tcPr>
            <w:tcW w:w="1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300" w:type="dxa"/>
            <w:vAlign w:val="bottom"/>
            <w:gridSpan w:val="3"/>
            <w:shd w:val="clear" w:color="auto" w:fill="CCFFCC"/>
          </w:tcPr>
          <w:p>
            <w:pPr>
              <w:jc w:val="right"/>
              <w:ind w:right="20"/>
              <w:spacing w:after="0"/>
              <w:rPr>
                <w:sz w:val="20"/>
                <w:szCs w:val="20"/>
                <w:color w:val="auto"/>
              </w:rPr>
            </w:pPr>
            <w:r>
              <w:rPr>
                <w:rFonts w:ascii="Arial" w:cs="Arial" w:eastAsia="Arial" w:hAnsi="Arial"/>
                <w:sz w:val="15"/>
                <w:szCs w:val="15"/>
                <w:color w:val="auto"/>
              </w:rPr>
              <w:t>50.2%</w:t>
            </w:r>
          </w:p>
        </w:tc>
        <w:tc>
          <w:tcPr>
            <w:tcW w:w="0" w:type="dxa"/>
            <w:vAlign w:val="bottom"/>
          </w:tcPr>
          <w:p>
            <w:pPr>
              <w:spacing w:after="0"/>
              <w:rPr>
                <w:sz w:val="1"/>
                <w:szCs w:val="1"/>
                <w:color w:val="auto"/>
              </w:rPr>
            </w:pPr>
          </w:p>
        </w:tc>
      </w:tr>
      <w:tr>
        <w:trPr>
          <w:trHeight w:val="181"/>
        </w:trPr>
        <w:tc>
          <w:tcPr>
            <w:tcW w:w="6800" w:type="dxa"/>
            <w:vAlign w:val="bottom"/>
          </w:tcPr>
          <w:p>
            <w:pPr>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129,721</w:t>
            </w:r>
          </w:p>
        </w:tc>
        <w:tc>
          <w:tcPr>
            <w:tcW w:w="1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35.5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800" w:type="dxa"/>
            <w:vAlign w:val="bottom"/>
            <w:shd w:val="clear" w:color="auto" w:fill="CCFFCC"/>
          </w:tcPr>
          <w:p>
            <w:pPr>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44,680</w:t>
            </w:r>
          </w:p>
        </w:tc>
        <w:tc>
          <w:tcPr>
            <w:tcW w:w="10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rPr>
              <w:t>12.3</w:t>
            </w: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800" w:type="dxa"/>
            <w:vAlign w:val="bottom"/>
          </w:tcPr>
          <w:p>
            <w:pPr>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7,124</w:t>
            </w:r>
          </w:p>
        </w:tc>
        <w:tc>
          <w:tcPr>
            <w:tcW w:w="1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800" w:type="dxa"/>
            <w:vAlign w:val="bottom"/>
            <w:shd w:val="clear" w:color="auto" w:fill="CCFFCC"/>
          </w:tcPr>
          <w:p>
            <w:pPr>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380" w:type="dxa"/>
            <w:vAlign w:val="bottom"/>
            <w:gridSpan w:val="3"/>
            <w:shd w:val="clear" w:color="auto" w:fill="CCFFCC"/>
          </w:tcPr>
          <w:p>
            <w:pPr>
              <w:jc w:val="right"/>
              <w:ind w:right="280"/>
              <w:spacing w:after="0"/>
              <w:rPr>
                <w:sz w:val="20"/>
                <w:szCs w:val="20"/>
                <w:color w:val="auto"/>
              </w:rPr>
            </w:pPr>
            <w:r>
              <w:rPr>
                <w:rFonts w:ascii="Arial" w:cs="Arial" w:eastAsia="Arial" w:hAnsi="Arial"/>
                <w:sz w:val="15"/>
                <w:szCs w:val="15"/>
                <w:color w:val="auto"/>
              </w:rPr>
              <w:t>—</w:t>
            </w:r>
          </w:p>
        </w:tc>
        <w:tc>
          <w:tcPr>
            <w:tcW w:w="1300" w:type="dxa"/>
            <w:vAlign w:val="bottom"/>
            <w:gridSpan w:val="3"/>
            <w:shd w:val="clear" w:color="auto" w:fill="CCFFC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5"/>
                <w:szCs w:val="15"/>
                <w:color w:val="auto"/>
              </w:rPr>
              <w:t>Total</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line="20" w:lineRule="exact"/>
              <w:rPr>
                <w:sz w:val="1"/>
                <w:szCs w:val="1"/>
                <w:color w:val="auto"/>
              </w:rPr>
            </w:pPr>
          </w:p>
        </w:tc>
      </w:tr>
      <w:tr>
        <w:trPr>
          <w:trHeight w:val="194"/>
        </w:trPr>
        <w:tc>
          <w:tcPr>
            <w:tcW w:w="6800" w:type="dxa"/>
            <w:vAlign w:val="bottom"/>
            <w:vMerge w:val="continue"/>
          </w:tcPr>
          <w:p>
            <w:pPr>
              <w:spacing w:after="0"/>
              <w:rPr>
                <w:sz w:val="16"/>
                <w:szCs w:val="16"/>
                <w:color w:val="auto"/>
              </w:rPr>
            </w:pPr>
          </w:p>
        </w:tc>
        <w:tc>
          <w:tcPr>
            <w:tcW w:w="240" w:type="dxa"/>
            <w:vAlign w:val="bottom"/>
            <w:gridSpan w:val="2"/>
          </w:tcPr>
          <w:p>
            <w:pPr>
              <w:jc w:val="right"/>
              <w:ind w:right="32"/>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364,719</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100.0</w:t>
            </w:r>
          </w:p>
        </w:tc>
        <w:tc>
          <w:tcPr>
            <w:tcW w:w="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 following table shows the distribution of our investments on the 1 to 5 investment performance rating scale at fair value as of December 31, 2012 (dollars in thousands):</w:t>
      </w:r>
    </w:p>
    <w:p>
      <w:pPr>
        <w:spacing w:after="0" w:line="197" w:lineRule="exact"/>
        <w:rPr>
          <w:sz w:val="20"/>
          <w:szCs w:val="20"/>
          <w:color w:val="auto"/>
        </w:rPr>
      </w:pPr>
    </w:p>
    <w:tbl>
      <w:tblPr>
        <w:tblLayout w:type="fixed"/>
        <w:tblInd w:w="860" w:type="dxa"/>
        <w:tblCellMar>
          <w:top w:w="0" w:type="dxa"/>
          <w:left w:w="0" w:type="dxa"/>
          <w:bottom w:w="0" w:type="dxa"/>
          <w:right w:w="0" w:type="dxa"/>
        </w:tblCellMar>
      </w:tblPr>
      <w:tr>
        <w:trPr>
          <w:trHeight w:val="181"/>
        </w:trPr>
        <w:tc>
          <w:tcPr>
            <w:tcW w:w="6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5"/>
                <w:szCs w:val="15"/>
                <w:b w:val="1"/>
                <w:bCs w:val="1"/>
                <w:color w:val="auto"/>
                <w:w w:val="89"/>
              </w:rPr>
              <w:t>Investments</w:t>
            </w:r>
          </w:p>
        </w:tc>
        <w:tc>
          <w:tcPr>
            <w:tcW w:w="130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86"/>
              </w:rPr>
              <w:t>Percentage</w:t>
            </w:r>
          </w:p>
        </w:tc>
        <w:tc>
          <w:tcPr>
            <w:tcW w:w="0" w:type="dxa"/>
            <w:vAlign w:val="bottom"/>
          </w:tcPr>
          <w:p>
            <w:pPr>
              <w:spacing w:after="0"/>
              <w:rPr>
                <w:sz w:val="1"/>
                <w:szCs w:val="1"/>
                <w:color w:val="auto"/>
              </w:rPr>
            </w:pPr>
          </w:p>
        </w:tc>
      </w:tr>
      <w:tr>
        <w:trPr>
          <w:trHeight w:val="181"/>
        </w:trPr>
        <w:tc>
          <w:tcPr>
            <w:tcW w:w="6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5"/>
                <w:szCs w:val="15"/>
                <w:b w:val="1"/>
                <w:bCs w:val="1"/>
                <w:color w:val="auto"/>
                <w:w w:val="97"/>
              </w:rPr>
              <w:t>at Fair</w:t>
            </w:r>
          </w:p>
        </w:tc>
        <w:tc>
          <w:tcPr>
            <w:tcW w:w="130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2"/>
              </w:rPr>
              <w:t>of Total</w:t>
            </w:r>
          </w:p>
        </w:tc>
        <w:tc>
          <w:tcPr>
            <w:tcW w:w="0" w:type="dxa"/>
            <w:vAlign w:val="bottom"/>
          </w:tcPr>
          <w:p>
            <w:pPr>
              <w:spacing w:after="0"/>
              <w:rPr>
                <w:sz w:val="1"/>
                <w:szCs w:val="1"/>
                <w:color w:val="auto"/>
              </w:rPr>
            </w:pPr>
          </w:p>
        </w:tc>
      </w:tr>
      <w:tr>
        <w:trPr>
          <w:trHeight w:val="195"/>
        </w:trPr>
        <w:tc>
          <w:tcPr>
            <w:tcW w:w="68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Investment Performance Rating</w:t>
            </w:r>
          </w:p>
        </w:tc>
        <w:tc>
          <w:tcPr>
            <w:tcW w:w="100" w:type="dxa"/>
            <w:vAlign w:val="bottom"/>
            <w:tcBorders>
              <w:bottom w:val="single" w:sz="8" w:color="CCFFC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b w:val="1"/>
                <w:bCs w:val="1"/>
                <w:color w:val="auto"/>
                <w:w w:val="89"/>
              </w:rPr>
              <w:t>Value</w:t>
            </w:r>
          </w:p>
        </w:tc>
        <w:tc>
          <w:tcPr>
            <w:tcW w:w="180" w:type="dxa"/>
            <w:vAlign w:val="bottom"/>
            <w:tcBorders>
              <w:bottom w:val="single" w:sz="8" w:color="CCFFC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5"/>
              <w:spacing w:after="0"/>
              <w:rPr>
                <w:sz w:val="20"/>
                <w:szCs w:val="20"/>
                <w:color w:val="auto"/>
              </w:rPr>
            </w:pPr>
            <w:r>
              <w:rPr>
                <w:rFonts w:ascii="Arial" w:cs="Arial" w:eastAsia="Arial" w:hAnsi="Arial"/>
                <w:sz w:val="15"/>
                <w:szCs w:val="15"/>
                <w:b w:val="1"/>
                <w:bCs w:val="1"/>
                <w:color w:val="auto"/>
                <w:w w:val="89"/>
              </w:rPr>
              <w:t>Investments</w:t>
            </w:r>
          </w:p>
        </w:tc>
        <w:tc>
          <w:tcPr>
            <w:tcW w:w="140" w:type="dxa"/>
            <w:vAlign w:val="bottom"/>
            <w:tcBorders>
              <w:bottom w:val="single" w:sz="8" w:color="CCFFCC"/>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800" w:type="dxa"/>
            <w:vAlign w:val="bottom"/>
            <w:shd w:val="clear" w:color="auto" w:fill="CCFFCC"/>
          </w:tcPr>
          <w:p>
            <w:pPr>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jc w:val="right"/>
              <w:ind w:right="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172,598</w:t>
            </w:r>
          </w:p>
        </w:tc>
        <w:tc>
          <w:tcPr>
            <w:tcW w:w="1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300" w:type="dxa"/>
            <w:vAlign w:val="bottom"/>
            <w:gridSpan w:val="3"/>
            <w:shd w:val="clear" w:color="auto" w:fill="CCFFCC"/>
          </w:tcPr>
          <w:p>
            <w:pPr>
              <w:jc w:val="right"/>
              <w:ind w:right="20"/>
              <w:spacing w:after="0"/>
              <w:rPr>
                <w:sz w:val="20"/>
                <w:szCs w:val="20"/>
                <w:color w:val="auto"/>
              </w:rPr>
            </w:pPr>
            <w:r>
              <w:rPr>
                <w:rFonts w:ascii="Arial" w:cs="Arial" w:eastAsia="Arial" w:hAnsi="Arial"/>
                <w:sz w:val="15"/>
                <w:szCs w:val="15"/>
                <w:color w:val="auto"/>
              </w:rPr>
              <w:t>60.8%</w:t>
            </w:r>
          </w:p>
        </w:tc>
        <w:tc>
          <w:tcPr>
            <w:tcW w:w="0" w:type="dxa"/>
            <w:vAlign w:val="bottom"/>
          </w:tcPr>
          <w:p>
            <w:pPr>
              <w:spacing w:after="0"/>
              <w:rPr>
                <w:sz w:val="1"/>
                <w:szCs w:val="1"/>
                <w:color w:val="auto"/>
              </w:rPr>
            </w:pPr>
          </w:p>
        </w:tc>
      </w:tr>
      <w:tr>
        <w:trPr>
          <w:trHeight w:val="181"/>
        </w:trPr>
        <w:tc>
          <w:tcPr>
            <w:tcW w:w="6800" w:type="dxa"/>
            <w:vAlign w:val="bottom"/>
          </w:tcPr>
          <w:p>
            <w:pPr>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80,676</w:t>
            </w:r>
          </w:p>
        </w:tc>
        <w:tc>
          <w:tcPr>
            <w:tcW w:w="1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28.4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800" w:type="dxa"/>
            <w:vAlign w:val="bottom"/>
            <w:shd w:val="clear" w:color="auto" w:fill="CCFFCC"/>
          </w:tcPr>
          <w:p>
            <w:pPr>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21,870</w:t>
            </w:r>
          </w:p>
        </w:tc>
        <w:tc>
          <w:tcPr>
            <w:tcW w:w="10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rPr>
              <w:t>7.7</w:t>
            </w: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800" w:type="dxa"/>
            <w:vAlign w:val="bottom"/>
          </w:tcPr>
          <w:p>
            <w:pPr>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8,787</w:t>
            </w:r>
          </w:p>
        </w:tc>
        <w:tc>
          <w:tcPr>
            <w:tcW w:w="1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800" w:type="dxa"/>
            <w:vAlign w:val="bottom"/>
            <w:shd w:val="clear" w:color="auto" w:fill="CCFFCC"/>
          </w:tcPr>
          <w:p>
            <w:pPr>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380" w:type="dxa"/>
            <w:vAlign w:val="bottom"/>
            <w:gridSpan w:val="3"/>
            <w:shd w:val="clear" w:color="auto" w:fill="CCFFCC"/>
          </w:tcPr>
          <w:p>
            <w:pPr>
              <w:jc w:val="right"/>
              <w:ind w:right="280"/>
              <w:spacing w:after="0"/>
              <w:rPr>
                <w:sz w:val="20"/>
                <w:szCs w:val="20"/>
                <w:color w:val="auto"/>
              </w:rPr>
            </w:pPr>
            <w:r>
              <w:rPr>
                <w:rFonts w:ascii="Arial" w:cs="Arial" w:eastAsia="Arial" w:hAnsi="Arial"/>
                <w:sz w:val="15"/>
                <w:szCs w:val="15"/>
                <w:color w:val="auto"/>
              </w:rPr>
              <w:t>—</w:t>
            </w:r>
          </w:p>
        </w:tc>
        <w:tc>
          <w:tcPr>
            <w:tcW w:w="1300" w:type="dxa"/>
            <w:vAlign w:val="bottom"/>
            <w:gridSpan w:val="3"/>
            <w:shd w:val="clear" w:color="auto" w:fill="CCFFC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5"/>
                <w:szCs w:val="15"/>
                <w:color w:val="auto"/>
              </w:rPr>
              <w:t>Total</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line="20" w:lineRule="exact"/>
              <w:rPr>
                <w:sz w:val="1"/>
                <w:szCs w:val="1"/>
                <w:color w:val="auto"/>
              </w:rPr>
            </w:pPr>
          </w:p>
        </w:tc>
      </w:tr>
      <w:tr>
        <w:trPr>
          <w:trHeight w:val="194"/>
        </w:trPr>
        <w:tc>
          <w:tcPr>
            <w:tcW w:w="6800" w:type="dxa"/>
            <w:vAlign w:val="bottom"/>
            <w:vMerge w:val="continue"/>
          </w:tcPr>
          <w:p>
            <w:pPr>
              <w:spacing w:after="0"/>
              <w:rPr>
                <w:sz w:val="16"/>
                <w:szCs w:val="16"/>
                <w:color w:val="auto"/>
              </w:rPr>
            </w:pPr>
          </w:p>
        </w:tc>
        <w:tc>
          <w:tcPr>
            <w:tcW w:w="240" w:type="dxa"/>
            <w:vAlign w:val="bottom"/>
            <w:gridSpan w:val="2"/>
          </w:tcPr>
          <w:p>
            <w:pPr>
              <w:jc w:val="right"/>
              <w:ind w:right="32"/>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283,931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100.0</w:t>
            </w:r>
          </w:p>
        </w:tc>
        <w:tc>
          <w:tcPr>
            <w:tcW w:w="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Procedures</w:t>
      </w:r>
    </w:p>
    <w:p>
      <w:pPr>
        <w:spacing w:after="0" w:line="189" w:lineRule="exact"/>
        <w:rPr>
          <w:sz w:val="20"/>
          <w:szCs w:val="20"/>
          <w:color w:val="auto"/>
        </w:rPr>
      </w:pPr>
    </w:p>
    <w:p>
      <w:pPr>
        <w:ind w:right="560" w:firstLine="543"/>
        <w:spacing w:after="0" w:line="276" w:lineRule="auto"/>
        <w:rPr>
          <w:sz w:val="20"/>
          <w:szCs w:val="20"/>
          <w:color w:val="auto"/>
        </w:rPr>
      </w:pPr>
      <w:r>
        <w:rPr>
          <w:rFonts w:ascii="Arial" w:cs="Arial" w:eastAsia="Arial" w:hAnsi="Arial"/>
          <w:sz w:val="15"/>
          <w:szCs w:val="15"/>
          <w:color w:val="auto"/>
        </w:rPr>
        <w:t>We will conduct the valuation of our assets, pursuant to which our net asset value shall be determined, at all times consistent with GAAP, the 1940 Act and SBA valuation guidelines. Our valuation procedures are set forth in more detail below:</w:t>
      </w:r>
    </w:p>
    <w:p>
      <w:pPr>
        <w:spacing w:after="0" w:line="146" w:lineRule="exact"/>
        <w:rPr>
          <w:sz w:val="20"/>
          <w:szCs w:val="20"/>
          <w:color w:val="auto"/>
        </w:rPr>
      </w:pPr>
    </w:p>
    <w:p>
      <w:pPr>
        <w:ind w:right="40" w:firstLine="543"/>
        <w:spacing w:after="0" w:line="264" w:lineRule="auto"/>
        <w:rPr>
          <w:sz w:val="20"/>
          <w:szCs w:val="20"/>
          <w:color w:val="auto"/>
        </w:rPr>
      </w:pPr>
      <w:r>
        <w:rPr>
          <w:rFonts w:ascii="Arial" w:cs="Arial" w:eastAsia="Arial" w:hAnsi="Arial"/>
          <w:sz w:val="15"/>
          <w:szCs w:val="15"/>
          <w:color w:val="auto"/>
        </w:rPr>
        <w:t>Securities for which market quotations are readily available on an exchange shall be valued at such price as of the closing price on the day of valuation. We may also obtain quotes with respect to certain of our investments from pricing services or brokers or dealers in order to value assets. When doing so, we will determine whether the quote obtained is sufficient according to GAAP to determine the fair value of the security. If determined adequate, we will use the quote obtained.</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380"/>
          </w:cols>
          <w:pgMar w:left="240" w:top="762" w:right="279" w:bottom="1440" w:gutter="0" w:footer="0" w:header="0"/>
          <w:type w:val="continuous"/>
        </w:sectPr>
      </w:pPr>
    </w:p>
    <w:bookmarkStart w:id="10" w:name="page11"/>
    <w:bookmarkEnd w:id="10"/>
    <w:p>
      <w:pPr>
        <w:ind w:left="10" w:right="40" w:firstLine="543"/>
        <w:spacing w:after="0" w:line="295" w:lineRule="auto"/>
        <w:rPr>
          <w:sz w:val="20"/>
          <w:szCs w:val="20"/>
          <w:color w:val="auto"/>
        </w:rPr>
      </w:pPr>
      <w:r>
        <w:rPr>
          <w:rFonts w:ascii="Arial" w:cs="Arial" w:eastAsia="Arial" w:hAnsi="Arial"/>
          <w:sz w:val="13"/>
          <w:szCs w:val="13"/>
          <w:color w:val="auto"/>
        </w:rPr>
        <w:t>Securities for which reliable market quotations are not readily available or for which the pricing source does not provide a valuation or methodology or provides a valuation or methodology that, in the judgment of our investment adviser or Board of Directors, does not represent fair value, shall each be valued as follows: (i) each portfolio company or investment is initially valued by the investment professionals responsible for the portfolio investment; (ii) preliminary valuation conclusions are documented and discussed with our senior management;</w:t>
      </w:r>
    </w:p>
    <w:p>
      <w:pPr>
        <w:spacing w:after="0" w:line="1" w:lineRule="exact"/>
        <w:rPr>
          <w:sz w:val="20"/>
          <w:szCs w:val="20"/>
          <w:color w:val="auto"/>
        </w:rPr>
      </w:pPr>
    </w:p>
    <w:p>
      <w:pPr>
        <w:ind w:left="10" w:hanging="10"/>
        <w:spacing w:after="0" w:line="254" w:lineRule="auto"/>
        <w:tabs>
          <w:tab w:leader="none" w:pos="273"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independent third-party valuation firms engaged by, or on behalf of, the Board of Directors will conduct independent appraisals, review management’s preliminary valuations and prepare separate preliminary valuation conclusions on a selected basis such that each portfolio investment shall be independently reviewed at least annually (investments will not be selected for such review, however, if they (a) have a value as of the previous quarter of less than 2.0% of our gross assets as of the previous quarter, or (b) have a value as of the current quarter of less than 2.0% of our gross assets as of the previous quarter, after taking into account any repayment of principal during the current quarter); and (iv) the Board of Directors will discuss valuations and determine the fair value of each investment in our portfolio in good faith based on the input of the investment adviser and, where appropriate, the respective third-party valuation firms.</w:t>
      </w:r>
    </w:p>
    <w:p>
      <w:pPr>
        <w:spacing w:after="0" w:line="162" w:lineRule="exact"/>
        <w:rPr>
          <w:sz w:val="20"/>
          <w:szCs w:val="20"/>
          <w:color w:val="auto"/>
        </w:rPr>
      </w:pPr>
    </w:p>
    <w:p>
      <w:pPr>
        <w:ind w:left="10" w:right="60" w:firstLine="543"/>
        <w:spacing w:after="0" w:line="264" w:lineRule="auto"/>
        <w:rPr>
          <w:sz w:val="20"/>
          <w:szCs w:val="20"/>
          <w:color w:val="auto"/>
        </w:rPr>
      </w:pPr>
      <w:r>
        <w:rPr>
          <w:rFonts w:ascii="Arial" w:cs="Arial" w:eastAsia="Arial" w:hAnsi="Arial"/>
          <w:sz w:val="15"/>
          <w:szCs w:val="15"/>
          <w:color w:val="auto"/>
        </w:rPr>
        <w:t>Determination of the fair value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 In addition, the SBA has established certain valuation guidelines for SBICs to follow when valuing portfolio investments.</w:t>
      </w:r>
    </w:p>
    <w:p>
      <w:pPr>
        <w:spacing w:after="0" w:line="155" w:lineRule="exact"/>
        <w:rPr>
          <w:sz w:val="20"/>
          <w:szCs w:val="20"/>
          <w:color w:val="auto"/>
        </w:rPr>
      </w:pPr>
    </w:p>
    <w:p>
      <w:pPr>
        <w:ind w:left="10" w:right="60" w:firstLine="543"/>
        <w:spacing w:after="0" w:line="284" w:lineRule="auto"/>
        <w:rPr>
          <w:sz w:val="20"/>
          <w:szCs w:val="20"/>
          <w:color w:val="auto"/>
        </w:rPr>
      </w:pPr>
      <w:r>
        <w:rPr>
          <w:rFonts w:ascii="Arial" w:cs="Arial" w:eastAsia="Arial" w:hAnsi="Arial"/>
          <w:sz w:val="14"/>
          <w:szCs w:val="14"/>
          <w:color w:val="auto"/>
        </w:rPr>
        <w:t>In making the good faith determination of the value of these securities, we start with the cost basis of the security, which includes the amortized original issue discount and PIK interest, if any. We prepare the valuations of our investments in portfolio companies using the most recent portfolio company financial statements and forecasts. We also consult updates that we receive from senior management members at portfolio companies, whether solicited for valuation purposes, or received in the ordinary course of our portfolio monitoring or due diligence process. These updates include information such as industry trends, new product development or service offerings and other operational or strategic issues.</w:t>
      </w:r>
    </w:p>
    <w:p>
      <w:pPr>
        <w:spacing w:after="0" w:line="143" w:lineRule="exact"/>
        <w:rPr>
          <w:sz w:val="20"/>
          <w:szCs w:val="20"/>
          <w:color w:val="auto"/>
        </w:rPr>
      </w:pPr>
    </w:p>
    <w:p>
      <w:pPr>
        <w:ind w:left="10" w:right="60" w:firstLine="543"/>
        <w:spacing w:after="0" w:line="258" w:lineRule="auto"/>
        <w:rPr>
          <w:sz w:val="20"/>
          <w:szCs w:val="20"/>
          <w:color w:val="auto"/>
        </w:rPr>
      </w:pPr>
      <w:r>
        <w:rPr>
          <w:rFonts w:ascii="Arial" w:cs="Arial" w:eastAsia="Arial" w:hAnsi="Arial"/>
          <w:sz w:val="15"/>
          <w:szCs w:val="15"/>
          <w:color w:val="auto"/>
        </w:rPr>
        <w:t>For debt securities that are not publicly traded or for which there is no market, we begin with our investment rating of the security as described above. Using this investment rating, we seek to determine the value of the security as if we intended to sell the security in a current sale. The factors that may be taken into account in arriving at fair value include the following, as applicable: the portfolio company’s ability to service its interest and principal payment obligations, its estimated earnings and projected discounted cash flows, the nature and realizable value of any collateral, the financial environment in which the portfolio company operates, comparisons to securities of similar publicly traded companies, statistical ratios compared to lending standards and to other similarly situated securities and other relevant factors.</w:t>
      </w:r>
    </w:p>
    <w:p>
      <w:pPr>
        <w:spacing w:after="0" w:line="159" w:lineRule="exact"/>
        <w:rPr>
          <w:sz w:val="20"/>
          <w:szCs w:val="20"/>
          <w:color w:val="auto"/>
        </w:rPr>
      </w:pPr>
    </w:p>
    <w:p>
      <w:pPr>
        <w:ind w:left="10" w:right="20" w:firstLine="543"/>
        <w:spacing w:after="0" w:line="256" w:lineRule="auto"/>
        <w:rPr>
          <w:sz w:val="20"/>
          <w:szCs w:val="20"/>
          <w:color w:val="auto"/>
        </w:rPr>
      </w:pPr>
      <w:r>
        <w:rPr>
          <w:rFonts w:ascii="Arial" w:cs="Arial" w:eastAsia="Arial" w:hAnsi="Arial"/>
          <w:sz w:val="15"/>
          <w:szCs w:val="15"/>
          <w:color w:val="auto"/>
        </w:rPr>
        <w:t>As part of the fair valuation process, the audit committee reviews the preliminary evaluations prepared by the independent valuation firm engaged by the Board of Directors, as well as management’s valuation recommendations. Management and the independent valuation firm respond to the preliminary evaluation to reflect comments provided by the audit committee. The audit committee reviews the final valuation report and management’s valuation recommendations and makes a recommendation to the Board of Directors based on its analysis of the methodologies employed and the various weights that should be accorded to each portion of the valuation as well as factors that the independent valuation firm and management may not have considered in their evaluation process. The Board of Directors then evaluates the audit committee recommendations and undertakes a similar analysis to determine the fair value of each investment in the portfolio in good faith.</w:t>
      </w:r>
    </w:p>
    <w:p>
      <w:pPr>
        <w:spacing w:after="0" w:line="163" w:lineRule="exact"/>
        <w:rPr>
          <w:sz w:val="20"/>
          <w:szCs w:val="20"/>
          <w:color w:val="auto"/>
        </w:rPr>
      </w:pPr>
    </w:p>
    <w:p>
      <w:pPr>
        <w:ind w:left="10" w:right="120" w:firstLine="543"/>
        <w:spacing w:after="0" w:line="284" w:lineRule="auto"/>
        <w:rPr>
          <w:sz w:val="20"/>
          <w:szCs w:val="20"/>
          <w:color w:val="auto"/>
        </w:rPr>
      </w:pPr>
      <w:r>
        <w:rPr>
          <w:rFonts w:ascii="Arial" w:cs="Arial" w:eastAsia="Arial" w:hAnsi="Arial"/>
          <w:sz w:val="14"/>
          <w:szCs w:val="14"/>
          <w:color w:val="auto"/>
        </w:rPr>
        <w:t>Due to the inherent uncertainty of determining the fair value of investments that do not have a readily available market value, the fair value of our investments may differ significantly from the values that would have been used had a ready market existed for such investments, and the differences could be material. Additionally, changes in the market environment and other events that may occur over the life of the investments may cause the gains or losses ultimately realized on these investments to differ from the valuations assigned at any time. For a discussion of the risks inherent in determining the fair value of securities for which readily available market values do not exist, see “Risk Factors.”</w:t>
      </w:r>
    </w:p>
    <w:p>
      <w:pPr>
        <w:spacing w:after="0" w:line="139"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SBIC LICENSES</w:t>
      </w:r>
    </w:p>
    <w:p>
      <w:pPr>
        <w:spacing w:after="0" w:line="193" w:lineRule="exact"/>
        <w:rPr>
          <w:sz w:val="20"/>
          <w:szCs w:val="20"/>
          <w:color w:val="auto"/>
        </w:rPr>
      </w:pPr>
    </w:p>
    <w:p>
      <w:pPr>
        <w:ind w:left="10" w:right="320" w:firstLine="543"/>
        <w:spacing w:after="0" w:line="323" w:lineRule="auto"/>
        <w:rPr>
          <w:sz w:val="20"/>
          <w:szCs w:val="20"/>
          <w:color w:val="auto"/>
        </w:rPr>
      </w:pPr>
      <w:r>
        <w:rPr>
          <w:rFonts w:ascii="Arial" w:cs="Arial" w:eastAsia="Arial" w:hAnsi="Arial"/>
          <w:sz w:val="13"/>
          <w:szCs w:val="13"/>
          <w:color w:val="auto"/>
        </w:rPr>
        <w:t>Fund II and Fund III, which are our wholly-owned subsidiaries, are licensed to act as SBICs and are regulated by the SBA. The SBIC licenses allow our SBIC subsidiaries to borrow funds by issuing SBA-guaranteed debentures, subject to the issuance of a capital commitment by the SBA and other customary procedures. The SBA regulations require, among other things, that a licensed SBIC be examined periodically and audited by an independent auditor to determine the SBIC’s compliance with the relevant SBA regulations.</w:t>
      </w:r>
    </w:p>
    <w:p>
      <w:pPr>
        <w:spacing w:after="0" w:line="120" w:lineRule="exact"/>
        <w:rPr>
          <w:sz w:val="20"/>
          <w:szCs w:val="20"/>
          <w:color w:val="auto"/>
        </w:rPr>
      </w:pPr>
    </w:p>
    <w:p>
      <w:pPr>
        <w:ind w:left="10" w:right="20" w:firstLine="543"/>
        <w:spacing w:after="0" w:line="276" w:lineRule="auto"/>
        <w:rPr>
          <w:sz w:val="20"/>
          <w:szCs w:val="20"/>
          <w:color w:val="auto"/>
        </w:rPr>
      </w:pPr>
      <w:r>
        <w:rPr>
          <w:rFonts w:ascii="Arial" w:cs="Arial" w:eastAsia="Arial" w:hAnsi="Arial"/>
          <w:sz w:val="14"/>
          <w:szCs w:val="14"/>
          <w:color w:val="auto"/>
        </w:rPr>
        <w:t>Under current SBA regulations, a licensed SBIC may provide capital to those entities that have a tangible net worth not exceeding $18.0 million and an average annual net income after U.S. federal income taxes not exceeding $6.0 million for the two most recent fiscal years. In addition, a licensed SBIC must devote 25.0% of its investment activity to those entities that have a tangible net worth not exceeding $6.0 million and an average annual net income after U.S. federal income taxes not exceeding $2.0 million for the two most recent fiscal years. The SBA regulations also provide alternative size standard criteria to determine eligibility, which depend on the industry in which the business is engaged and are based on factors such as the number of employees and gross sales. The SBA regulations permit licensed SBICs to make long-term loans to small 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a few prohibited industries. Compliance with SBA requirements may cause Fund II and Fund III to forego attractive investment opportunities that are not permitted under SBA regulations.</w:t>
      </w:r>
    </w:p>
    <w:p>
      <w:pPr>
        <w:spacing w:after="0" w:line="329"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6884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50"/>
          </w:cols>
          <w:pgMar w:left="230" w:top="762" w:right="219" w:bottom="1440" w:gutter="0" w:footer="0" w:header="0"/>
        </w:sectPr>
      </w:pPr>
    </w:p>
    <w:bookmarkStart w:id="11" w:name="page12"/>
    <w:bookmarkEnd w:id="11"/>
    <w:p>
      <w:pPr>
        <w:ind w:firstLine="543"/>
        <w:spacing w:after="0" w:line="278" w:lineRule="auto"/>
        <w:rPr>
          <w:sz w:val="20"/>
          <w:szCs w:val="20"/>
          <w:color w:val="auto"/>
        </w:rPr>
      </w:pPr>
      <w:r>
        <w:rPr>
          <w:rFonts w:ascii="Arial" w:cs="Arial" w:eastAsia="Arial" w:hAnsi="Arial"/>
          <w:sz w:val="14"/>
          <w:szCs w:val="14"/>
          <w:color w:val="auto"/>
        </w:rPr>
        <w:t>Further, the SBA regulations require that a licensed SBIC be periodically examined and audited by the SBA to determine its compliance with the relevant SBA regulations. The SBA prohibits, without prior SBA approval, a “change of control” of an SBIC or transfers that would result in any person (or a group of persons acting in concert) owning 10.0% or more of a class of capital stock of a licensed SBIC. If either Fund II or Fund III fails to comply with applicable SBA regulations, the SBA could, depending on the severity of the violation, limit or prohibit Fund II’s and Fund III’s use of debentures, declare outstanding debentures immediately due and payable, and/or limit Fund II and Fund III from making new investments. Such actions by the SBA would, in turn, negatively affect us because Fund II and Fund III are our wholly-owned subsidiaries. Fund II and Fund III were in compliance with the terms of the SBA’s leverage as of December 31, 2013 as a result of having sufficient capital as defined under the SBA regulations.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AGREEMENTS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Advisory Agreement</w:t>
      </w:r>
    </w:p>
    <w:p>
      <w:pPr>
        <w:spacing w:after="0" w:line="193" w:lineRule="exact"/>
        <w:rPr>
          <w:sz w:val="20"/>
          <w:szCs w:val="20"/>
          <w:color w:val="auto"/>
        </w:rPr>
      </w:pPr>
    </w:p>
    <w:p>
      <w:pPr>
        <w:ind w:right="400" w:firstLine="543"/>
        <w:spacing w:after="0" w:line="264" w:lineRule="auto"/>
        <w:rPr>
          <w:sz w:val="20"/>
          <w:szCs w:val="20"/>
          <w:color w:val="auto"/>
        </w:rPr>
      </w:pPr>
      <w:r>
        <w:rPr>
          <w:rFonts w:ascii="Arial" w:cs="Arial" w:eastAsia="Arial" w:hAnsi="Arial"/>
          <w:sz w:val="15"/>
          <w:szCs w:val="15"/>
          <w:color w:val="auto"/>
        </w:rPr>
        <w:t>Capitala Investment Advisors is an investment adviser that is registered as an investment adviser under the Advisers Act. Subject to the overall supervision of our Board of Directors, our Investment Adviser manages our day-to-day operations, and provides investment advisory and management services to us. Under the terms of our Investment Advisory Agreement, Capitala Investment Advisors:</w:t>
      </w:r>
    </w:p>
    <w:p>
      <w:pPr>
        <w:spacing w:after="0" w:line="155" w:lineRule="exact"/>
        <w:rPr>
          <w:sz w:val="20"/>
          <w:szCs w:val="20"/>
          <w:color w:val="auto"/>
        </w:rPr>
      </w:pPr>
    </w:p>
    <w:p>
      <w:pPr>
        <w:ind w:left="560" w:hanging="332"/>
        <w:spacing w:after="0"/>
        <w:tabs>
          <w:tab w:leader="none" w:pos="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determines the composition of our portfolio, the nature and timing of the changes to our portfolio and the manner of implementing such changes;</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identifies, evaluates and negotiates the structure of the investments we make (including performing due diligence on our prospective portfolio companies);</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closes and monitors the investments we make; and</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provides us with other investment advisory, research and related services as we may from time to time require.</w:t>
      </w:r>
    </w:p>
    <w:p>
      <w:pPr>
        <w:spacing w:after="0" w:line="189" w:lineRule="exact"/>
        <w:rPr>
          <w:sz w:val="20"/>
          <w:szCs w:val="20"/>
          <w:color w:val="auto"/>
        </w:rPr>
      </w:pPr>
    </w:p>
    <w:p>
      <w:pPr>
        <w:ind w:right="60" w:firstLine="543"/>
        <w:spacing w:after="0" w:line="276" w:lineRule="auto"/>
        <w:rPr>
          <w:sz w:val="20"/>
          <w:szCs w:val="20"/>
          <w:color w:val="auto"/>
        </w:rPr>
      </w:pPr>
      <w:r>
        <w:rPr>
          <w:rFonts w:ascii="Arial" w:cs="Arial" w:eastAsia="Arial" w:hAnsi="Arial"/>
          <w:sz w:val="15"/>
          <w:szCs w:val="15"/>
          <w:color w:val="auto"/>
        </w:rPr>
        <w:t>Capitala Investment Advisors’ services under the Investment Advisory Agreement are not exclusive, and it is free to furnish similar services to other entities so long as its services to us are not impaired.</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Management Fee</w:t>
      </w:r>
    </w:p>
    <w:p>
      <w:pPr>
        <w:spacing w:after="0" w:line="189" w:lineRule="exact"/>
        <w:rPr>
          <w:sz w:val="20"/>
          <w:szCs w:val="20"/>
          <w:color w:val="auto"/>
        </w:rPr>
      </w:pPr>
    </w:p>
    <w:p>
      <w:pPr>
        <w:ind w:right="220" w:firstLine="543"/>
        <w:spacing w:after="0" w:line="276" w:lineRule="auto"/>
        <w:rPr>
          <w:sz w:val="20"/>
          <w:szCs w:val="20"/>
          <w:color w:val="auto"/>
        </w:rPr>
      </w:pPr>
      <w:r>
        <w:rPr>
          <w:rFonts w:ascii="Arial" w:cs="Arial" w:eastAsia="Arial" w:hAnsi="Arial"/>
          <w:sz w:val="15"/>
          <w:szCs w:val="15"/>
          <w:color w:val="auto"/>
        </w:rPr>
        <w:t>Pursuant to the Investment Advisory Agreement, we have agreed to pay Capitala Investment Advisors a fee for investment advisory and management services consisting of two components — a base management fee and an incentive fee.</w:t>
      </w:r>
    </w:p>
    <w:p>
      <w:pPr>
        <w:spacing w:after="0" w:line="146" w:lineRule="exact"/>
        <w:rPr>
          <w:sz w:val="20"/>
          <w:szCs w:val="20"/>
          <w:color w:val="auto"/>
        </w:rPr>
      </w:pPr>
    </w:p>
    <w:p>
      <w:pPr>
        <w:ind w:firstLine="543"/>
        <w:spacing w:after="0" w:line="276" w:lineRule="auto"/>
        <w:rPr>
          <w:sz w:val="20"/>
          <w:szCs w:val="20"/>
          <w:color w:val="auto"/>
        </w:rPr>
      </w:pPr>
      <w:r>
        <w:rPr>
          <w:rFonts w:ascii="Arial" w:cs="Arial" w:eastAsia="Arial" w:hAnsi="Arial"/>
          <w:sz w:val="14"/>
          <w:szCs w:val="14"/>
          <w:color w:val="auto"/>
        </w:rPr>
        <w:t>The base management fee is calculated at an annual rate of 1.75% of our gross assets, which is our total assets as reflected on our balance sheet and includes any borrowings for investment purposes. Although we do not anticipate making significant investments in derivative financial instruments, the fair value of any such investments, which will not necessarily equal their notional value, will be included in our calculation of gross assets. For services rendered under the Investment Advisory Agreement, the base management fee is payable quarterly in arrears. The base management fee was initially calculated based on the value of our gross assets at the end of the first calendar quarter subsequent to consummation of our IPO, and thereafter will be calculated based on the average value of our gross assets at the end of the two most recently completed calendar quarters, and appropriately adjusted for any share issuances or repurchases during the current calendar quarter. For the first twelve months following our IPO, Capitala Investment Advisors has agreed to waive the portion of the base management fee payable on cash and cash equivalents held at the Capitala Finance level, excluding cash and cash equivalents held by the Legacy Funds that was acquired by Capitala Finance in connection with the Formation Transactions.</w:t>
      </w:r>
    </w:p>
    <w:p>
      <w:pPr>
        <w:spacing w:after="0" w:line="148" w:lineRule="exact"/>
        <w:rPr>
          <w:sz w:val="20"/>
          <w:szCs w:val="20"/>
          <w:color w:val="auto"/>
        </w:rPr>
      </w:pPr>
    </w:p>
    <w:p>
      <w:pPr>
        <w:ind w:firstLine="543"/>
        <w:spacing w:after="0" w:line="297" w:lineRule="auto"/>
        <w:rPr>
          <w:sz w:val="20"/>
          <w:szCs w:val="20"/>
          <w:color w:val="auto"/>
        </w:rPr>
      </w:pPr>
      <w:r>
        <w:rPr>
          <w:rFonts w:ascii="Arial" w:cs="Arial" w:eastAsia="Arial" w:hAnsi="Arial"/>
          <w:sz w:val="13"/>
          <w:szCs w:val="13"/>
          <w:color w:val="auto"/>
        </w:rPr>
        <w:t>The incentive fee has two parts. The first part of the incentive fee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Our net investment income used to calculate this part of the incentive fee is also included in the amount of our gross assets used to calculate the 1.75% base management fee. We pay Capitala Investment Advisors an incentive fee with respect to our pre-incentive fee net investment income in each calendar quarter as follows: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380"/>
          </w:cols>
          <w:pgMar w:left="240" w:top="762" w:right="279" w:bottom="1440" w:gutter="0" w:footer="0" w:header="0"/>
        </w:sectPr>
      </w:pPr>
    </w:p>
    <w:bookmarkStart w:id="12" w:name="page13"/>
    <w:bookmarkEnd w:id="12"/>
    <w:p>
      <w:pPr>
        <w:ind w:left="560" w:hanging="332"/>
        <w:spacing w:after="0"/>
        <w:tabs>
          <w:tab w:leader="none" w:pos="5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no incentive fee in any calendar quarter in which our pre-incentive fee net investment income does not exceed the hurdle of 2.0%;</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100% of our pre-incentive fee net investment income with respect to that portion of such pre-incentive fee net investment income, if any, that exceeds the hurdle but is less than</w:t>
      </w:r>
    </w:p>
    <w:p>
      <w:pPr>
        <w:spacing w:after="0" w:line="40" w:lineRule="exact"/>
        <w:rPr>
          <w:rFonts w:ascii="Arial" w:cs="Arial" w:eastAsia="Arial" w:hAnsi="Arial"/>
          <w:sz w:val="13"/>
          <w:szCs w:val="13"/>
          <w:color w:val="auto"/>
        </w:rPr>
      </w:pPr>
    </w:p>
    <w:p>
      <w:pPr>
        <w:ind w:left="560" w:right="160"/>
        <w:spacing w:after="0" w:line="257" w:lineRule="auto"/>
        <w:rPr>
          <w:rFonts w:ascii="Arial" w:cs="Arial" w:eastAsia="Arial" w:hAnsi="Arial"/>
          <w:sz w:val="13"/>
          <w:szCs w:val="13"/>
          <w:color w:val="auto"/>
        </w:rPr>
      </w:pPr>
      <w:r>
        <w:rPr>
          <w:rFonts w:ascii="Arial" w:cs="Arial" w:eastAsia="Arial" w:hAnsi="Arial"/>
          <w:sz w:val="15"/>
          <w:szCs w:val="15"/>
          <w:color w:val="auto"/>
        </w:rPr>
        <w:t>2.5% in any calendar quarter (10.0% annualized). We refer to this portion of our pre-incentive fee net investment income (which exceeds the hurdle but is less than 2.5%) as the “catch-up.” The “catch-up” is meant to provide our investment adviser with 20% of our pre-incentive fee net investment income as if a hurdle did not apply if this net investment income exceeds 2.5% in any calendar quarter; and</w:t>
      </w:r>
    </w:p>
    <w:p>
      <w:pPr>
        <w:spacing w:after="0" w:line="160" w:lineRule="exact"/>
        <w:rPr>
          <w:rFonts w:ascii="Arial" w:cs="Arial" w:eastAsia="Arial" w:hAnsi="Arial"/>
          <w:sz w:val="13"/>
          <w:szCs w:val="13"/>
          <w:color w:val="auto"/>
        </w:rPr>
      </w:pPr>
    </w:p>
    <w:p>
      <w:pPr>
        <w:ind w:left="560" w:hanging="332"/>
        <w:spacing w:after="0" w:line="313" w:lineRule="auto"/>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20% of the amount of our pre-incentive fee net investment income, if any, that exceeds 2.5% in any calendar quarter (10.0% annualized) is payable to Capitala Investment Advisors (once the hurdle is reached and the catch-up is achieved, 20% of all pre-incentive fee investment income thereafter is allocated to Capitala Investment Advisors).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is a graphical representation of the calculation of the income-related portion of the incentive fee: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Quarterly Incentive Fee Based on Net Investment Income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Pre-incentive fee net investment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121285</wp:posOffset>
            </wp:positionV>
            <wp:extent cx="2887345" cy="416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87345" cy="41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Percentage of pre-incentive fee net investment income allocated to the Capitala Investment Advisors</w:t>
      </w:r>
    </w:p>
    <w:p>
      <w:pPr>
        <w:spacing w:after="0" w:line="193" w:lineRule="exact"/>
        <w:rPr>
          <w:sz w:val="20"/>
          <w:szCs w:val="20"/>
          <w:color w:val="auto"/>
        </w:rPr>
      </w:pPr>
    </w:p>
    <w:p>
      <w:pPr>
        <w:ind w:right="80" w:firstLine="543"/>
        <w:spacing w:after="0" w:line="260" w:lineRule="auto"/>
        <w:rPr>
          <w:sz w:val="20"/>
          <w:szCs w:val="20"/>
          <w:color w:val="auto"/>
        </w:rPr>
      </w:pPr>
      <w:r>
        <w:rPr>
          <w:rFonts w:ascii="Arial" w:cs="Arial" w:eastAsia="Arial" w:hAnsi="Arial"/>
          <w:sz w:val="15"/>
          <w:szCs w:val="15"/>
          <w:color w:val="auto"/>
        </w:rPr>
        <w:t>These calculations are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adviser with respect to pre-incentive fee net investment income.</w:t>
      </w:r>
    </w:p>
    <w:p>
      <w:pPr>
        <w:spacing w:after="0" w:line="157" w:lineRule="exact"/>
        <w:rPr>
          <w:sz w:val="20"/>
          <w:szCs w:val="20"/>
          <w:color w:val="auto"/>
        </w:rPr>
      </w:pPr>
    </w:p>
    <w:p>
      <w:pPr>
        <w:ind w:right="20" w:firstLine="543"/>
        <w:spacing w:after="0" w:line="306"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Advisory Agreement, as of the termination date), commencing with the 2013 calendar year,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 provided that, the incentive fee determined as of December 31, 2013 was calculated for a period of shorter than twelve calendar months to take into account any realized capital gains computed net of all realized capital losses and unrealized capital depreciation from the inception of Capitala Finance.</w:t>
      </w:r>
    </w:p>
    <w:p>
      <w:pPr>
        <w:spacing w:after="0" w:line="133" w:lineRule="exact"/>
        <w:rPr>
          <w:sz w:val="20"/>
          <w:szCs w:val="20"/>
          <w:color w:val="auto"/>
        </w:rPr>
      </w:pPr>
    </w:p>
    <w:p>
      <w:pPr>
        <w:ind w:firstLine="543"/>
        <w:spacing w:after="0" w:line="280" w:lineRule="auto"/>
        <w:rPr>
          <w:sz w:val="20"/>
          <w:szCs w:val="20"/>
          <w:color w:val="auto"/>
        </w:rPr>
      </w:pPr>
      <w:r>
        <w:rPr>
          <w:rFonts w:ascii="Arial" w:cs="Arial" w:eastAsia="Arial" w:hAnsi="Arial"/>
          <w:sz w:val="14"/>
          <w:szCs w:val="14"/>
          <w:color w:val="auto"/>
        </w:rPr>
        <w:t>We will defer cash payment of the portion of any incentive fee otherwise earned by our investment adviser that would, when taken together with all other incentive fees paid to our investment adviser during the most recent 12 full calendar month period ending on or prior to the date such payment is to be made, exceed 20% of the sum of (a) our pre-incentive fee net investment income during such period, (b) our net unrealized appreciation or depreciation during such period and (c) our net realized capital gains or losses during such period. Any deferred incentive fees will be carried over for payment in subsequent calculation periods to the extent such payment is payable under the Investment Advisory Agreement. Such deferred amounts will be calculated using a period of shorter than 12 full calendar months until 12 full calendar months have passed since completion of our initial public offering.</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color w:val="auto"/>
        </w:rPr>
        <w:t>Examples of Quarterly Incentive Fee Calculation</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Example 1: Income Related Portion of Incentive Fee*</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Alternative 1:</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Assumptions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Investment income (including interest, dividends, fees, etc.) = 1.25%</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Hurdle rate</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 2.0%</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Management fee</w:t>
      </w:r>
      <w:r>
        <w:rPr>
          <w:rFonts w:ascii="Arial" w:cs="Arial" w:eastAsia="Arial" w:hAnsi="Arial"/>
          <w:sz w:val="25"/>
          <w:szCs w:val="25"/>
          <w:color w:val="auto"/>
          <w:vertAlign w:val="superscript"/>
        </w:rPr>
        <w:t>(2)</w:t>
      </w:r>
      <w:r>
        <w:rPr>
          <w:rFonts w:ascii="Arial" w:cs="Arial" w:eastAsia="Arial" w:hAnsi="Arial"/>
          <w:sz w:val="15"/>
          <w:szCs w:val="15"/>
          <w:color w:val="auto"/>
        </w:rPr>
        <w:t xml:space="preserve"> = 0.50%</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Other expenses (legal, accounting, custodian, transfer agent, etc.)</w:t>
      </w:r>
      <w:r>
        <w:rPr>
          <w:rFonts w:ascii="Arial" w:cs="Arial" w:eastAsia="Arial" w:hAnsi="Arial"/>
          <w:sz w:val="25"/>
          <w:szCs w:val="25"/>
          <w:color w:val="auto"/>
          <w:vertAlign w:val="superscript"/>
        </w:rPr>
        <w:t>(3)</w:t>
      </w:r>
      <w:r>
        <w:rPr>
          <w:rFonts w:ascii="Arial" w:cs="Arial" w:eastAsia="Arial" w:hAnsi="Arial"/>
          <w:sz w:val="15"/>
          <w:szCs w:val="15"/>
          <w:color w:val="auto"/>
        </w:rPr>
        <w:t xml:space="preserve"> = 0.20%</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Pre-incentive fee net investment income</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(investment income – (management fee + other expenses)) = 0.55%</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Pre-incentive net investment income does not exceed hurdle rate, therefore there is no incentive fee.</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Alternative 2:</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Assumptions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Investment income (including interest, dividends, fees, etc.) = 2.9%</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Hurdle rate(1) = 2.0%</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Management fee(2) = 0.50%</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Other expenses (legal, accounting, custodian, transfer agent, etc.)(3) = 0.20%</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Pre-incentive fee net investment income</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(investment income – (management fee + other expenses)) = 2.2%</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Incentive fee = 100% × pre-incentive fee net investment income, subject to the “catch-up”(4)</w:t>
      </w:r>
    </w:p>
    <w:p>
      <w:pPr>
        <w:spacing w:after="0" w:line="189" w:lineRule="exact"/>
        <w:rPr>
          <w:sz w:val="20"/>
          <w:szCs w:val="20"/>
          <w:color w:val="auto"/>
        </w:rPr>
      </w:pPr>
    </w:p>
    <w:p>
      <w:pPr>
        <w:ind w:left="1200" w:hanging="124"/>
        <w:spacing w:after="0"/>
        <w:tabs>
          <w:tab w:leader="none" w:pos="12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100% × (2.2% – 2.0%)</w:t>
      </w:r>
    </w:p>
    <w:p>
      <w:pPr>
        <w:spacing w:after="0" w:line="189" w:lineRule="exact"/>
        <w:rPr>
          <w:rFonts w:ascii="Arial" w:cs="Arial" w:eastAsia="Arial" w:hAnsi="Arial"/>
          <w:sz w:val="15"/>
          <w:szCs w:val="15"/>
          <w:color w:val="auto"/>
        </w:rPr>
      </w:pPr>
    </w:p>
    <w:p>
      <w:pPr>
        <w:ind w:left="1200" w:hanging="124"/>
        <w:spacing w:after="0"/>
        <w:tabs>
          <w:tab w:leader="none" w:pos="12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0.20%</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Pre-incentive fee net investment income exceeds the hurdle rate, but does not fully satisfy the “catch-up” provision, therefore the income related portion of the incentive fee is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0.20%.</w:t>
      </w:r>
    </w:p>
    <w:p>
      <w:pPr>
        <w:spacing w:after="0" w:line="180" w:lineRule="exact"/>
        <w:rPr>
          <w:sz w:val="20"/>
          <w:szCs w:val="20"/>
          <w:color w:val="auto"/>
        </w:rPr>
      </w:pPr>
    </w:p>
    <w:p>
      <w:pPr>
        <w:ind w:left="340" w:hanging="225"/>
        <w:spacing w:after="0"/>
        <w:tabs>
          <w:tab w:leader="none" w:pos="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hypothetical amount of pre-incentive fee net investment income shown is based on a percentage of total net assets.</w:t>
      </w:r>
    </w:p>
    <w:p>
      <w:pPr>
        <w:spacing w:after="0" w:line="189" w:lineRule="exact"/>
        <w:rPr>
          <w:rFonts w:ascii="Arial" w:cs="Arial" w:eastAsia="Arial" w:hAnsi="Arial"/>
          <w:sz w:val="15"/>
          <w:szCs w:val="15"/>
          <w:color w:val="auto"/>
        </w:rPr>
      </w:pPr>
    </w:p>
    <w:p>
      <w:pPr>
        <w:ind w:left="120"/>
        <w:spacing w:after="0"/>
        <w:rPr>
          <w:rFonts w:ascii="Arial" w:cs="Arial" w:eastAsia="Arial" w:hAnsi="Arial"/>
          <w:sz w:val="15"/>
          <w:szCs w:val="15"/>
          <w:color w:val="auto"/>
        </w:rPr>
      </w:pPr>
      <w:r>
        <w:rPr>
          <w:rFonts w:ascii="Arial" w:cs="Arial" w:eastAsia="Arial" w:hAnsi="Arial"/>
          <w:sz w:val="15"/>
          <w:szCs w:val="15"/>
          <w:color w:val="auto"/>
        </w:rPr>
        <w:t>(1) Represents 8.0% annualized hurdle rate.</w:t>
      </w:r>
    </w:p>
    <w:p>
      <w:pPr>
        <w:spacing w:after="0" w:line="189" w:lineRule="exact"/>
        <w:rPr>
          <w:rFonts w:ascii="Arial" w:cs="Arial" w:eastAsia="Arial" w:hAnsi="Arial"/>
          <w:sz w:val="15"/>
          <w:szCs w:val="15"/>
          <w:color w:val="auto"/>
        </w:rPr>
      </w:pPr>
    </w:p>
    <w:p>
      <w:pPr>
        <w:ind w:left="120"/>
        <w:spacing w:after="0"/>
        <w:rPr>
          <w:rFonts w:ascii="Arial" w:cs="Arial" w:eastAsia="Arial" w:hAnsi="Arial"/>
          <w:sz w:val="15"/>
          <w:szCs w:val="15"/>
          <w:color w:val="auto"/>
        </w:rPr>
      </w:pPr>
      <w:r>
        <w:rPr>
          <w:rFonts w:ascii="Arial" w:cs="Arial" w:eastAsia="Arial" w:hAnsi="Arial"/>
          <w:sz w:val="15"/>
          <w:szCs w:val="15"/>
          <w:color w:val="auto"/>
        </w:rPr>
        <w:t>(2) Represents 2.00% annualized management fee.</w:t>
      </w:r>
    </w:p>
    <w:p>
      <w:pPr>
        <w:spacing w:after="0" w:line="189" w:lineRule="exact"/>
        <w:rPr>
          <w:rFonts w:ascii="Arial" w:cs="Arial" w:eastAsia="Arial" w:hAnsi="Arial"/>
          <w:sz w:val="15"/>
          <w:szCs w:val="15"/>
          <w:color w:val="auto"/>
        </w:rPr>
      </w:pPr>
    </w:p>
    <w:p>
      <w:pPr>
        <w:ind w:left="120"/>
        <w:spacing w:after="0"/>
        <w:rPr>
          <w:rFonts w:ascii="Arial" w:cs="Arial" w:eastAsia="Arial" w:hAnsi="Arial"/>
          <w:sz w:val="15"/>
          <w:szCs w:val="15"/>
          <w:color w:val="auto"/>
        </w:rPr>
      </w:pPr>
      <w:r>
        <w:rPr>
          <w:rFonts w:ascii="Arial" w:cs="Arial" w:eastAsia="Arial" w:hAnsi="Arial"/>
          <w:sz w:val="15"/>
          <w:szCs w:val="15"/>
          <w:color w:val="auto"/>
        </w:rPr>
        <w:t>(3) Excludes organizational and offering expenses.</w:t>
      </w:r>
    </w:p>
    <w:p>
      <w:pPr>
        <w:spacing w:after="0" w:line="189" w:lineRule="exact"/>
        <w:rPr>
          <w:sz w:val="20"/>
          <w:szCs w:val="20"/>
          <w:color w:val="auto"/>
        </w:rPr>
      </w:pPr>
    </w:p>
    <w:p>
      <w:pPr>
        <w:ind w:left="340" w:hanging="225"/>
        <w:spacing w:after="0" w:line="276" w:lineRule="auto"/>
        <w:tabs>
          <w:tab w:leader="none" w:pos="3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“catch-up” provision is intended to provide the Adviser with an incentive fee of 20% on all of Capitala Finance’s pre-incentive fee net investment income as if a hurdle rate did not apply when its net investment income exceeds 2.5% in any calendar quarter.</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Alternative 3:</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Assumptions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Investment income (including interest, dividends, fees, etc.) = 3.50%</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Hurdle rate(1) = 2.0%</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Management fee(2) = 0.50%</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Other expenses (legal, accounting, custodian, transfer agent, etc.)(3) = 0.20%</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Pre-incentive fee net investment income</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(investment income – (management fee + other expenses)) = 2.80%</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58" w:right="219" w:bottom="1440" w:gutter="0" w:footer="0" w:header="0"/>
        </w:sectPr>
      </w:pPr>
    </w:p>
    <w:bookmarkStart w:id="14" w:name="page15"/>
    <w:bookmarkEnd w:id="14"/>
    <w:p>
      <w:pPr>
        <w:spacing w:after="0"/>
        <w:rPr>
          <w:sz w:val="20"/>
          <w:szCs w:val="20"/>
          <w:color w:val="auto"/>
        </w:rPr>
      </w:pPr>
      <w:r>
        <w:rPr>
          <w:rFonts w:ascii="Arial" w:cs="Arial" w:eastAsia="Arial" w:hAnsi="Arial"/>
          <w:sz w:val="15"/>
          <w:szCs w:val="15"/>
          <w:color w:val="auto"/>
        </w:rPr>
        <w:t>Incentive fee = 20% × pre-incentive fee net investment income, subject to “catch-up”(4)</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Incentive fee = 100% × “catch-up” + (20% × (pre-incentive fee net investment income – 2.5%))</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Catch-up = 2.5% – 2.0%</w:t>
      </w:r>
    </w:p>
    <w:p>
      <w:pPr>
        <w:spacing w:after="0" w:line="189"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 0.5%</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Incentive fee = (100% × 0.5%) + (20% × (2.80% – 2.5%))</w:t>
      </w:r>
    </w:p>
    <w:p>
      <w:pPr>
        <w:spacing w:after="0" w:line="189" w:lineRule="exact"/>
        <w:rPr>
          <w:sz w:val="20"/>
          <w:szCs w:val="20"/>
          <w:color w:val="auto"/>
        </w:rPr>
      </w:pPr>
    </w:p>
    <w:p>
      <w:pPr>
        <w:ind w:left="1200" w:hanging="124"/>
        <w:spacing w:after="0"/>
        <w:tabs>
          <w:tab w:leader="none" w:pos="12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0.5% + (20% × 0.3%)</w:t>
      </w:r>
    </w:p>
    <w:p>
      <w:pPr>
        <w:spacing w:after="0" w:line="189" w:lineRule="exact"/>
        <w:rPr>
          <w:rFonts w:ascii="Arial" w:cs="Arial" w:eastAsia="Arial" w:hAnsi="Arial"/>
          <w:sz w:val="15"/>
          <w:szCs w:val="15"/>
          <w:color w:val="auto"/>
        </w:rPr>
      </w:pPr>
    </w:p>
    <w:p>
      <w:pPr>
        <w:ind w:left="1200" w:hanging="124"/>
        <w:spacing w:after="0"/>
        <w:tabs>
          <w:tab w:leader="none" w:pos="12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0.5% + 0.06%</w:t>
      </w:r>
    </w:p>
    <w:p>
      <w:pPr>
        <w:spacing w:after="0" w:line="189" w:lineRule="exact"/>
        <w:rPr>
          <w:rFonts w:ascii="Arial" w:cs="Arial" w:eastAsia="Arial" w:hAnsi="Arial"/>
          <w:sz w:val="15"/>
          <w:szCs w:val="15"/>
          <w:color w:val="auto"/>
        </w:rPr>
      </w:pPr>
    </w:p>
    <w:p>
      <w:pPr>
        <w:ind w:left="1200" w:hanging="124"/>
        <w:spacing w:after="0"/>
        <w:tabs>
          <w:tab w:leader="none" w:pos="12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0.56%</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Pre-incentive fee net investment income exceeds the hurdle rate, and fully satisfies the “catch-up” provision, therefore the income related portion of the incentive fee is 0.56%.</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Example 2: Capital Gains Portion of Incentive Fee</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Alternative 1:</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Assumptions</w:t>
      </w:r>
    </w:p>
    <w:p>
      <w:pPr>
        <w:spacing w:after="0" w:line="18" w:lineRule="exact"/>
        <w:rPr>
          <w:sz w:val="20"/>
          <w:szCs w:val="20"/>
          <w:color w:val="auto"/>
        </w:rPr>
      </w:pPr>
    </w:p>
    <w:p>
      <w:pPr>
        <w:ind w:left="560" w:hanging="332"/>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Year 1: $20 million investment made in Company A (“Investment A”), and $30 million investment made in Company B (“Investment B”)</w:t>
      </w:r>
    </w:p>
    <w:p>
      <w:pPr>
        <w:spacing w:after="0" w:line="180" w:lineRule="exact"/>
        <w:rPr>
          <w:rFonts w:ascii="Arial" w:cs="Arial" w:eastAsia="Arial" w:hAnsi="Arial"/>
          <w:sz w:val="15"/>
          <w:szCs w:val="15"/>
          <w:color w:val="auto"/>
        </w:rPr>
      </w:pPr>
    </w:p>
    <w:p>
      <w:pPr>
        <w:ind w:left="560" w:hanging="332"/>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Year 2: Investment A sold for $50 million and fair market value (“FMV”) of Investment B determined to be $32 million</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Year 3: FMV of Investment B determined to be $25 million</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Year 4: Investment B sold for $31 million</w:t>
      </w:r>
    </w:p>
    <w:p>
      <w:pPr>
        <w:spacing w:after="0" w:line="200" w:lineRule="exact"/>
        <w:rPr>
          <w:sz w:val="20"/>
          <w:szCs w:val="20"/>
          <w:color w:val="auto"/>
        </w:rPr>
      </w:pPr>
    </w:p>
    <w:p>
      <w:pPr>
        <w:spacing w:after="0" w:line="351" w:lineRule="exact"/>
        <w:rPr>
          <w:sz w:val="20"/>
          <w:szCs w:val="20"/>
          <w:color w:val="auto"/>
        </w:rPr>
      </w:pPr>
    </w:p>
    <w:p>
      <w:pPr>
        <w:ind w:left="560" w:hanging="332"/>
        <w:spacing w:after="0"/>
        <w:tabs>
          <w:tab w:leader="none" w:pos="5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Year 1: None</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Year 2: Capital gains incentive fee of $6 million ($30 million realized capital gains on sale of Investment A multiplied by 20%)</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Year 3: None</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$5 million (20% multiplied by ($30 million cumulative capital gains less $5 million cumulative capital depreciation)) less $6 million (previous capital gains fee paid in Year 2).</w:t>
      </w:r>
    </w:p>
    <w:p>
      <w:pPr>
        <w:spacing w:after="0" w:line="201" w:lineRule="exact"/>
        <w:rPr>
          <w:sz w:val="20"/>
          <w:szCs w:val="20"/>
          <w:color w:val="auto"/>
        </w:rPr>
      </w:pPr>
    </w:p>
    <w:p>
      <w:pPr>
        <w:ind w:left="560" w:hanging="332"/>
        <w:spacing w:after="0"/>
        <w:tabs>
          <w:tab w:leader="none" w:pos="5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Year 4: Capital gains incentive fee of $200,000</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$6.2 million ($31 million cumulative realized capital gains multiplied by 20%) less $6 million (capital gains fee taken in Year 2).</w:t>
      </w:r>
    </w:p>
    <w:p>
      <w:pPr>
        <w:spacing w:after="0" w:line="189" w:lineRule="exact"/>
        <w:rPr>
          <w:sz w:val="20"/>
          <w:szCs w:val="20"/>
          <w:color w:val="auto"/>
        </w:rPr>
      </w:pPr>
    </w:p>
    <w:p>
      <w:pPr>
        <w:ind w:left="340" w:hanging="225"/>
        <w:spacing w:after="0"/>
        <w:tabs>
          <w:tab w:leader="none" w:pos="3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Represents 8.0% annualized hurdle rate.</w:t>
      </w:r>
    </w:p>
    <w:p>
      <w:pPr>
        <w:spacing w:after="0" w:line="189" w:lineRule="exact"/>
        <w:rPr>
          <w:rFonts w:ascii="Arial" w:cs="Arial" w:eastAsia="Arial" w:hAnsi="Arial"/>
          <w:sz w:val="15"/>
          <w:szCs w:val="15"/>
          <w:color w:val="auto"/>
        </w:rPr>
      </w:pPr>
    </w:p>
    <w:p>
      <w:pPr>
        <w:ind w:left="340" w:hanging="225"/>
        <w:spacing w:after="0"/>
        <w:tabs>
          <w:tab w:leader="none" w:pos="3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Represents 2.00% annualized management fee.</w:t>
      </w:r>
    </w:p>
    <w:p>
      <w:pPr>
        <w:spacing w:after="0" w:line="189" w:lineRule="exact"/>
        <w:rPr>
          <w:rFonts w:ascii="Arial" w:cs="Arial" w:eastAsia="Arial" w:hAnsi="Arial"/>
          <w:sz w:val="15"/>
          <w:szCs w:val="15"/>
          <w:color w:val="auto"/>
        </w:rPr>
      </w:pPr>
    </w:p>
    <w:p>
      <w:pPr>
        <w:ind w:left="340" w:hanging="225"/>
        <w:spacing w:after="0"/>
        <w:tabs>
          <w:tab w:leader="none" w:pos="3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Excludes organizational and offering expenses.</w:t>
      </w:r>
    </w:p>
    <w:p>
      <w:pPr>
        <w:spacing w:after="0" w:line="189" w:lineRule="exact"/>
        <w:rPr>
          <w:rFonts w:ascii="Arial" w:cs="Arial" w:eastAsia="Arial" w:hAnsi="Arial"/>
          <w:sz w:val="15"/>
          <w:szCs w:val="15"/>
          <w:color w:val="auto"/>
        </w:rPr>
      </w:pPr>
    </w:p>
    <w:p>
      <w:pPr>
        <w:ind w:left="340" w:hanging="225"/>
        <w:spacing w:after="0" w:line="276" w:lineRule="auto"/>
        <w:tabs>
          <w:tab w:leader="none" w:pos="3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“catch-up” provision is intended to provide the Adviser with an incentive fee of 20% on all of Capitala Finance’s pre-incentive fee net investment income as if a hurdle rate did not apply when its net investment income exceeds 2.5% in any calendar quarter.</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Alternative 2:</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Assumptions</w:t>
      </w:r>
    </w:p>
    <w:p>
      <w:pPr>
        <w:spacing w:after="0" w:line="18" w:lineRule="exact"/>
        <w:rPr>
          <w:sz w:val="20"/>
          <w:szCs w:val="20"/>
          <w:color w:val="auto"/>
        </w:rPr>
      </w:pPr>
    </w:p>
    <w:p>
      <w:pPr>
        <w:ind w:left="540" w:right="580" w:hanging="278"/>
        <w:spacing w:after="0" w:line="263" w:lineRule="auto"/>
        <w:tabs>
          <w:tab w:leader="none" w:pos="5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Year 1: $20 million investment made in Company A (“Investment A”), $30 million investment made in Company B (“Investment B”) and $25 million investment made in Company C (“Investment C”)</w:t>
      </w:r>
    </w:p>
    <w:p>
      <w:pPr>
        <w:spacing w:after="0" w:line="155" w:lineRule="exact"/>
        <w:rPr>
          <w:rFonts w:ascii="Arial" w:cs="Arial" w:eastAsia="Arial" w:hAnsi="Arial"/>
          <w:sz w:val="15"/>
          <w:szCs w:val="15"/>
          <w:color w:val="auto"/>
        </w:rPr>
      </w:pPr>
    </w:p>
    <w:p>
      <w:pPr>
        <w:ind w:left="540" w:hanging="278"/>
        <w:spacing w:after="0"/>
        <w:tabs>
          <w:tab w:leader="none" w:pos="5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Year 2: Investment A sold for $50 million, FMV of Investment B determined to be $25 million and FMV of Investment C determined to be $25 million</w:t>
      </w:r>
    </w:p>
    <w:p>
      <w:pPr>
        <w:spacing w:after="0" w:line="189" w:lineRule="exact"/>
        <w:rPr>
          <w:rFonts w:ascii="Arial" w:cs="Arial" w:eastAsia="Arial" w:hAnsi="Arial"/>
          <w:sz w:val="15"/>
          <w:szCs w:val="15"/>
          <w:color w:val="auto"/>
        </w:rPr>
      </w:pPr>
    </w:p>
    <w:p>
      <w:pPr>
        <w:ind w:left="540" w:hanging="278"/>
        <w:spacing w:after="0"/>
        <w:tabs>
          <w:tab w:leader="none" w:pos="5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Year 3: FMV of Investment B determined to be $27 million and Investment C sold for $30 million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62" w:right="219" w:bottom="1440" w:gutter="0" w:footer="0" w:header="0"/>
        </w:sectPr>
      </w:pPr>
    </w:p>
    <w:bookmarkStart w:id="15" w:name="page16"/>
    <w:bookmarkEnd w:id="15"/>
    <w:p>
      <w:pPr>
        <w:ind w:left="540" w:hanging="278"/>
        <w:spacing w:after="0"/>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Year 4: FMV of Investment B determined to be $24 million</w:t>
      </w:r>
    </w:p>
    <w:p>
      <w:pPr>
        <w:spacing w:after="0" w:line="189" w:lineRule="exact"/>
        <w:rPr>
          <w:rFonts w:ascii="Arial" w:cs="Arial" w:eastAsia="Arial" w:hAnsi="Arial"/>
          <w:sz w:val="15"/>
          <w:szCs w:val="15"/>
          <w:color w:val="auto"/>
        </w:rPr>
      </w:pPr>
    </w:p>
    <w:p>
      <w:pPr>
        <w:ind w:left="540" w:hanging="278"/>
        <w:spacing w:after="0"/>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Year 5: Investment B sold for $20 million</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capital gains incentive fee, if any, would be:</w:t>
      </w:r>
    </w:p>
    <w:p>
      <w:pPr>
        <w:spacing w:after="0" w:line="189" w:lineRule="exact"/>
        <w:rPr>
          <w:sz w:val="20"/>
          <w:szCs w:val="20"/>
          <w:color w:val="auto"/>
        </w:rPr>
      </w:pPr>
    </w:p>
    <w:p>
      <w:pPr>
        <w:ind w:left="540" w:hanging="278"/>
        <w:spacing w:after="0"/>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Year 1: None</w:t>
      </w:r>
    </w:p>
    <w:p>
      <w:pPr>
        <w:spacing w:after="0" w:line="189" w:lineRule="exact"/>
        <w:rPr>
          <w:rFonts w:ascii="Arial" w:cs="Arial" w:eastAsia="Arial" w:hAnsi="Arial"/>
          <w:sz w:val="15"/>
          <w:szCs w:val="15"/>
          <w:color w:val="auto"/>
        </w:rPr>
      </w:pPr>
    </w:p>
    <w:p>
      <w:pPr>
        <w:ind w:left="540" w:hanging="278"/>
        <w:spacing w:after="0"/>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Year 2: $5 million capital gains incentive fee</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20% multiplied by $25 million ($30 million realized capital gains on Investment A less unrealized capital depreciation on Investment B).</w:t>
      </w:r>
    </w:p>
    <w:p>
      <w:pPr>
        <w:spacing w:after="0" w:line="172" w:lineRule="exact"/>
        <w:rPr>
          <w:sz w:val="20"/>
          <w:szCs w:val="20"/>
          <w:color w:val="auto"/>
        </w:rPr>
      </w:pPr>
    </w:p>
    <w:p>
      <w:pPr>
        <w:ind w:left="540" w:hanging="278"/>
        <w:spacing w:after="0"/>
        <w:tabs>
          <w:tab w:leader="none" w:pos="540" w:val="left"/>
        </w:tabs>
        <w:numPr>
          <w:ilvl w:val="0"/>
          <w:numId w:val="30"/>
        </w:numPr>
        <w:rPr>
          <w:rFonts w:ascii="Arial" w:cs="Arial" w:eastAsia="Arial" w:hAnsi="Arial"/>
          <w:sz w:val="30"/>
          <w:szCs w:val="30"/>
          <w:color w:val="auto"/>
          <w:vertAlign w:val="superscript"/>
        </w:rPr>
      </w:pPr>
      <w:r>
        <w:rPr>
          <w:rFonts w:ascii="Arial" w:cs="Arial" w:eastAsia="Arial" w:hAnsi="Arial"/>
          <w:sz w:val="15"/>
          <w:szCs w:val="15"/>
          <w:color w:val="auto"/>
        </w:rPr>
        <w:t>Year 3: $1.4 million capital gains incentive fee</w:t>
      </w:r>
      <w:r>
        <w:rPr>
          <w:rFonts w:ascii="Arial" w:cs="Arial" w:eastAsia="Arial" w:hAnsi="Arial"/>
          <w:sz w:val="25"/>
          <w:szCs w:val="25"/>
          <w:color w:val="auto"/>
          <w:vertAlign w:val="superscript"/>
        </w:rPr>
        <w:t>(1)</w:t>
      </w:r>
    </w:p>
    <w:p>
      <w:pPr>
        <w:spacing w:after="0" w:line="68" w:lineRule="exact"/>
        <w:rPr>
          <w:sz w:val="20"/>
          <w:szCs w:val="20"/>
          <w:color w:val="auto"/>
        </w:rPr>
      </w:pPr>
    </w:p>
    <w:p>
      <w:pPr>
        <w:ind w:right="120" w:firstLine="272"/>
        <w:spacing w:after="0" w:line="276" w:lineRule="auto"/>
        <w:rPr>
          <w:sz w:val="20"/>
          <w:szCs w:val="20"/>
          <w:color w:val="auto"/>
        </w:rPr>
      </w:pPr>
      <w:r>
        <w:rPr>
          <w:rFonts w:ascii="Arial" w:cs="Arial" w:eastAsia="Arial" w:hAnsi="Arial"/>
          <w:sz w:val="15"/>
          <w:szCs w:val="15"/>
          <w:color w:val="auto"/>
        </w:rPr>
        <w:t>$6.4 million (20% multiplied by $32 million ($35 million cumulative realized capital gains less $3 million unrealized capital depreciation)) less $5 million capital gains fee received in Year 2.</w:t>
      </w:r>
    </w:p>
    <w:p>
      <w:pPr>
        <w:spacing w:after="0" w:line="146" w:lineRule="exact"/>
        <w:rPr>
          <w:sz w:val="20"/>
          <w:szCs w:val="20"/>
          <w:color w:val="auto"/>
        </w:rPr>
      </w:pPr>
    </w:p>
    <w:p>
      <w:pPr>
        <w:ind w:left="540" w:hanging="278"/>
        <w:spacing w:after="0"/>
        <w:tabs>
          <w:tab w:leader="none" w:pos="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Year 4: None</w:t>
      </w:r>
    </w:p>
    <w:p>
      <w:pPr>
        <w:spacing w:after="0" w:line="189" w:lineRule="exact"/>
        <w:rPr>
          <w:rFonts w:ascii="Arial" w:cs="Arial" w:eastAsia="Arial" w:hAnsi="Arial"/>
          <w:sz w:val="15"/>
          <w:szCs w:val="15"/>
          <w:color w:val="auto"/>
        </w:rPr>
      </w:pPr>
    </w:p>
    <w:p>
      <w:pPr>
        <w:ind w:left="540" w:hanging="278"/>
        <w:spacing w:after="0"/>
        <w:tabs>
          <w:tab w:leader="none" w:pos="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Year 5: None</w:t>
      </w:r>
    </w:p>
    <w:p>
      <w:pPr>
        <w:spacing w:after="0" w:line="189" w:lineRule="exact"/>
        <w:rPr>
          <w:sz w:val="20"/>
          <w:szCs w:val="20"/>
          <w:color w:val="auto"/>
        </w:rPr>
      </w:pPr>
    </w:p>
    <w:p>
      <w:pPr>
        <w:ind w:firstLine="226"/>
        <w:spacing w:after="0" w:line="276" w:lineRule="auto"/>
        <w:rPr>
          <w:sz w:val="20"/>
          <w:szCs w:val="20"/>
          <w:color w:val="auto"/>
        </w:rPr>
      </w:pPr>
      <w:r>
        <w:rPr>
          <w:rFonts w:ascii="Arial" w:cs="Arial" w:eastAsia="Arial" w:hAnsi="Arial"/>
          <w:sz w:val="15"/>
          <w:szCs w:val="15"/>
          <w:color w:val="auto"/>
        </w:rPr>
        <w:t>$5 million (20% multiplied by $25 million (cumulative realized capital gains of $35 million less realized capital losses of $10 million)) less $6.4 million cumulative capital gains fee paid in Year 2 and Year 3.</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Example 3: Application of the Incentive Fee Deferral Mechanism</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Assumptions</w:t>
      </w:r>
    </w:p>
    <w:p>
      <w:pPr>
        <w:spacing w:after="0" w:line="18" w:lineRule="exact"/>
        <w:rPr>
          <w:sz w:val="20"/>
          <w:szCs w:val="20"/>
          <w:color w:val="auto"/>
        </w:rPr>
      </w:pPr>
    </w:p>
    <w:p>
      <w:pPr>
        <w:ind w:left="560" w:right="180" w:hanging="332"/>
        <w:spacing w:after="0" w:line="255" w:lineRule="auto"/>
        <w:tabs>
          <w:tab w:leader="none" w:pos="5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 each of Years 1 through 4 in this example pre-incentive fee net investment income equals $40.0 million per year, which we recognized evenly in each quarter of each year and paid quarterly. This amount exceeds the hurdle rate and the requirement of the “catch-up” provision in each quarter of such year. As a result, the annual income related portion of the incentive fee, before the application of the deferral mechanism in any year is $8.0 million ($40.0 million multiplied by 20%). All income-related incentive fees were paid quarterly in arrears.</w:t>
      </w:r>
    </w:p>
    <w:p>
      <w:pPr>
        <w:spacing w:after="0" w:line="162" w:lineRule="exact"/>
        <w:rPr>
          <w:rFonts w:ascii="Arial" w:cs="Arial" w:eastAsia="Arial" w:hAnsi="Arial"/>
          <w:sz w:val="15"/>
          <w:szCs w:val="15"/>
          <w:color w:val="auto"/>
        </w:rPr>
      </w:pPr>
    </w:p>
    <w:p>
      <w:pPr>
        <w:ind w:left="560" w:right="580" w:hanging="332"/>
        <w:spacing w:after="0" w:line="276" w:lineRule="auto"/>
        <w:tabs>
          <w:tab w:leader="none" w:pos="5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 each year preceding Year 1, we did not generate realized or unrealized capital gains or losses, no capital gain-related incentive fee was paid and there was no deferral of incentive fees.</w:t>
      </w:r>
    </w:p>
    <w:p>
      <w:pPr>
        <w:spacing w:after="0" w:line="146" w:lineRule="exact"/>
        <w:rPr>
          <w:rFonts w:ascii="Arial" w:cs="Arial" w:eastAsia="Arial" w:hAnsi="Arial"/>
          <w:sz w:val="15"/>
          <w:szCs w:val="15"/>
          <w:color w:val="auto"/>
        </w:rPr>
      </w:pPr>
    </w:p>
    <w:p>
      <w:pPr>
        <w:ind w:left="560" w:hanging="332"/>
        <w:spacing w:after="0"/>
        <w:tabs>
          <w:tab w:leader="none" w:pos="5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Year 1: We did not generate realized or unrealized capital gains or losses.</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Year 2: We realized a $30.0 million capital gain and did not otherwise generate realized or unrealized capital gains or losses.</w:t>
      </w:r>
    </w:p>
    <w:p>
      <w:pPr>
        <w:spacing w:after="0" w:line="189" w:lineRule="exact"/>
        <w:rPr>
          <w:sz w:val="20"/>
          <w:szCs w:val="20"/>
          <w:color w:val="auto"/>
        </w:rPr>
      </w:pPr>
    </w:p>
    <w:p>
      <w:pPr>
        <w:ind w:left="340" w:right="60" w:hanging="225"/>
        <w:spacing w:after="0" w:line="313"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illustrated in Year 3 of Alternative 1 above, if the Company were to be wound up on a date other than December 31 of any year, the Company may have paid aggregate capital gain incentive fees that are more than the amount of such fees that would be payable if the Company had been wound up on December 31 of such year.</w:t>
      </w:r>
    </w:p>
    <w:p>
      <w:pPr>
        <w:spacing w:after="0" w:line="168" w:lineRule="exact"/>
        <w:rPr>
          <w:sz w:val="20"/>
          <w:szCs w:val="20"/>
          <w:color w:val="auto"/>
        </w:rPr>
      </w:pPr>
    </w:p>
    <w:p>
      <w:pPr>
        <w:ind w:left="500" w:hanging="272"/>
        <w:spacing w:after="0"/>
        <w:tabs>
          <w:tab w:leader="none" w:pos="5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Year 3: We recognized $5.0 million of unrealized capital depreciation and did not otherwise generate realized or unrealized capital gains or losses.</w:t>
      </w:r>
    </w:p>
    <w:p>
      <w:pPr>
        <w:spacing w:after="0" w:line="234" w:lineRule="exact"/>
        <w:rPr>
          <w:rFonts w:ascii="Arial" w:cs="Arial" w:eastAsia="Arial" w:hAnsi="Arial"/>
          <w:sz w:val="15"/>
          <w:szCs w:val="15"/>
          <w:color w:val="auto"/>
        </w:rPr>
      </w:pPr>
    </w:p>
    <w:p>
      <w:pPr>
        <w:ind w:left="500" w:hanging="272"/>
        <w:spacing w:after="0"/>
        <w:tabs>
          <w:tab w:leader="none" w:pos="5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Year 4: We realized a $6.0 million capital gain and did not otherwise generate realized or unrealized capital gains or losses.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62" w:right="2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38"/>
        </w:trPr>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Arial" w:cs="Arial" w:eastAsia="Arial" w:hAnsi="Arial"/>
                <w:sz w:val="12"/>
                <w:szCs w:val="12"/>
                <w:b w:val="1"/>
                <w:bCs w:val="1"/>
                <w:color w:val="auto"/>
                <w:w w:val="90"/>
              </w:rPr>
              <w:t>Income Related Incentive Fee Accrued</w:t>
            </w:r>
          </w:p>
        </w:tc>
        <w:tc>
          <w:tcPr>
            <w:tcW w:w="0" w:type="dxa"/>
            <w:vAlign w:val="bottom"/>
          </w:tcPr>
          <w:p>
            <w:pPr>
              <w:spacing w:after="0"/>
              <w:rPr>
                <w:sz w:val="1"/>
                <w:szCs w:val="1"/>
                <w:color w:val="auto"/>
              </w:rPr>
            </w:pPr>
          </w:p>
        </w:tc>
      </w:tr>
      <w:tr>
        <w:trPr>
          <w:trHeight w:val="124"/>
        </w:trPr>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8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2"/>
              </w:rPr>
              <w:t>Before Application of Deferral</w:t>
            </w:r>
          </w:p>
        </w:tc>
        <w:tc>
          <w:tcPr>
            <w:tcW w:w="0" w:type="dxa"/>
            <w:vAlign w:val="bottom"/>
          </w:tcPr>
          <w:p>
            <w:pPr>
              <w:spacing w:after="0"/>
              <w:rPr>
                <w:sz w:val="1"/>
                <w:szCs w:val="1"/>
                <w:color w:val="auto"/>
              </w:rPr>
            </w:pPr>
          </w:p>
        </w:tc>
      </w:tr>
      <w:tr>
        <w:trPr>
          <w:trHeight w:val="144"/>
        </w:trPr>
        <w:tc>
          <w:tcPr>
            <w:tcW w:w="620" w:type="dxa"/>
            <w:vAlign w:val="bottom"/>
            <w:vMerge w:val="restart"/>
          </w:tcPr>
          <w:p>
            <w:pPr>
              <w:spacing w:after="0"/>
              <w:rPr>
                <w:sz w:val="20"/>
                <w:szCs w:val="20"/>
                <w:color w:val="auto"/>
              </w:rPr>
            </w:pPr>
            <w:r>
              <w:rPr>
                <w:rFonts w:ascii="Arial" w:cs="Arial" w:eastAsia="Arial" w:hAnsi="Arial"/>
                <w:sz w:val="12"/>
                <w:szCs w:val="12"/>
                <w:color w:val="auto"/>
              </w:rPr>
              <w:t>Year 1</w:t>
            </w:r>
          </w:p>
        </w:tc>
        <w:tc>
          <w:tcPr>
            <w:tcW w:w="300" w:type="dxa"/>
            <w:vAlign w:val="bottom"/>
          </w:tcPr>
          <w:p>
            <w:pPr>
              <w:spacing w:after="0"/>
              <w:rPr>
                <w:sz w:val="12"/>
                <w:szCs w:val="12"/>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Mechanism</w:t>
            </w:r>
          </w:p>
        </w:tc>
        <w:tc>
          <w:tcPr>
            <w:tcW w:w="0" w:type="dxa"/>
            <w:vAlign w:val="bottom"/>
          </w:tcPr>
          <w:p>
            <w:pPr>
              <w:spacing w:after="0"/>
              <w:rPr>
                <w:sz w:val="1"/>
                <w:szCs w:val="1"/>
                <w:color w:val="auto"/>
              </w:rPr>
            </w:pPr>
          </w:p>
        </w:tc>
      </w:tr>
      <w:tr>
        <w:trPr>
          <w:trHeight w:val="100"/>
        </w:trPr>
        <w:tc>
          <w:tcPr>
            <w:tcW w:w="6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080" w:type="dxa"/>
            <w:vAlign w:val="bottom"/>
          </w:tcPr>
          <w:p>
            <w:pPr>
              <w:spacing w:after="0" w:line="100" w:lineRule="exact"/>
              <w:rPr>
                <w:sz w:val="20"/>
                <w:szCs w:val="20"/>
                <w:color w:val="auto"/>
              </w:rPr>
            </w:pPr>
            <w:r>
              <w:rPr>
                <w:rFonts w:ascii="Arial" w:cs="Arial" w:eastAsia="Arial" w:hAnsi="Arial"/>
                <w:sz w:val="11"/>
                <w:szCs w:val="11"/>
                <w:color w:val="auto"/>
              </w:rPr>
              <w:t>$8.0 million</w:t>
            </w:r>
          </w:p>
        </w:tc>
        <w:tc>
          <w:tcPr>
            <w:tcW w:w="0" w:type="dxa"/>
            <w:vAlign w:val="bottom"/>
          </w:tcPr>
          <w:p>
            <w:pPr>
              <w:spacing w:after="0"/>
              <w:rPr>
                <w:sz w:val="1"/>
                <w:szCs w:val="1"/>
                <w:color w:val="auto"/>
              </w:rPr>
            </w:pPr>
          </w:p>
        </w:tc>
      </w:tr>
      <w:tr>
        <w:trPr>
          <w:trHeight w:val="124"/>
        </w:trPr>
        <w:tc>
          <w:tcPr>
            <w:tcW w:w="620" w:type="dxa"/>
            <w:vAlign w:val="bottom"/>
          </w:tcPr>
          <w:p>
            <w:pPr>
              <w:spacing w:after="0"/>
              <w:rPr>
                <w:sz w:val="10"/>
                <w:szCs w:val="10"/>
                <w:color w:val="auto"/>
              </w:rPr>
            </w:pPr>
          </w:p>
        </w:tc>
        <w:tc>
          <w:tcPr>
            <w:tcW w:w="3380" w:type="dxa"/>
            <w:vAlign w:val="bottom"/>
            <w:gridSpan w:val="2"/>
          </w:tcPr>
          <w:p>
            <w:pPr>
              <w:ind w:left="300"/>
              <w:spacing w:after="0" w:line="125" w:lineRule="exact"/>
              <w:rPr>
                <w:sz w:val="20"/>
                <w:szCs w:val="20"/>
                <w:color w:val="auto"/>
              </w:rPr>
            </w:pPr>
            <w:r>
              <w:rPr>
                <w:rFonts w:ascii="Arial" w:cs="Arial" w:eastAsia="Arial" w:hAnsi="Arial"/>
                <w:sz w:val="12"/>
                <w:szCs w:val="12"/>
                <w:color w:val="auto"/>
              </w:rPr>
              <w:t>($40.0 million</w:t>
            </w:r>
          </w:p>
        </w:tc>
        <w:tc>
          <w:tcPr>
            <w:tcW w:w="0" w:type="dxa"/>
            <w:vAlign w:val="bottom"/>
          </w:tcPr>
          <w:p>
            <w:pPr>
              <w:spacing w:after="0"/>
              <w:rPr>
                <w:sz w:val="1"/>
                <w:szCs w:val="1"/>
                <w:color w:val="auto"/>
              </w:rPr>
            </w:pPr>
          </w:p>
        </w:tc>
      </w:tr>
      <w:tr>
        <w:trPr>
          <w:trHeight w:val="124"/>
        </w:trPr>
        <w:tc>
          <w:tcPr>
            <w:tcW w:w="620" w:type="dxa"/>
            <w:vAlign w:val="bottom"/>
          </w:tcPr>
          <w:p>
            <w:pPr>
              <w:spacing w:after="0"/>
              <w:rPr>
                <w:sz w:val="10"/>
                <w:szCs w:val="10"/>
                <w:color w:val="auto"/>
              </w:rPr>
            </w:pPr>
          </w:p>
        </w:tc>
        <w:tc>
          <w:tcPr>
            <w:tcW w:w="3380" w:type="dxa"/>
            <w:vAlign w:val="bottom"/>
            <w:gridSpan w:val="2"/>
          </w:tcPr>
          <w:p>
            <w:pPr>
              <w:ind w:left="300"/>
              <w:spacing w:after="0" w:line="125" w:lineRule="exact"/>
              <w:rPr>
                <w:sz w:val="20"/>
                <w:szCs w:val="20"/>
                <w:color w:val="auto"/>
              </w:rPr>
            </w:pPr>
            <w:r>
              <w:rPr>
                <w:rFonts w:ascii="Arial" w:cs="Arial" w:eastAsia="Arial" w:hAnsi="Arial"/>
                <w:sz w:val="12"/>
                <w:szCs w:val="12"/>
                <w:color w:val="auto"/>
              </w:rPr>
              <w:t>multiplied by 20%)</w:t>
            </w:r>
          </w:p>
        </w:tc>
        <w:tc>
          <w:tcPr>
            <w:tcW w:w="0" w:type="dxa"/>
            <w:vAlign w:val="bottom"/>
          </w:tcPr>
          <w:p>
            <w:pPr>
              <w:spacing w:after="0"/>
              <w:rPr>
                <w:sz w:val="1"/>
                <w:szCs w:val="1"/>
                <w:color w:val="auto"/>
              </w:rPr>
            </w:pPr>
          </w:p>
        </w:tc>
      </w:tr>
      <w:tr>
        <w:trPr>
          <w:trHeight w:val="124"/>
        </w:trPr>
        <w:tc>
          <w:tcPr>
            <w:tcW w:w="620" w:type="dxa"/>
            <w:vAlign w:val="bottom"/>
          </w:tcPr>
          <w:p>
            <w:pPr>
              <w:spacing w:after="0" w:line="125" w:lineRule="exact"/>
              <w:rPr>
                <w:sz w:val="20"/>
                <w:szCs w:val="20"/>
                <w:color w:val="auto"/>
              </w:rPr>
            </w:pPr>
            <w:r>
              <w:rPr>
                <w:rFonts w:ascii="Arial" w:cs="Arial" w:eastAsia="Arial" w:hAnsi="Arial"/>
                <w:sz w:val="12"/>
                <w:szCs w:val="12"/>
                <w:color w:val="auto"/>
              </w:rPr>
              <w:t>Year 2</w:t>
            </w:r>
          </w:p>
        </w:tc>
        <w:tc>
          <w:tcPr>
            <w:tcW w:w="3380" w:type="dxa"/>
            <w:vAlign w:val="bottom"/>
            <w:gridSpan w:val="2"/>
          </w:tcPr>
          <w:p>
            <w:pPr>
              <w:ind w:left="300"/>
              <w:spacing w:after="0" w:line="125" w:lineRule="exact"/>
              <w:rPr>
                <w:sz w:val="20"/>
                <w:szCs w:val="20"/>
                <w:color w:val="auto"/>
              </w:rPr>
            </w:pPr>
            <w:r>
              <w:rPr>
                <w:rFonts w:ascii="Arial" w:cs="Arial" w:eastAsia="Arial" w:hAnsi="Arial"/>
                <w:sz w:val="12"/>
                <w:szCs w:val="12"/>
                <w:color w:val="auto"/>
              </w:rPr>
              <w:t>$8.0 million</w:t>
            </w:r>
          </w:p>
        </w:tc>
        <w:tc>
          <w:tcPr>
            <w:tcW w:w="0" w:type="dxa"/>
            <w:vAlign w:val="bottom"/>
          </w:tcPr>
          <w:p>
            <w:pPr>
              <w:spacing w:after="0"/>
              <w:rPr>
                <w:sz w:val="1"/>
                <w:szCs w:val="1"/>
                <w:color w:val="auto"/>
              </w:rPr>
            </w:pPr>
          </w:p>
        </w:tc>
      </w:tr>
      <w:tr>
        <w:trPr>
          <w:trHeight w:val="124"/>
        </w:trPr>
        <w:tc>
          <w:tcPr>
            <w:tcW w:w="620" w:type="dxa"/>
            <w:vAlign w:val="bottom"/>
          </w:tcPr>
          <w:p>
            <w:pPr>
              <w:spacing w:after="0"/>
              <w:rPr>
                <w:sz w:val="10"/>
                <w:szCs w:val="10"/>
                <w:color w:val="auto"/>
              </w:rPr>
            </w:pPr>
          </w:p>
        </w:tc>
        <w:tc>
          <w:tcPr>
            <w:tcW w:w="3380" w:type="dxa"/>
            <w:vAlign w:val="bottom"/>
            <w:gridSpan w:val="2"/>
          </w:tcPr>
          <w:p>
            <w:pPr>
              <w:ind w:left="300"/>
              <w:spacing w:after="0" w:line="125" w:lineRule="exact"/>
              <w:rPr>
                <w:sz w:val="20"/>
                <w:szCs w:val="20"/>
                <w:color w:val="auto"/>
              </w:rPr>
            </w:pPr>
            <w:r>
              <w:rPr>
                <w:rFonts w:ascii="Arial" w:cs="Arial" w:eastAsia="Arial" w:hAnsi="Arial"/>
                <w:sz w:val="12"/>
                <w:szCs w:val="12"/>
                <w:color w:val="auto"/>
              </w:rPr>
              <w:t>($40.0 million</w:t>
            </w:r>
          </w:p>
        </w:tc>
        <w:tc>
          <w:tcPr>
            <w:tcW w:w="0" w:type="dxa"/>
            <w:vAlign w:val="bottom"/>
          </w:tcPr>
          <w:p>
            <w:pPr>
              <w:spacing w:after="0"/>
              <w:rPr>
                <w:sz w:val="1"/>
                <w:szCs w:val="1"/>
                <w:color w:val="auto"/>
              </w:rPr>
            </w:pPr>
          </w:p>
        </w:tc>
      </w:tr>
      <w:tr>
        <w:trPr>
          <w:trHeight w:val="124"/>
        </w:trPr>
        <w:tc>
          <w:tcPr>
            <w:tcW w:w="620" w:type="dxa"/>
            <w:vAlign w:val="bottom"/>
          </w:tcPr>
          <w:p>
            <w:pPr>
              <w:spacing w:after="0"/>
              <w:rPr>
                <w:sz w:val="10"/>
                <w:szCs w:val="10"/>
                <w:color w:val="auto"/>
              </w:rPr>
            </w:pPr>
          </w:p>
        </w:tc>
        <w:tc>
          <w:tcPr>
            <w:tcW w:w="3380" w:type="dxa"/>
            <w:vAlign w:val="bottom"/>
            <w:gridSpan w:val="2"/>
          </w:tcPr>
          <w:p>
            <w:pPr>
              <w:ind w:left="300"/>
              <w:spacing w:after="0" w:line="125" w:lineRule="exact"/>
              <w:rPr>
                <w:sz w:val="20"/>
                <w:szCs w:val="20"/>
                <w:color w:val="auto"/>
              </w:rPr>
            </w:pPr>
            <w:r>
              <w:rPr>
                <w:rFonts w:ascii="Arial" w:cs="Arial" w:eastAsia="Arial" w:hAnsi="Arial"/>
                <w:sz w:val="12"/>
                <w:szCs w:val="12"/>
                <w:color w:val="auto"/>
              </w:rPr>
              <w:t>multiplied by 20%)</w:t>
            </w:r>
          </w:p>
        </w:tc>
        <w:tc>
          <w:tcPr>
            <w:tcW w:w="0" w:type="dxa"/>
            <w:vAlign w:val="bottom"/>
          </w:tcPr>
          <w:p>
            <w:pPr>
              <w:spacing w:after="0"/>
              <w:rPr>
                <w:sz w:val="1"/>
                <w:szCs w:val="1"/>
                <w:color w:val="auto"/>
              </w:rPr>
            </w:pPr>
          </w:p>
        </w:tc>
      </w:tr>
      <w:tr>
        <w:trPr>
          <w:trHeight w:val="124"/>
        </w:trPr>
        <w:tc>
          <w:tcPr>
            <w:tcW w:w="620" w:type="dxa"/>
            <w:vAlign w:val="bottom"/>
          </w:tcPr>
          <w:p>
            <w:pPr>
              <w:spacing w:after="0" w:line="125" w:lineRule="exact"/>
              <w:rPr>
                <w:sz w:val="20"/>
                <w:szCs w:val="20"/>
                <w:color w:val="auto"/>
              </w:rPr>
            </w:pPr>
            <w:r>
              <w:rPr>
                <w:rFonts w:ascii="Arial" w:cs="Arial" w:eastAsia="Arial" w:hAnsi="Arial"/>
                <w:sz w:val="12"/>
                <w:szCs w:val="12"/>
                <w:color w:val="auto"/>
              </w:rPr>
              <w:t>Year 3</w:t>
            </w:r>
          </w:p>
        </w:tc>
        <w:tc>
          <w:tcPr>
            <w:tcW w:w="3380" w:type="dxa"/>
            <w:vAlign w:val="bottom"/>
            <w:gridSpan w:val="2"/>
          </w:tcPr>
          <w:p>
            <w:pPr>
              <w:ind w:left="300"/>
              <w:spacing w:after="0" w:line="125" w:lineRule="exact"/>
              <w:rPr>
                <w:sz w:val="20"/>
                <w:szCs w:val="20"/>
                <w:color w:val="auto"/>
              </w:rPr>
            </w:pPr>
            <w:r>
              <w:rPr>
                <w:rFonts w:ascii="Arial" w:cs="Arial" w:eastAsia="Arial" w:hAnsi="Arial"/>
                <w:sz w:val="12"/>
                <w:szCs w:val="12"/>
                <w:color w:val="auto"/>
              </w:rPr>
              <w:t>$8.0 million</w:t>
            </w:r>
          </w:p>
        </w:tc>
        <w:tc>
          <w:tcPr>
            <w:tcW w:w="0" w:type="dxa"/>
            <w:vAlign w:val="bottom"/>
          </w:tcPr>
          <w:p>
            <w:pPr>
              <w:spacing w:after="0"/>
              <w:rPr>
                <w:sz w:val="1"/>
                <w:szCs w:val="1"/>
                <w:color w:val="auto"/>
              </w:rPr>
            </w:pPr>
          </w:p>
        </w:tc>
      </w:tr>
      <w:tr>
        <w:trPr>
          <w:trHeight w:val="124"/>
        </w:trPr>
        <w:tc>
          <w:tcPr>
            <w:tcW w:w="620" w:type="dxa"/>
            <w:vAlign w:val="bottom"/>
          </w:tcPr>
          <w:p>
            <w:pPr>
              <w:spacing w:after="0"/>
              <w:rPr>
                <w:sz w:val="10"/>
                <w:szCs w:val="10"/>
                <w:color w:val="auto"/>
              </w:rPr>
            </w:pPr>
          </w:p>
        </w:tc>
        <w:tc>
          <w:tcPr>
            <w:tcW w:w="3380" w:type="dxa"/>
            <w:vAlign w:val="bottom"/>
            <w:gridSpan w:val="2"/>
          </w:tcPr>
          <w:p>
            <w:pPr>
              <w:ind w:left="300"/>
              <w:spacing w:after="0" w:line="125" w:lineRule="exact"/>
              <w:rPr>
                <w:sz w:val="20"/>
                <w:szCs w:val="20"/>
                <w:color w:val="auto"/>
              </w:rPr>
            </w:pPr>
            <w:r>
              <w:rPr>
                <w:rFonts w:ascii="Arial" w:cs="Arial" w:eastAsia="Arial" w:hAnsi="Arial"/>
                <w:sz w:val="12"/>
                <w:szCs w:val="12"/>
                <w:color w:val="auto"/>
              </w:rPr>
              <w:t>($40.0 million</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3380" w:type="dxa"/>
            <w:vAlign w:val="bottom"/>
            <w:gridSpan w:val="2"/>
          </w:tcPr>
          <w:p>
            <w:pPr>
              <w:ind w:left="300"/>
              <w:spacing w:after="0"/>
              <w:rPr>
                <w:sz w:val="20"/>
                <w:szCs w:val="20"/>
                <w:color w:val="auto"/>
              </w:rPr>
            </w:pPr>
            <w:r>
              <w:rPr>
                <w:rFonts w:ascii="Arial" w:cs="Arial" w:eastAsia="Arial" w:hAnsi="Arial"/>
                <w:sz w:val="12"/>
                <w:szCs w:val="12"/>
                <w:color w:val="auto"/>
              </w:rPr>
              <w:t>multiplied by 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color w:val="auto"/>
        </w:rPr>
        <w:t>Year 4</w:t>
      </w:r>
      <w:r>
        <w:rPr>
          <w:sz w:val="20"/>
          <w:szCs w:val="20"/>
          <w:color w:val="auto"/>
        </w:rPr>
        <w:tab/>
      </w:r>
      <w:r>
        <w:rPr>
          <w:rFonts w:ascii="Arial" w:cs="Arial" w:eastAsia="Arial" w:hAnsi="Arial"/>
          <w:sz w:val="11"/>
          <w:szCs w:val="11"/>
          <w:color w:val="auto"/>
        </w:rPr>
        <w:t>$8.0 million</w:t>
      </w:r>
    </w:p>
    <w:p>
      <w:pPr>
        <w:ind w:left="920"/>
        <w:spacing w:after="0" w:line="216" w:lineRule="auto"/>
        <w:rPr>
          <w:sz w:val="20"/>
          <w:szCs w:val="20"/>
          <w:color w:val="auto"/>
        </w:rPr>
      </w:pPr>
      <w:r>
        <w:rPr>
          <w:rFonts w:ascii="Arial" w:cs="Arial" w:eastAsia="Arial" w:hAnsi="Arial"/>
          <w:sz w:val="12"/>
          <w:szCs w:val="12"/>
          <w:color w:val="auto"/>
        </w:rPr>
        <w:t>($40.0 million</w:t>
      </w:r>
    </w:p>
    <w:p>
      <w:pPr>
        <w:ind w:left="920"/>
        <w:spacing w:after="0"/>
        <w:rPr>
          <w:sz w:val="20"/>
          <w:szCs w:val="20"/>
          <w:color w:val="auto"/>
        </w:rPr>
      </w:pPr>
      <w:r>
        <w:rPr>
          <w:rFonts w:ascii="Arial" w:cs="Arial" w:eastAsia="Arial" w:hAnsi="Arial"/>
          <w:sz w:val="12"/>
          <w:szCs w:val="12"/>
          <w:color w:val="auto"/>
        </w:rPr>
        <w:t>multiplied by 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980" w:type="dxa"/>
            <w:vAlign w:val="bottom"/>
          </w:tcPr>
          <w:p>
            <w:pPr>
              <w:ind w:left="540"/>
              <w:spacing w:after="0"/>
              <w:rPr>
                <w:sz w:val="20"/>
                <w:szCs w:val="20"/>
                <w:color w:val="auto"/>
              </w:rPr>
            </w:pPr>
            <w:r>
              <w:rPr>
                <w:rFonts w:ascii="Arial" w:cs="Arial" w:eastAsia="Arial" w:hAnsi="Arial"/>
                <w:sz w:val="12"/>
                <w:szCs w:val="12"/>
                <w:b w:val="1"/>
                <w:bCs w:val="1"/>
                <w:color w:val="auto"/>
              </w:rPr>
              <w:t>Capital Gains Related Incentive Fee</w:t>
            </w:r>
          </w:p>
        </w:tc>
        <w:tc>
          <w:tcPr>
            <w:tcW w:w="1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Incentive Fees Paid and</w:t>
            </w:r>
          </w:p>
        </w:tc>
        <w:tc>
          <w:tcPr>
            <w:tcW w:w="0" w:type="dxa"/>
            <w:vAlign w:val="bottom"/>
          </w:tcPr>
          <w:p>
            <w:pPr>
              <w:spacing w:after="0"/>
              <w:rPr>
                <w:sz w:val="1"/>
                <w:szCs w:val="1"/>
                <w:color w:val="auto"/>
              </w:rPr>
            </w:pPr>
          </w:p>
        </w:tc>
      </w:tr>
      <w:tr>
        <w:trPr>
          <w:trHeight w:val="124"/>
        </w:trPr>
        <w:tc>
          <w:tcPr>
            <w:tcW w:w="2980" w:type="dxa"/>
            <w:vAlign w:val="bottom"/>
          </w:tcPr>
          <w:p>
            <w:pPr>
              <w:ind w:left="460"/>
              <w:spacing w:after="0" w:line="125" w:lineRule="exact"/>
              <w:rPr>
                <w:sz w:val="20"/>
                <w:szCs w:val="20"/>
                <w:color w:val="auto"/>
              </w:rPr>
            </w:pPr>
            <w:r>
              <w:rPr>
                <w:rFonts w:ascii="Arial" w:cs="Arial" w:eastAsia="Arial" w:hAnsi="Arial"/>
                <w:sz w:val="12"/>
                <w:szCs w:val="12"/>
                <w:b w:val="1"/>
                <w:bCs w:val="1"/>
                <w:color w:val="auto"/>
              </w:rPr>
              <w:t>Accrued Before Application of Deferral</w:t>
            </w:r>
          </w:p>
        </w:tc>
        <w:tc>
          <w:tcPr>
            <w:tcW w:w="100" w:type="dxa"/>
            <w:vAlign w:val="bottom"/>
          </w:tcPr>
          <w:p>
            <w:pPr>
              <w:spacing w:after="0"/>
              <w:rPr>
                <w:sz w:val="10"/>
                <w:szCs w:val="10"/>
                <w:color w:val="auto"/>
              </w:rPr>
            </w:pPr>
          </w:p>
        </w:tc>
        <w:tc>
          <w:tcPr>
            <w:tcW w:w="2180" w:type="dxa"/>
            <w:vAlign w:val="bottom"/>
            <w:vMerge w:val="restart"/>
          </w:tcPr>
          <w:p>
            <w:pPr>
              <w:ind w:left="420"/>
              <w:spacing w:after="0"/>
              <w:rPr>
                <w:sz w:val="20"/>
                <w:szCs w:val="20"/>
                <w:color w:val="auto"/>
              </w:rPr>
            </w:pPr>
            <w:r>
              <w:rPr>
                <w:rFonts w:ascii="Arial" w:cs="Arial" w:eastAsia="Arial" w:hAnsi="Arial"/>
                <w:sz w:val="12"/>
                <w:szCs w:val="12"/>
                <w:b w:val="1"/>
                <w:bCs w:val="1"/>
                <w:color w:val="auto"/>
              </w:rPr>
              <w:t>Incentive Fee Calculations</w:t>
            </w:r>
          </w:p>
        </w:tc>
        <w:tc>
          <w:tcPr>
            <w:tcW w:w="12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80" w:type="dxa"/>
            <w:vAlign w:val="bottom"/>
            <w:tcBorders>
              <w:bottom w:val="single" w:sz="8" w:color="auto"/>
            </w:tcBorders>
          </w:tcPr>
          <w:p>
            <w:pPr>
              <w:ind w:left="1180"/>
              <w:spacing w:after="0"/>
              <w:rPr>
                <w:sz w:val="20"/>
                <w:szCs w:val="20"/>
                <w:color w:val="auto"/>
              </w:rPr>
            </w:pPr>
            <w:r>
              <w:rPr>
                <w:rFonts w:ascii="Arial" w:cs="Arial" w:eastAsia="Arial" w:hAnsi="Arial"/>
                <w:sz w:val="12"/>
                <w:szCs w:val="12"/>
                <w:b w:val="1"/>
                <w:bCs w:val="1"/>
                <w:color w:val="auto"/>
              </w:rPr>
              <w:t>Mechanism</w:t>
            </w:r>
          </w:p>
        </w:tc>
        <w:tc>
          <w:tcPr>
            <w:tcW w:w="100" w:type="dxa"/>
            <w:vAlign w:val="bottom"/>
          </w:tcPr>
          <w:p>
            <w:pPr>
              <w:spacing w:after="0"/>
              <w:rPr>
                <w:sz w:val="12"/>
                <w:szCs w:val="12"/>
                <w:color w:val="auto"/>
              </w:rPr>
            </w:pPr>
          </w:p>
        </w:tc>
        <w:tc>
          <w:tcPr>
            <w:tcW w:w="21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Borders>
              <w:bottom w:val="single" w:sz="8" w:color="auto"/>
            </w:tcBorders>
          </w:tcPr>
          <w:p>
            <w:pPr>
              <w:ind w:left="740"/>
              <w:spacing w:after="0"/>
              <w:rPr>
                <w:sz w:val="20"/>
                <w:szCs w:val="20"/>
                <w:color w:val="auto"/>
              </w:rPr>
            </w:pPr>
            <w:r>
              <w:rPr>
                <w:rFonts w:ascii="Arial" w:cs="Arial" w:eastAsia="Arial" w:hAnsi="Arial"/>
                <w:sz w:val="12"/>
                <w:szCs w:val="12"/>
                <w:b w:val="1"/>
                <w:bCs w:val="1"/>
                <w:color w:val="auto"/>
              </w:rPr>
              <w:t>Deferred</w:t>
            </w:r>
          </w:p>
        </w:tc>
        <w:tc>
          <w:tcPr>
            <w:tcW w:w="0" w:type="dxa"/>
            <w:vAlign w:val="bottom"/>
          </w:tcPr>
          <w:p>
            <w:pPr>
              <w:spacing w:after="0"/>
              <w:rPr>
                <w:sz w:val="1"/>
                <w:szCs w:val="1"/>
                <w:color w:val="auto"/>
              </w:rPr>
            </w:pPr>
          </w:p>
        </w:tc>
      </w:tr>
      <w:tr>
        <w:trPr>
          <w:trHeight w:val="100"/>
        </w:trPr>
        <w:tc>
          <w:tcPr>
            <w:tcW w:w="2980" w:type="dxa"/>
            <w:vAlign w:val="bottom"/>
          </w:tcPr>
          <w:p>
            <w:pPr>
              <w:spacing w:after="0" w:line="100" w:lineRule="exact"/>
              <w:rPr>
                <w:sz w:val="20"/>
                <w:szCs w:val="20"/>
                <w:color w:val="auto"/>
              </w:rPr>
            </w:pPr>
            <w:r>
              <w:rPr>
                <w:rFonts w:ascii="Arial" w:cs="Arial" w:eastAsia="Arial" w:hAnsi="Arial"/>
                <w:sz w:val="11"/>
                <w:szCs w:val="11"/>
                <w:color w:val="auto"/>
              </w:rPr>
              <w:t>None</w:t>
            </w:r>
          </w:p>
        </w:tc>
        <w:tc>
          <w:tcPr>
            <w:tcW w:w="100" w:type="dxa"/>
            <w:vAlign w:val="bottom"/>
          </w:tcPr>
          <w:p>
            <w:pPr>
              <w:spacing w:after="0"/>
              <w:rPr>
                <w:sz w:val="8"/>
                <w:szCs w:val="8"/>
                <w:color w:val="auto"/>
              </w:rPr>
            </w:pPr>
          </w:p>
        </w:tc>
        <w:tc>
          <w:tcPr>
            <w:tcW w:w="2180" w:type="dxa"/>
            <w:vAlign w:val="bottom"/>
          </w:tcPr>
          <w:p>
            <w:pPr>
              <w:spacing w:after="0" w:line="100" w:lineRule="exact"/>
              <w:rPr>
                <w:sz w:val="20"/>
                <w:szCs w:val="20"/>
                <w:color w:val="auto"/>
              </w:rPr>
            </w:pPr>
            <w:r>
              <w:rPr>
                <w:rFonts w:ascii="Arial" w:cs="Arial" w:eastAsia="Arial" w:hAnsi="Arial"/>
                <w:sz w:val="11"/>
                <w:szCs w:val="11"/>
                <w:color w:val="auto"/>
              </w:rPr>
              <w:t>$8.0 million</w:t>
            </w:r>
          </w:p>
        </w:tc>
        <w:tc>
          <w:tcPr>
            <w:tcW w:w="120" w:type="dxa"/>
            <w:vAlign w:val="bottom"/>
          </w:tcPr>
          <w:p>
            <w:pPr>
              <w:spacing w:after="0"/>
              <w:rPr>
                <w:sz w:val="8"/>
                <w:szCs w:val="8"/>
                <w:color w:val="auto"/>
              </w:rPr>
            </w:pPr>
          </w:p>
        </w:tc>
        <w:tc>
          <w:tcPr>
            <w:tcW w:w="1940" w:type="dxa"/>
            <w:vAlign w:val="bottom"/>
          </w:tcPr>
          <w:p>
            <w:pPr>
              <w:spacing w:after="0" w:line="100" w:lineRule="exact"/>
              <w:rPr>
                <w:sz w:val="20"/>
                <w:szCs w:val="20"/>
                <w:color w:val="auto"/>
              </w:rPr>
            </w:pPr>
            <w:r>
              <w:rPr>
                <w:rFonts w:ascii="Arial" w:cs="Arial" w:eastAsia="Arial" w:hAnsi="Arial"/>
                <w:sz w:val="11"/>
                <w:szCs w:val="11"/>
                <w:color w:val="auto"/>
              </w:rPr>
              <w:t>Incentive fees of</w:t>
            </w:r>
          </w:p>
        </w:tc>
        <w:tc>
          <w:tcPr>
            <w:tcW w:w="0" w:type="dxa"/>
            <w:vAlign w:val="bottom"/>
          </w:tcPr>
          <w:p>
            <w:pPr>
              <w:spacing w:after="0"/>
              <w:rPr>
                <w:sz w:val="1"/>
                <w:szCs w:val="1"/>
                <w:color w:val="auto"/>
              </w:rPr>
            </w:pPr>
          </w:p>
        </w:tc>
      </w:tr>
      <w:tr>
        <w:trPr>
          <w:trHeight w:val="124"/>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$8.0 million paid; no</w:t>
            </w:r>
          </w:p>
        </w:tc>
        <w:tc>
          <w:tcPr>
            <w:tcW w:w="0" w:type="dxa"/>
            <w:vAlign w:val="bottom"/>
          </w:tcPr>
          <w:p>
            <w:pPr>
              <w:spacing w:after="0"/>
              <w:rPr>
                <w:sz w:val="1"/>
                <w:szCs w:val="1"/>
                <w:color w:val="auto"/>
              </w:rPr>
            </w:pPr>
          </w:p>
        </w:tc>
      </w:tr>
      <w:tr>
        <w:trPr>
          <w:trHeight w:val="124"/>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incentive fees deferred</w:t>
            </w: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$6.0 million (20% of</w:t>
            </w:r>
          </w:p>
        </w:tc>
        <w:tc>
          <w:tcPr>
            <w:tcW w:w="2280" w:type="dxa"/>
            <w:vAlign w:val="bottom"/>
            <w:gridSpan w:val="2"/>
          </w:tcPr>
          <w:p>
            <w:pPr>
              <w:ind w:left="100"/>
              <w:spacing w:after="0" w:line="125" w:lineRule="exact"/>
              <w:rPr>
                <w:sz w:val="20"/>
                <w:szCs w:val="20"/>
                <w:color w:val="auto"/>
              </w:rPr>
            </w:pPr>
            <w:r>
              <w:rPr>
                <w:rFonts w:ascii="Arial" w:cs="Arial" w:eastAsia="Arial" w:hAnsi="Arial"/>
                <w:sz w:val="12"/>
                <w:szCs w:val="12"/>
                <w:color w:val="auto"/>
              </w:rPr>
              <w:t>$14.0 million</w:t>
            </w: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Incentive fees of</w:t>
            </w: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$30.0 million)</w:t>
            </w:r>
          </w:p>
        </w:tc>
        <w:tc>
          <w:tcPr>
            <w:tcW w:w="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$14.0 million paid; no</w:t>
            </w:r>
          </w:p>
        </w:tc>
        <w:tc>
          <w:tcPr>
            <w:tcW w:w="0" w:type="dxa"/>
            <w:vAlign w:val="bottom"/>
          </w:tcPr>
          <w:p>
            <w:pPr>
              <w:spacing w:after="0"/>
              <w:rPr>
                <w:sz w:val="1"/>
                <w:szCs w:val="1"/>
                <w:color w:val="auto"/>
              </w:rPr>
            </w:pPr>
          </w:p>
        </w:tc>
      </w:tr>
      <w:tr>
        <w:trPr>
          <w:trHeight w:val="124"/>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incentive fees deferred</w:t>
            </w: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None (20% of</w:t>
            </w:r>
          </w:p>
        </w:tc>
        <w:tc>
          <w:tcPr>
            <w:tcW w:w="2280" w:type="dxa"/>
            <w:vAlign w:val="bottom"/>
            <w:gridSpan w:val="2"/>
          </w:tcPr>
          <w:p>
            <w:pPr>
              <w:ind w:left="100"/>
              <w:spacing w:after="0" w:line="125" w:lineRule="exact"/>
              <w:rPr>
                <w:sz w:val="20"/>
                <w:szCs w:val="20"/>
                <w:color w:val="auto"/>
              </w:rPr>
            </w:pPr>
            <w:r>
              <w:rPr>
                <w:rFonts w:ascii="Arial" w:cs="Arial" w:eastAsia="Arial" w:hAnsi="Arial"/>
                <w:sz w:val="12"/>
                <w:szCs w:val="12"/>
                <w:color w:val="auto"/>
              </w:rPr>
              <w:t>$7.0 million (20% of</w:t>
            </w: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Incentive fees of</w:t>
            </w: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cumulative net capital</w:t>
            </w:r>
          </w:p>
        </w:tc>
        <w:tc>
          <w:tcPr>
            <w:tcW w:w="2280" w:type="dxa"/>
            <w:vAlign w:val="bottom"/>
            <w:gridSpan w:val="2"/>
          </w:tcPr>
          <w:p>
            <w:pPr>
              <w:ind w:left="100"/>
              <w:spacing w:after="0" w:line="125" w:lineRule="exact"/>
              <w:rPr>
                <w:sz w:val="20"/>
                <w:szCs w:val="20"/>
                <w:color w:val="auto"/>
              </w:rPr>
            </w:pPr>
            <w:r>
              <w:rPr>
                <w:rFonts w:ascii="Arial" w:cs="Arial" w:eastAsia="Arial" w:hAnsi="Arial"/>
                <w:sz w:val="12"/>
                <w:szCs w:val="12"/>
                <w:color w:val="auto"/>
              </w:rPr>
              <w:t>the sum of (a) our</w:t>
            </w: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$7.0 million paid;</w:t>
            </w: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gains of $25.0 million</w:t>
            </w:r>
          </w:p>
        </w:tc>
        <w:tc>
          <w:tcPr>
            <w:tcW w:w="2280" w:type="dxa"/>
            <w:vAlign w:val="bottom"/>
            <w:gridSpan w:val="2"/>
          </w:tcPr>
          <w:p>
            <w:pPr>
              <w:ind w:left="100"/>
              <w:spacing w:after="0" w:line="125" w:lineRule="exact"/>
              <w:rPr>
                <w:sz w:val="20"/>
                <w:szCs w:val="20"/>
                <w:color w:val="auto"/>
              </w:rPr>
            </w:pPr>
            <w:r>
              <w:rPr>
                <w:rFonts w:ascii="Arial" w:cs="Arial" w:eastAsia="Arial" w:hAnsi="Arial"/>
                <w:sz w:val="12"/>
                <w:szCs w:val="12"/>
                <w:color w:val="auto"/>
              </w:rPr>
              <w:t>pre-incentive fee net</w:t>
            </w: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$8.0 million of</w:t>
            </w: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($30.0 million in</w:t>
            </w:r>
          </w:p>
        </w:tc>
        <w:tc>
          <w:tcPr>
            <w:tcW w:w="2280" w:type="dxa"/>
            <w:vAlign w:val="bottom"/>
            <w:gridSpan w:val="2"/>
          </w:tcPr>
          <w:p>
            <w:pPr>
              <w:ind w:left="100"/>
              <w:spacing w:after="0" w:line="125" w:lineRule="exact"/>
              <w:rPr>
                <w:sz w:val="20"/>
                <w:szCs w:val="20"/>
                <w:color w:val="auto"/>
              </w:rPr>
            </w:pPr>
            <w:r>
              <w:rPr>
                <w:rFonts w:ascii="Arial" w:cs="Arial" w:eastAsia="Arial" w:hAnsi="Arial"/>
                <w:sz w:val="12"/>
                <w:szCs w:val="12"/>
                <w:color w:val="auto"/>
              </w:rPr>
              <w:t>investment income,</w:t>
            </w: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incentive fees accrued</w:t>
            </w: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cumulative realized</w:t>
            </w:r>
          </w:p>
        </w:tc>
        <w:tc>
          <w:tcPr>
            <w:tcW w:w="2280" w:type="dxa"/>
            <w:vAlign w:val="bottom"/>
            <w:gridSpan w:val="2"/>
          </w:tcPr>
          <w:p>
            <w:pPr>
              <w:ind w:left="100"/>
              <w:spacing w:after="0" w:line="125" w:lineRule="exact"/>
              <w:rPr>
                <w:sz w:val="20"/>
                <w:szCs w:val="20"/>
                <w:color w:val="auto"/>
              </w:rPr>
            </w:pPr>
            <w:r>
              <w:rPr>
                <w:rFonts w:ascii="Arial" w:cs="Arial" w:eastAsia="Arial" w:hAnsi="Arial"/>
                <w:sz w:val="12"/>
                <w:szCs w:val="12"/>
                <w:color w:val="auto"/>
              </w:rPr>
              <w:t>(b) our net unrealized</w:t>
            </w: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but payment restricted</w:t>
            </w: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gains less $5.0 million</w:t>
            </w:r>
          </w:p>
        </w:tc>
        <w:tc>
          <w:tcPr>
            <w:tcW w:w="2280" w:type="dxa"/>
            <w:vAlign w:val="bottom"/>
            <w:gridSpan w:val="2"/>
          </w:tcPr>
          <w:p>
            <w:pPr>
              <w:ind w:left="100"/>
              <w:spacing w:after="0" w:line="125" w:lineRule="exact"/>
              <w:rPr>
                <w:sz w:val="20"/>
                <w:szCs w:val="20"/>
                <w:color w:val="auto"/>
              </w:rPr>
            </w:pPr>
            <w:r>
              <w:rPr>
                <w:rFonts w:ascii="Arial" w:cs="Arial" w:eastAsia="Arial" w:hAnsi="Arial"/>
                <w:sz w:val="12"/>
                <w:szCs w:val="12"/>
                <w:color w:val="auto"/>
              </w:rPr>
              <w:t>appreciation or</w:t>
            </w: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to $7.0 million;</w:t>
            </w: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in cumulative</w:t>
            </w:r>
          </w:p>
        </w:tc>
        <w:tc>
          <w:tcPr>
            <w:tcW w:w="2280" w:type="dxa"/>
            <w:vAlign w:val="bottom"/>
            <w:gridSpan w:val="2"/>
          </w:tcPr>
          <w:p>
            <w:pPr>
              <w:ind w:left="100"/>
              <w:spacing w:after="0" w:line="125" w:lineRule="exact"/>
              <w:rPr>
                <w:sz w:val="20"/>
                <w:szCs w:val="20"/>
                <w:color w:val="auto"/>
              </w:rPr>
            </w:pPr>
            <w:r>
              <w:rPr>
                <w:rFonts w:ascii="Arial" w:cs="Arial" w:eastAsia="Arial" w:hAnsi="Arial"/>
                <w:sz w:val="12"/>
                <w:szCs w:val="12"/>
                <w:color w:val="auto"/>
              </w:rPr>
              <w:t>depreciation during</w:t>
            </w: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$1.0 million of</w:t>
            </w: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unrealized capital</w:t>
            </w:r>
          </w:p>
        </w:tc>
        <w:tc>
          <w:tcPr>
            <w:tcW w:w="2280" w:type="dxa"/>
            <w:vAlign w:val="bottom"/>
            <w:gridSpan w:val="2"/>
          </w:tcPr>
          <w:p>
            <w:pPr>
              <w:ind w:left="100"/>
              <w:spacing w:after="0" w:line="125" w:lineRule="exact"/>
              <w:rPr>
                <w:sz w:val="20"/>
                <w:szCs w:val="20"/>
                <w:color w:val="auto"/>
              </w:rPr>
            </w:pPr>
            <w:r>
              <w:rPr>
                <w:rFonts w:ascii="Arial" w:cs="Arial" w:eastAsia="Arial" w:hAnsi="Arial"/>
                <w:sz w:val="12"/>
                <w:szCs w:val="12"/>
                <w:color w:val="auto"/>
              </w:rPr>
              <w:t>such period and</w:t>
            </w: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incentive fees deferred</w:t>
            </w: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depreciation) less</w:t>
            </w:r>
          </w:p>
        </w:tc>
        <w:tc>
          <w:tcPr>
            <w:tcW w:w="2280" w:type="dxa"/>
            <w:vAlign w:val="bottom"/>
            <w:gridSpan w:val="2"/>
          </w:tcPr>
          <w:p>
            <w:pPr>
              <w:ind w:left="100"/>
              <w:spacing w:after="0" w:line="125" w:lineRule="exact"/>
              <w:rPr>
                <w:sz w:val="20"/>
                <w:szCs w:val="20"/>
                <w:color w:val="auto"/>
              </w:rPr>
            </w:pPr>
            <w:r>
              <w:rPr>
                <w:rFonts w:ascii="Arial" w:cs="Arial" w:eastAsia="Arial" w:hAnsi="Arial"/>
                <w:sz w:val="12"/>
                <w:szCs w:val="12"/>
                <w:color w:val="auto"/>
              </w:rPr>
              <w:t>(c) our net realized</w:t>
            </w: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$6.0 million of capital</w:t>
            </w:r>
          </w:p>
        </w:tc>
        <w:tc>
          <w:tcPr>
            <w:tcW w:w="2280" w:type="dxa"/>
            <w:vAlign w:val="bottom"/>
            <w:gridSpan w:val="2"/>
          </w:tcPr>
          <w:p>
            <w:pPr>
              <w:ind w:left="100"/>
              <w:spacing w:after="0" w:line="125" w:lineRule="exact"/>
              <w:rPr>
                <w:sz w:val="20"/>
                <w:szCs w:val="20"/>
                <w:color w:val="auto"/>
              </w:rPr>
            </w:pPr>
            <w:r>
              <w:rPr>
                <w:rFonts w:ascii="Arial" w:cs="Arial" w:eastAsia="Arial" w:hAnsi="Arial"/>
                <w:sz w:val="12"/>
                <w:szCs w:val="12"/>
                <w:color w:val="auto"/>
              </w:rPr>
              <w:t>capital gains or losses</w:t>
            </w: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gains fee paid in</w:t>
            </w:r>
          </w:p>
        </w:tc>
        <w:tc>
          <w:tcPr>
            <w:tcW w:w="2280" w:type="dxa"/>
            <w:vAlign w:val="bottom"/>
            <w:gridSpan w:val="2"/>
          </w:tcPr>
          <w:p>
            <w:pPr>
              <w:ind w:left="100"/>
              <w:spacing w:after="0" w:line="125" w:lineRule="exact"/>
              <w:rPr>
                <w:sz w:val="20"/>
                <w:szCs w:val="20"/>
                <w:color w:val="auto"/>
              </w:rPr>
            </w:pPr>
            <w:r>
              <w:rPr>
                <w:rFonts w:ascii="Arial" w:cs="Arial" w:eastAsia="Arial" w:hAnsi="Arial"/>
                <w:sz w:val="12"/>
                <w:szCs w:val="12"/>
                <w:color w:val="auto"/>
              </w:rPr>
              <w:t>during Year 3)</w:t>
            </w: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Year 2)</w:t>
            </w:r>
          </w:p>
        </w:tc>
        <w:tc>
          <w:tcPr>
            <w:tcW w:w="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$0.2 million (20% of</w:t>
            </w:r>
          </w:p>
        </w:tc>
        <w:tc>
          <w:tcPr>
            <w:tcW w:w="2280" w:type="dxa"/>
            <w:vAlign w:val="bottom"/>
            <w:gridSpan w:val="2"/>
          </w:tcPr>
          <w:p>
            <w:pPr>
              <w:ind w:left="100"/>
              <w:spacing w:after="0" w:line="125" w:lineRule="exact"/>
              <w:rPr>
                <w:sz w:val="20"/>
                <w:szCs w:val="20"/>
                <w:color w:val="auto"/>
              </w:rPr>
            </w:pPr>
            <w:r>
              <w:rPr>
                <w:rFonts w:ascii="Arial" w:cs="Arial" w:eastAsia="Arial" w:hAnsi="Arial"/>
                <w:sz w:val="12"/>
                <w:szCs w:val="12"/>
                <w:color w:val="auto"/>
              </w:rPr>
              <w:t>$8.2 million</w:t>
            </w: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Incentive fees of</w:t>
            </w: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cumulative net capital</w:t>
            </w:r>
          </w:p>
        </w:tc>
        <w:tc>
          <w:tcPr>
            <w:tcW w:w="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$9.2 million paid</w:t>
            </w: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gains of $31.0 million</w:t>
            </w:r>
          </w:p>
        </w:tc>
        <w:tc>
          <w:tcPr>
            <w:tcW w:w="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($8.2 million of</w:t>
            </w: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($36.0 million</w:t>
            </w:r>
          </w:p>
        </w:tc>
        <w:tc>
          <w:tcPr>
            <w:tcW w:w="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incentive fees accrued</w:t>
            </w: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cumulative realized</w:t>
            </w:r>
          </w:p>
        </w:tc>
        <w:tc>
          <w:tcPr>
            <w:tcW w:w="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in Year 4 plus</w:t>
            </w: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capital gains less</w:t>
            </w:r>
          </w:p>
        </w:tc>
        <w:tc>
          <w:tcPr>
            <w:tcW w:w="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$1.0 million of deferred</w:t>
            </w: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$5.0 million</w:t>
            </w:r>
          </w:p>
        </w:tc>
        <w:tc>
          <w:tcPr>
            <w:tcW w:w="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incentive fees); no</w:t>
            </w: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cumulative unrealized</w:t>
            </w:r>
          </w:p>
        </w:tc>
        <w:tc>
          <w:tcPr>
            <w:tcW w:w="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line="125" w:lineRule="exact"/>
              <w:rPr>
                <w:sz w:val="20"/>
                <w:szCs w:val="20"/>
                <w:color w:val="auto"/>
              </w:rPr>
            </w:pPr>
            <w:r>
              <w:rPr>
                <w:rFonts w:ascii="Arial" w:cs="Arial" w:eastAsia="Arial" w:hAnsi="Arial"/>
                <w:sz w:val="12"/>
                <w:szCs w:val="12"/>
                <w:color w:val="auto"/>
              </w:rPr>
              <w:t>incentive fees deferred</w:t>
            </w: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capital depreciation)</w:t>
            </w:r>
          </w:p>
        </w:tc>
        <w:tc>
          <w:tcPr>
            <w:tcW w:w="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less $6.0 million of</w:t>
            </w:r>
          </w:p>
        </w:tc>
        <w:tc>
          <w:tcPr>
            <w:tcW w:w="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80" w:type="dxa"/>
            <w:vAlign w:val="bottom"/>
          </w:tcPr>
          <w:p>
            <w:pPr>
              <w:spacing w:after="0" w:line="125" w:lineRule="exact"/>
              <w:rPr>
                <w:sz w:val="20"/>
                <w:szCs w:val="20"/>
                <w:color w:val="auto"/>
              </w:rPr>
            </w:pPr>
            <w:r>
              <w:rPr>
                <w:rFonts w:ascii="Arial" w:cs="Arial" w:eastAsia="Arial" w:hAnsi="Arial"/>
                <w:sz w:val="12"/>
                <w:szCs w:val="12"/>
                <w:color w:val="auto"/>
              </w:rPr>
              <w:t>capital gains fee paid</w:t>
            </w:r>
          </w:p>
        </w:tc>
        <w:tc>
          <w:tcPr>
            <w:tcW w:w="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80" w:type="dxa"/>
            <w:vAlign w:val="bottom"/>
          </w:tcPr>
          <w:p>
            <w:pPr>
              <w:spacing w:after="0"/>
              <w:rPr>
                <w:sz w:val="20"/>
                <w:szCs w:val="20"/>
                <w:color w:val="auto"/>
              </w:rPr>
            </w:pPr>
            <w:r>
              <w:rPr>
                <w:rFonts w:ascii="Arial" w:cs="Arial" w:eastAsia="Arial" w:hAnsi="Arial"/>
                <w:sz w:val="12"/>
                <w:szCs w:val="12"/>
                <w:color w:val="auto"/>
              </w:rPr>
              <w:t>in Year 2)</w:t>
            </w:r>
          </w:p>
        </w:tc>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2">
            <w:col w:w="4000" w:space="120"/>
            <w:col w:w="7320"/>
          </w:cols>
          <w:pgMar w:left="240" w:top="740" w:right="219" w:bottom="1440" w:gutter="0" w:footer="0" w:header="0"/>
        </w:sectPr>
      </w:pPr>
    </w:p>
    <w:p>
      <w:pPr>
        <w:spacing w:after="0"/>
        <w:rPr>
          <w:sz w:val="20"/>
          <w:szCs w:val="20"/>
          <w:color w:val="auto"/>
        </w:rPr>
      </w:pPr>
      <w:r>
        <w:rPr>
          <w:rFonts w:ascii="Arial" w:cs="Arial" w:eastAsia="Arial" w:hAnsi="Arial"/>
          <w:sz w:val="15"/>
          <w:szCs w:val="15"/>
          <w:b w:val="1"/>
          <w:bCs w:val="1"/>
          <w:i w:val="1"/>
          <w:iCs w:val="1"/>
          <w:color w:val="auto"/>
        </w:rPr>
        <w:t>Payment of Our Expenses</w:t>
      </w:r>
    </w:p>
    <w:p>
      <w:pPr>
        <w:spacing w:after="0" w:line="189" w:lineRule="exact"/>
        <w:rPr>
          <w:sz w:val="20"/>
          <w:szCs w:val="20"/>
          <w:color w:val="auto"/>
        </w:rPr>
      </w:pPr>
    </w:p>
    <w:p>
      <w:pPr>
        <w:ind w:right="140" w:firstLine="543"/>
        <w:spacing w:after="0" w:line="264" w:lineRule="auto"/>
        <w:rPr>
          <w:sz w:val="20"/>
          <w:szCs w:val="20"/>
          <w:color w:val="auto"/>
        </w:rPr>
      </w:pPr>
      <w:r>
        <w:rPr>
          <w:rFonts w:ascii="Arial" w:cs="Arial" w:eastAsia="Arial" w:hAnsi="Arial"/>
          <w:sz w:val="15"/>
          <w:szCs w:val="15"/>
          <w:color w:val="auto"/>
        </w:rPr>
        <w:t>The investment team of our investment adviser and their respective staffs, when and to the extent engaged in providing investment advisory and management services, and the compensation and routine overhead expenses of such personnel allocable to such services, are provided and paid for by Capitala Investment Advisors. We bear all other costs and expenses of our operations and transactions, including (without limitation):</w:t>
      </w:r>
    </w:p>
    <w:p>
      <w:pPr>
        <w:spacing w:after="0" w:line="155" w:lineRule="exact"/>
        <w:rPr>
          <w:sz w:val="20"/>
          <w:szCs w:val="20"/>
          <w:color w:val="auto"/>
        </w:rPr>
      </w:pPr>
    </w:p>
    <w:p>
      <w:pPr>
        <w:ind w:left="560" w:hanging="332"/>
        <w:spacing w:after="0"/>
        <w:tabs>
          <w:tab w:leader="none" w:pos="5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cost of our organization;</w:t>
      </w:r>
    </w:p>
    <w:p>
      <w:pPr>
        <w:spacing w:after="0" w:line="34" w:lineRule="exact"/>
        <w:rPr>
          <w:rFonts w:ascii="Arial" w:cs="Arial" w:eastAsia="Arial" w:hAnsi="Arial"/>
          <w:sz w:val="15"/>
          <w:szCs w:val="15"/>
          <w:color w:val="auto"/>
        </w:rPr>
      </w:pPr>
    </w:p>
    <w:p>
      <w:pPr>
        <w:ind w:left="560" w:hanging="332"/>
        <w:spacing w:after="0"/>
        <w:tabs>
          <w:tab w:leader="none" w:pos="560" w:val="left"/>
        </w:tabs>
        <w:numPr>
          <w:ilvl w:val="0"/>
          <w:numId w:val="35"/>
        </w:numPr>
        <w:rPr>
          <w:rFonts w:ascii="Arial" w:cs="Arial" w:eastAsia="Arial" w:hAnsi="Arial"/>
          <w:sz w:val="30"/>
          <w:szCs w:val="30"/>
          <w:color w:val="auto"/>
          <w:vertAlign w:val="subscript"/>
        </w:rPr>
      </w:pPr>
      <w:r>
        <w:rPr>
          <w:rFonts w:ascii="Arial" w:cs="Arial" w:eastAsia="Arial" w:hAnsi="Arial"/>
          <w:sz w:val="15"/>
          <w:szCs w:val="15"/>
          <w:color w:val="auto"/>
        </w:rPr>
        <w:t>the cost of calculating our net asset value, including the cost of any third-party valuation services;</w:t>
      </w:r>
    </w:p>
    <w:p>
      <w:pPr>
        <w:spacing w:after="0" w:line="262" w:lineRule="exact"/>
        <w:rPr>
          <w:rFonts w:ascii="Arial" w:cs="Arial" w:eastAsia="Arial" w:hAnsi="Arial"/>
          <w:sz w:val="30"/>
          <w:szCs w:val="30"/>
          <w:color w:val="auto"/>
          <w:vertAlign w:val="subscript"/>
        </w:rPr>
      </w:pPr>
    </w:p>
    <w:p>
      <w:pPr>
        <w:ind w:left="560" w:hanging="332"/>
        <w:spacing w:after="0"/>
        <w:tabs>
          <w:tab w:leader="none" w:pos="5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cost of effecting sales and repurchases of our shares and other securities;</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interest payable on debt, if any, to finance our investments;</w:t>
      </w:r>
    </w:p>
    <w:p>
      <w:pPr>
        <w:spacing w:after="0" w:line="189" w:lineRule="exact"/>
        <w:rPr>
          <w:rFonts w:ascii="Arial" w:cs="Arial" w:eastAsia="Arial" w:hAnsi="Arial"/>
          <w:sz w:val="15"/>
          <w:szCs w:val="15"/>
          <w:color w:val="auto"/>
        </w:rPr>
      </w:pPr>
    </w:p>
    <w:p>
      <w:pPr>
        <w:ind w:left="560" w:right="260" w:hanging="332"/>
        <w:spacing w:after="0" w:line="276" w:lineRule="auto"/>
        <w:tabs>
          <w:tab w:leader="none" w:pos="5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146" w:lineRule="exact"/>
        <w:rPr>
          <w:rFonts w:ascii="Arial" w:cs="Arial" w:eastAsia="Arial" w:hAnsi="Arial"/>
          <w:sz w:val="15"/>
          <w:szCs w:val="15"/>
          <w:color w:val="auto"/>
        </w:rPr>
      </w:pPr>
    </w:p>
    <w:p>
      <w:pPr>
        <w:ind w:left="560" w:hanging="332"/>
        <w:spacing w:after="0"/>
        <w:tabs>
          <w:tab w:leader="none" w:pos="5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transfer agent and custodial fees;</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fees and expenses associated with marketing efforts;</w:t>
      </w:r>
    </w:p>
    <w:p>
      <w:pPr>
        <w:spacing w:after="0" w:line="189" w:lineRule="exact"/>
        <w:rPr>
          <w:rFonts w:ascii="Arial" w:cs="Arial" w:eastAsia="Arial" w:hAnsi="Arial"/>
          <w:sz w:val="15"/>
          <w:szCs w:val="15"/>
          <w:color w:val="auto"/>
        </w:rPr>
      </w:pPr>
    </w:p>
    <w:p>
      <w:pPr>
        <w:ind w:left="560" w:right="360" w:hanging="332"/>
        <w:spacing w:after="0" w:line="276" w:lineRule="auto"/>
        <w:tabs>
          <w:tab w:leader="none" w:pos="5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costs associated with our reporting and compliance obligations under the 1940 Act, the Exchange Act and other applicable federal and state securities laws, and ongoing stock exchange fees;</w:t>
      </w:r>
    </w:p>
    <w:p>
      <w:pPr>
        <w:spacing w:after="0" w:line="146" w:lineRule="exact"/>
        <w:rPr>
          <w:rFonts w:ascii="Arial" w:cs="Arial" w:eastAsia="Arial" w:hAnsi="Arial"/>
          <w:sz w:val="15"/>
          <w:szCs w:val="15"/>
          <w:color w:val="auto"/>
        </w:rPr>
      </w:pPr>
    </w:p>
    <w:p>
      <w:pPr>
        <w:ind w:left="560" w:hanging="332"/>
        <w:spacing w:after="0"/>
        <w:tabs>
          <w:tab w:leader="none" w:pos="5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federal, state and local taxes;</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independent directors’ fees and expenses;</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brokerage commissions;</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costs of proxy statements, stockholders’ reports and other communications with stockholders;</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fidelity bond, directors’ and officers’ liability insurance, errors and omissions liability insurance and other insurance premiums;</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direct costs and expenses of administration, including printing, mailing, telephone and staff;</w:t>
      </w:r>
    </w:p>
    <w:p>
      <w:pPr>
        <w:spacing w:after="0" w:line="189" w:lineRule="exact"/>
        <w:rPr>
          <w:rFonts w:ascii="Arial" w:cs="Arial" w:eastAsia="Arial" w:hAnsi="Arial"/>
          <w:sz w:val="15"/>
          <w:szCs w:val="15"/>
          <w:color w:val="auto"/>
        </w:rPr>
      </w:pPr>
    </w:p>
    <w:p>
      <w:pPr>
        <w:ind w:left="560" w:hanging="332"/>
        <w:spacing w:after="0"/>
        <w:tabs>
          <w:tab w:leader="none" w:pos="5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fees and expenses associated with independent audits and outside legal costs; and</w:t>
      </w:r>
    </w:p>
    <w:p>
      <w:pPr>
        <w:spacing w:after="0" w:line="189" w:lineRule="exact"/>
        <w:rPr>
          <w:rFonts w:ascii="Arial" w:cs="Arial" w:eastAsia="Arial" w:hAnsi="Arial"/>
          <w:sz w:val="15"/>
          <w:szCs w:val="15"/>
          <w:color w:val="auto"/>
        </w:rPr>
      </w:pPr>
    </w:p>
    <w:p>
      <w:pPr>
        <w:ind w:left="560" w:right="180" w:hanging="332"/>
        <w:spacing w:after="0" w:line="260" w:lineRule="auto"/>
        <w:tabs>
          <w:tab w:leader="none" w:pos="5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any administrative support staff.</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40" w:right="2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5"/>
          <w:szCs w:val="15"/>
          <w:b w:val="1"/>
          <w:bCs w:val="1"/>
          <w:i w:val="1"/>
          <w:iCs w:val="1"/>
          <w:color w:val="auto"/>
        </w:rPr>
        <w:t>Duration and Termination</w:t>
      </w:r>
    </w:p>
    <w:p>
      <w:pPr>
        <w:spacing w:after="0" w:line="189" w:lineRule="exact"/>
        <w:rPr>
          <w:sz w:val="20"/>
          <w:szCs w:val="20"/>
          <w:color w:val="auto"/>
        </w:rPr>
      </w:pPr>
    </w:p>
    <w:p>
      <w:pPr>
        <w:ind w:firstLine="543"/>
        <w:spacing w:after="0" w:line="303" w:lineRule="auto"/>
        <w:rPr>
          <w:sz w:val="20"/>
          <w:szCs w:val="20"/>
          <w:color w:val="auto"/>
        </w:rPr>
      </w:pPr>
      <w:r>
        <w:rPr>
          <w:rFonts w:ascii="Arial" w:cs="Arial" w:eastAsia="Arial" w:hAnsi="Arial"/>
          <w:sz w:val="13"/>
          <w:szCs w:val="13"/>
          <w:color w:val="auto"/>
        </w:rPr>
        <w:t>The Investment Advisory Agreement was initially approved by the Board of Directors of Capitala Finance on June 10, 2013. Unless earlier terminated as described below, the Investment Advisory Agreement will remain in effect for a period of two years from the date it was approved by our Board of Directors and will remain in effect from year to year thereafter if approved annually by our Board of Directors or by the affirmative vote of the holders of a majority of our outstanding voting securities, including, in either case, approval by a majority of our directors who are not parties to such agreement or who are not “interested persons” of any such party, as such term is defined in Section 2(a)(19) of the 1940 Act. The Investment Advisory Agreement will automatically terminate in the event of its assignment. The Investment Advisory Agreement may also be terminated by either party without penalty upon not less than 60 days’ written notice to the other party. See “Risk Factors — Risks Relating to Our Business and Structure — Our investment adviser will have the right to resign on 60 days’ notice.”</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Indemnification</w:t>
      </w:r>
    </w:p>
    <w:p>
      <w:pPr>
        <w:spacing w:after="0" w:line="189" w:lineRule="exact"/>
        <w:rPr>
          <w:sz w:val="20"/>
          <w:szCs w:val="20"/>
          <w:color w:val="auto"/>
        </w:rPr>
      </w:pPr>
    </w:p>
    <w:p>
      <w:pPr>
        <w:ind w:right="20" w:firstLine="543"/>
        <w:spacing w:after="0" w:line="312" w:lineRule="auto"/>
        <w:rPr>
          <w:sz w:val="20"/>
          <w:szCs w:val="20"/>
          <w:color w:val="auto"/>
        </w:rPr>
      </w:pPr>
      <w:r>
        <w:rPr>
          <w:rFonts w:ascii="Arial" w:cs="Arial" w:eastAsia="Arial" w:hAnsi="Arial"/>
          <w:sz w:val="13"/>
          <w:szCs w:val="13"/>
          <w:color w:val="auto"/>
        </w:rPr>
        <w:t>The Investment Advisory Agreement provides that, absent willful misfeasance, bad faith or gross negligence in the performance of its duties or by reason of the reckless disregard of its duties and obligations, Capitala Investment Advisors and its officers, managers, partners, agents, employees, controlling persons, members and any other person or entity affiliated with it are entitled to indemnification from Capitala Finance for any damages, liabilities, costs and expenses (including reasonable attorneys’ fees and amounts reasonably paid in settlement) arising from the rendering of Capitala Investment Advisors’ services under the Investment Advisory Agreement or otherwise as an investment adviser of Capitala Finance.</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Organization of the Investment Adviser</w:t>
      </w:r>
    </w:p>
    <w:p>
      <w:pPr>
        <w:spacing w:after="0" w:line="189" w:lineRule="exact"/>
        <w:rPr>
          <w:sz w:val="20"/>
          <w:szCs w:val="20"/>
          <w:color w:val="auto"/>
        </w:rPr>
      </w:pPr>
    </w:p>
    <w:p>
      <w:pPr>
        <w:ind w:right="220" w:firstLine="543"/>
        <w:spacing w:after="0" w:line="276" w:lineRule="auto"/>
        <w:rPr>
          <w:sz w:val="20"/>
          <w:szCs w:val="20"/>
          <w:color w:val="auto"/>
        </w:rPr>
      </w:pPr>
      <w:r>
        <w:rPr>
          <w:rFonts w:ascii="Arial" w:cs="Arial" w:eastAsia="Arial" w:hAnsi="Arial"/>
          <w:sz w:val="15"/>
          <w:szCs w:val="15"/>
          <w:color w:val="auto"/>
        </w:rPr>
        <w:t>Capitala Investment Advisors is a Delaware limited liability company. The principal executive offices of Capitala Investment Advisors are located at 4201 Congress Street, Suite 360, Charlotte, North Carolina 28209.</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Administration Agreement</w:t>
      </w:r>
    </w:p>
    <w:p>
      <w:pPr>
        <w:spacing w:after="0" w:line="193" w:lineRule="exact"/>
        <w:rPr>
          <w:sz w:val="20"/>
          <w:szCs w:val="20"/>
          <w:color w:val="auto"/>
        </w:rPr>
      </w:pPr>
    </w:p>
    <w:p>
      <w:pPr>
        <w:ind w:right="60" w:firstLine="543"/>
        <w:spacing w:after="0" w:line="295" w:lineRule="auto"/>
        <w:rPr>
          <w:sz w:val="20"/>
          <w:szCs w:val="20"/>
          <w:color w:val="auto"/>
        </w:rPr>
      </w:pPr>
      <w:r>
        <w:rPr>
          <w:rFonts w:ascii="Arial" w:cs="Arial" w:eastAsia="Arial" w:hAnsi="Arial"/>
          <w:sz w:val="13"/>
          <w:szCs w:val="13"/>
          <w:color w:val="auto"/>
        </w:rPr>
        <w:t>Capitala Advisors Corp., a North Carolina corporation, serves as our administrator. The principal executive offices of our administrator are located at 4201 Congress Street, Suite 360, Charlotte, North Carolina 28209. Capitala Advisors Corp., pursuant to a sub-administration agreement, has engaged U.S. Bancorp Fund Services, LLC to act on behalf of Capitala Advisors Corp. in its performance of certain administrative services for us. The principal office of U.S. Bancorp Fund Services, LLC is 777 East Wisconsin Avenue, Milwaukee, WI 53202. Pursuant to the Administration Agreement, our administrator furnishes us with office facilities, equipment and clerical, bookkeeping and record keeping services at such facilities. Under the Administration Agreement, our administrator also performs, or oversees the performance of, our required administrative services, which include, among other things, being responsible for the financial records that we are required to maintain and preparing reports to our stockholders.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the Administration Agreement are equal to an amount based upon our allocable portion of our administrator’s overhead in performing its obligations under the Administration Agreement, including rent, the fees and expenses associated with performing compliance functions and our allocable portion of the compensation of our chief financial officer, chief compliance officer and our allocable portion of the compensation of any administrative support staff. Under the Administration Agreement, our administrator will also provide on our behalf managerial assistance to those portfolio companies that request such assistance. The Administration Agreement has an initial term of two years and may be renewed with the approval of our Board of Directors. The Administration Agreement may be terminated by either party without penalty upon 60 days’ written notice to the other party. To the extent that our administrator outsources any of its functions, we will pay the fees associated with such functions on a direct basis without any incremental profit to our administrator. Stockholder approval is not required to amend the Administration Agreement.</w:t>
      </w:r>
    </w:p>
    <w:p>
      <w:pPr>
        <w:spacing w:after="0" w:line="142" w:lineRule="exact"/>
        <w:rPr>
          <w:sz w:val="20"/>
          <w:szCs w:val="20"/>
          <w:color w:val="auto"/>
        </w:rPr>
      </w:pPr>
    </w:p>
    <w:p>
      <w:pPr>
        <w:ind w:right="120" w:firstLine="543"/>
        <w:spacing w:after="0" w:line="264" w:lineRule="auto"/>
        <w:rPr>
          <w:sz w:val="20"/>
          <w:szCs w:val="20"/>
          <w:color w:val="auto"/>
        </w:rPr>
      </w:pPr>
      <w:r>
        <w:rPr>
          <w:rFonts w:ascii="Arial" w:cs="Arial" w:eastAsia="Arial" w:hAnsi="Arial"/>
          <w:sz w:val="15"/>
          <w:szCs w:val="15"/>
          <w:color w:val="auto"/>
        </w:rPr>
        <w:t>Our administrator also provides administrative services to our investment adviser, Capitala Investment Advisors. As a result, Capitala Investment Advisors will also reimburse our administrator for its allocable portion of our administrator’s overhead, including rent, the fees and expenses associated with performing compliance functions for Capitala Investment Advisors, and its allocable portion of the compensation of any administrative support staff.</w:t>
      </w:r>
    </w:p>
    <w:p>
      <w:pPr>
        <w:spacing w:after="0" w:line="155" w:lineRule="exact"/>
        <w:rPr>
          <w:sz w:val="20"/>
          <w:szCs w:val="20"/>
          <w:color w:val="auto"/>
        </w:rPr>
      </w:pPr>
    </w:p>
    <w:p>
      <w:pPr>
        <w:ind w:right="100" w:firstLine="543"/>
        <w:spacing w:after="0" w:line="284" w:lineRule="auto"/>
        <w:rPr>
          <w:sz w:val="20"/>
          <w:szCs w:val="20"/>
          <w:color w:val="auto"/>
        </w:rPr>
      </w:pPr>
      <w:r>
        <w:rPr>
          <w:rFonts w:ascii="Arial" w:cs="Arial" w:eastAsia="Arial" w:hAnsi="Arial"/>
          <w:sz w:val="14"/>
          <w:szCs w:val="14"/>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Capitala Finance for any damages, liabilities, costs and expenses (including reasonable attorneys’ fees and amounts reasonably paid in settlement) arising from the rendering of our administrator’s services under the Administration Agreement or otherwise as administrator for Capitala Finance.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62" w:right="21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color w:val="auto"/>
        </w:rPr>
        <w:t>License Agreement</w:t>
      </w:r>
    </w:p>
    <w:p>
      <w:pPr>
        <w:spacing w:after="0" w:line="193" w:lineRule="exact"/>
        <w:rPr>
          <w:sz w:val="20"/>
          <w:szCs w:val="20"/>
          <w:color w:val="auto"/>
        </w:rPr>
      </w:pPr>
    </w:p>
    <w:p>
      <w:pPr>
        <w:jc w:val="both"/>
        <w:ind w:right="120" w:firstLine="543"/>
        <w:spacing w:after="0" w:line="264" w:lineRule="auto"/>
        <w:rPr>
          <w:sz w:val="20"/>
          <w:szCs w:val="20"/>
          <w:color w:val="auto"/>
        </w:rPr>
      </w:pPr>
      <w:r>
        <w:rPr>
          <w:rFonts w:ascii="Arial" w:cs="Arial" w:eastAsia="Arial" w:hAnsi="Arial"/>
          <w:sz w:val="15"/>
          <w:szCs w:val="15"/>
          <w:color w:val="auto"/>
        </w:rPr>
        <w:t>We have entered into a license agreement with Capitala Investment Advisors pursuant to which Capitala Investment Advisors has agreed to grant us a non-exclusive, royalty-free license to use the name “Capitala.” Under this agreement, we have a right to use the Capitala name for so long as the Investment Advisory Agreement with Capitala Investment Advisors is in effect. Other than with respect to this limited license, we will have no legal right to the “Capitala” name.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Staffing</w:t>
      </w:r>
    </w:p>
    <w:p>
      <w:pPr>
        <w:spacing w:after="0" w:line="193" w:lineRule="exact"/>
        <w:rPr>
          <w:sz w:val="20"/>
          <w:szCs w:val="20"/>
          <w:color w:val="auto"/>
        </w:rPr>
      </w:pPr>
    </w:p>
    <w:p>
      <w:pPr>
        <w:ind w:right="120" w:firstLine="543"/>
        <w:spacing w:after="0" w:line="264" w:lineRule="auto"/>
        <w:rPr>
          <w:sz w:val="20"/>
          <w:szCs w:val="20"/>
          <w:color w:val="auto"/>
        </w:rPr>
      </w:pPr>
      <w:r>
        <w:rPr>
          <w:rFonts w:ascii="Arial" w:cs="Arial" w:eastAsia="Arial" w:hAnsi="Arial"/>
          <w:sz w:val="15"/>
          <w:szCs w:val="15"/>
          <w:color w:val="auto"/>
        </w:rPr>
        <w:t>Capitala Finance has no employees. Mr. Alala, through his financial interests in Capitala Investment Advisors, will be entitled to a portion of any investment advisory fees paid by Capitala Finance to Capitala Investment Advisors. Our other executive officers are employees of our administrator and perform their functions under the terms of our Administration Agreement.</w:t>
      </w:r>
    </w:p>
    <w:p>
      <w:pPr>
        <w:spacing w:after="0" w:line="155" w:lineRule="exact"/>
        <w:rPr>
          <w:sz w:val="20"/>
          <w:szCs w:val="20"/>
          <w:color w:val="auto"/>
        </w:rPr>
      </w:pPr>
    </w:p>
    <w:p>
      <w:pPr>
        <w:jc w:val="both"/>
        <w:ind w:right="440" w:firstLine="543"/>
        <w:spacing w:after="0" w:line="264" w:lineRule="auto"/>
        <w:rPr>
          <w:sz w:val="20"/>
          <w:szCs w:val="20"/>
          <w:color w:val="auto"/>
        </w:rPr>
      </w:pPr>
      <w:r>
        <w:rPr>
          <w:rFonts w:ascii="Arial" w:cs="Arial" w:eastAsia="Arial" w:hAnsi="Arial"/>
          <w:sz w:val="15"/>
          <w:szCs w:val="15"/>
          <w:color w:val="auto"/>
        </w:rPr>
        <w:t>Our day-to-day investment operations are managed by Capitala Investment Advisors. Capitala Investment Advisors’ investment team currently consists of the members of its investment committee, Messrs. Alala, McGlinn and Broyhill, and a team of thirteen additional investment professionals. Capitala Investment Advisors may hire additional investment professionals, based upon its needs, subsequent to the completion of this offering. See “Investment Advisory Agreement.”</w:t>
      </w:r>
    </w:p>
    <w:p>
      <w:pPr>
        <w:spacing w:after="0" w:line="155" w:lineRule="exact"/>
        <w:rPr>
          <w:sz w:val="20"/>
          <w:szCs w:val="20"/>
          <w:color w:val="auto"/>
        </w:rPr>
      </w:pPr>
    </w:p>
    <w:p>
      <w:pPr>
        <w:ind w:right="260" w:firstLine="543"/>
        <w:spacing w:after="0" w:line="264" w:lineRule="auto"/>
        <w:rPr>
          <w:sz w:val="20"/>
          <w:szCs w:val="20"/>
          <w:color w:val="auto"/>
        </w:rPr>
      </w:pPr>
      <w:r>
        <w:rPr>
          <w:rFonts w:ascii="Arial" w:cs="Arial" w:eastAsia="Arial" w:hAnsi="Arial"/>
          <w:sz w:val="15"/>
          <w:szCs w:val="15"/>
          <w:color w:val="auto"/>
        </w:rPr>
        <w:t>In addition, we reimburse our administrator for our allocable portion of overhead and other expenses incurred by it in performing its obligations under the Administration Agreement, including rent, the fees and expenses associated with performing compliance functions, and the compensation of our chief financial officer, chief compliance officer, and any administrative support staff. See “Administration Agreement.”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VALUATION PROCESS AND DETERMINATION OF NET ASSET VALUE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determine the net asset value of our investment portfolio each quarter by subtracting our total liabilities from the fair value of our gross assets.</w:t>
      </w:r>
    </w:p>
    <w:p>
      <w:pPr>
        <w:spacing w:after="0" w:line="189" w:lineRule="exact"/>
        <w:rPr>
          <w:sz w:val="20"/>
          <w:szCs w:val="20"/>
          <w:color w:val="auto"/>
        </w:rPr>
      </w:pPr>
    </w:p>
    <w:p>
      <w:pPr>
        <w:ind w:right="20" w:firstLine="543"/>
        <w:spacing w:after="0" w:line="276" w:lineRule="auto"/>
        <w:rPr>
          <w:sz w:val="20"/>
          <w:szCs w:val="20"/>
          <w:color w:val="auto"/>
        </w:rPr>
      </w:pPr>
      <w:r>
        <w:rPr>
          <w:rFonts w:ascii="Arial" w:cs="Arial" w:eastAsia="Arial" w:hAnsi="Arial"/>
          <w:sz w:val="15"/>
          <w:szCs w:val="15"/>
          <w:color w:val="auto"/>
        </w:rPr>
        <w:t>We conduct the valuation of our assets, pursuant to which our net asset value shall be determined, at all times consistent with GAAP and the 1940 Act. Our valuation procedures are set forth in more detail below:</w:t>
      </w:r>
    </w:p>
    <w:p>
      <w:pPr>
        <w:spacing w:after="0" w:line="146" w:lineRule="exact"/>
        <w:rPr>
          <w:sz w:val="20"/>
          <w:szCs w:val="20"/>
          <w:color w:val="auto"/>
        </w:rPr>
      </w:pPr>
    </w:p>
    <w:p>
      <w:pPr>
        <w:ind w:firstLine="543"/>
        <w:spacing w:after="0" w:line="264" w:lineRule="auto"/>
        <w:rPr>
          <w:sz w:val="20"/>
          <w:szCs w:val="20"/>
          <w:color w:val="auto"/>
        </w:rPr>
      </w:pPr>
      <w:r>
        <w:rPr>
          <w:rFonts w:ascii="Arial" w:cs="Arial" w:eastAsia="Arial" w:hAnsi="Arial"/>
          <w:sz w:val="15"/>
          <w:szCs w:val="15"/>
          <w:color w:val="auto"/>
        </w:rPr>
        <w:t>Securities for which market quotations are readily available on an exchange shall be valued at such price as of the closing price on the day of valuation. We may also obtain quotes with respect to certain of our investments from pricing services or brokers or dealers in order to value assets. When doing so, we determine whether the quote obtained is sufficient according to GAAP to determine the fair value of the security. If determined adequate, we use the quote obtained.</w:t>
      </w:r>
    </w:p>
    <w:p>
      <w:pPr>
        <w:spacing w:after="0" w:line="155" w:lineRule="exact"/>
        <w:rPr>
          <w:sz w:val="20"/>
          <w:szCs w:val="20"/>
          <w:color w:val="auto"/>
        </w:rPr>
      </w:pPr>
    </w:p>
    <w:p>
      <w:pPr>
        <w:ind w:right="40" w:firstLine="543"/>
        <w:spacing w:after="0" w:line="275" w:lineRule="auto"/>
        <w:rPr>
          <w:sz w:val="20"/>
          <w:szCs w:val="20"/>
          <w:color w:val="auto"/>
        </w:rPr>
      </w:pPr>
      <w:r>
        <w:rPr>
          <w:rFonts w:ascii="Arial" w:cs="Arial" w:eastAsia="Arial" w:hAnsi="Arial"/>
          <w:sz w:val="14"/>
          <w:szCs w:val="14"/>
          <w:color w:val="auto"/>
        </w:rPr>
        <w:t>Securities for which reliable market quotations are not readily available or for which the pricing source does not provide a valuation or methodology or provides a valuation or methodology that, in the judgment of our investment adviser or Board of Directors, does not represent fair value, which we expect will represent a substantial majority of the investments in our portfolio, shall be valued as follows: (i) each portfolio company or investment is initially valued by the investment professionals responsible for the portfolio investment; (ii) preliminary valuation conclusions are documented and discussed with our senior management; (iii) independent third-party valuation firms engaged by, or on behalf of, the Board of Directors will conduct independent appraisals, review management’s preliminary valuations and prepare separate preliminary valuation conclusions on a selected basis such that each portfolio investment shall be independently reviewed at least annually (investments will not be selected for such review, however, if they (a) have a value as of the previous quarter of less than 2.0% of our gross assets as of the previous quarter, or (b) have a value as of the current quarter of less than 2.0% of our gross assets as of the previous quarter, after taking into account any repayment of principal during the current quarter); and (iv) the Board of Directors will discuss valuations and determine the fair value of each investment in our portfolio in good faith based on the input of the investment adviser and, where appropriate, the respective third-party valuation firms.</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recommendation of fair value will generally be based on the following factors, as relevant:</w:t>
      </w:r>
    </w:p>
    <w:p>
      <w:pPr>
        <w:spacing w:after="0" w:line="189" w:lineRule="exact"/>
        <w:rPr>
          <w:sz w:val="20"/>
          <w:szCs w:val="20"/>
          <w:color w:val="auto"/>
        </w:rPr>
      </w:pPr>
    </w:p>
    <w:p>
      <w:pPr>
        <w:ind w:left="540" w:hanging="278"/>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nature and realizable value of any collateral;</w:t>
      </w:r>
    </w:p>
    <w:p>
      <w:pPr>
        <w:spacing w:after="0" w:line="189" w:lineRule="exact"/>
        <w:rPr>
          <w:rFonts w:ascii="Arial" w:cs="Arial" w:eastAsia="Arial" w:hAnsi="Arial"/>
          <w:sz w:val="15"/>
          <w:szCs w:val="15"/>
          <w:color w:val="auto"/>
        </w:rPr>
      </w:pPr>
    </w:p>
    <w:p>
      <w:pPr>
        <w:ind w:left="540" w:hanging="278"/>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portfolio company’s ability to make payments;</w:t>
      </w:r>
    </w:p>
    <w:p>
      <w:pPr>
        <w:spacing w:after="0" w:line="189" w:lineRule="exact"/>
        <w:rPr>
          <w:rFonts w:ascii="Arial" w:cs="Arial" w:eastAsia="Arial" w:hAnsi="Arial"/>
          <w:sz w:val="15"/>
          <w:szCs w:val="15"/>
          <w:color w:val="auto"/>
        </w:rPr>
      </w:pPr>
    </w:p>
    <w:p>
      <w:pPr>
        <w:ind w:left="540" w:hanging="278"/>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portfolio company’s earnings and discounted cash flow;</w:t>
      </w:r>
    </w:p>
    <w:p>
      <w:pPr>
        <w:spacing w:after="0" w:line="189" w:lineRule="exact"/>
        <w:rPr>
          <w:rFonts w:ascii="Arial" w:cs="Arial" w:eastAsia="Arial" w:hAnsi="Arial"/>
          <w:sz w:val="15"/>
          <w:szCs w:val="15"/>
          <w:color w:val="auto"/>
        </w:rPr>
      </w:pPr>
    </w:p>
    <w:p>
      <w:pPr>
        <w:ind w:left="540" w:hanging="278"/>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markets in which the issuer does business; and</w:t>
      </w:r>
    </w:p>
    <w:p>
      <w:pPr>
        <w:spacing w:after="0" w:line="189" w:lineRule="exact"/>
        <w:rPr>
          <w:rFonts w:ascii="Arial" w:cs="Arial" w:eastAsia="Arial" w:hAnsi="Arial"/>
          <w:sz w:val="15"/>
          <w:szCs w:val="15"/>
          <w:color w:val="auto"/>
        </w:rPr>
      </w:pPr>
    </w:p>
    <w:p>
      <w:pPr>
        <w:ind w:left="540" w:hanging="278"/>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comparisons to publicly traded securities.</w:t>
      </w:r>
    </w:p>
    <w:p>
      <w:pPr>
        <w:spacing w:after="0" w:line="189"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5"/>
          <w:szCs w:val="15"/>
          <w:color w:val="auto"/>
        </w:rPr>
        <w:t>Securities for which market quotations are not readily available or for which a pricing source is not sufficient may include, but are not limited to, the following: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58" w:right="219" w:bottom="1440" w:gutter="0" w:footer="0" w:header="0"/>
        </w:sectPr>
      </w:pPr>
    </w:p>
    <w:bookmarkStart w:id="19" w:name="page20"/>
    <w:bookmarkEnd w:id="19"/>
    <w:p>
      <w:pPr>
        <w:ind w:left="540" w:hanging="278"/>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private placements and restricted securities that do not have an active trading market;</w:t>
      </w:r>
    </w:p>
    <w:p>
      <w:pPr>
        <w:spacing w:after="0" w:line="189" w:lineRule="exact"/>
        <w:rPr>
          <w:rFonts w:ascii="Arial" w:cs="Arial" w:eastAsia="Arial" w:hAnsi="Arial"/>
          <w:sz w:val="15"/>
          <w:szCs w:val="15"/>
          <w:color w:val="auto"/>
        </w:rPr>
      </w:pPr>
    </w:p>
    <w:p>
      <w:pPr>
        <w:ind w:left="540" w:hanging="278"/>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securities whose trading has been suspended or for which market quotes are no longer available;</w:t>
      </w:r>
    </w:p>
    <w:p>
      <w:pPr>
        <w:spacing w:after="0" w:line="189" w:lineRule="exact"/>
        <w:rPr>
          <w:rFonts w:ascii="Arial" w:cs="Arial" w:eastAsia="Arial" w:hAnsi="Arial"/>
          <w:sz w:val="15"/>
          <w:szCs w:val="15"/>
          <w:color w:val="auto"/>
        </w:rPr>
      </w:pPr>
    </w:p>
    <w:p>
      <w:pPr>
        <w:ind w:left="540" w:hanging="278"/>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debt securities that have recently gone into default and for which there is no current market;</w:t>
      </w:r>
    </w:p>
    <w:p>
      <w:pPr>
        <w:spacing w:after="0" w:line="189" w:lineRule="exact"/>
        <w:rPr>
          <w:rFonts w:ascii="Arial" w:cs="Arial" w:eastAsia="Arial" w:hAnsi="Arial"/>
          <w:sz w:val="15"/>
          <w:szCs w:val="15"/>
          <w:color w:val="auto"/>
        </w:rPr>
      </w:pPr>
    </w:p>
    <w:p>
      <w:pPr>
        <w:ind w:left="540" w:hanging="278"/>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securities whose prices are stale;</w:t>
      </w:r>
    </w:p>
    <w:p>
      <w:pPr>
        <w:spacing w:after="0" w:line="189" w:lineRule="exact"/>
        <w:rPr>
          <w:rFonts w:ascii="Arial" w:cs="Arial" w:eastAsia="Arial" w:hAnsi="Arial"/>
          <w:sz w:val="15"/>
          <w:szCs w:val="15"/>
          <w:color w:val="auto"/>
        </w:rPr>
      </w:pPr>
    </w:p>
    <w:p>
      <w:pPr>
        <w:ind w:left="540" w:hanging="278"/>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securities affected by significant events; and</w:t>
      </w:r>
    </w:p>
    <w:p>
      <w:pPr>
        <w:spacing w:after="0" w:line="189" w:lineRule="exact"/>
        <w:rPr>
          <w:rFonts w:ascii="Arial" w:cs="Arial" w:eastAsia="Arial" w:hAnsi="Arial"/>
          <w:sz w:val="15"/>
          <w:szCs w:val="15"/>
          <w:color w:val="auto"/>
        </w:rPr>
      </w:pPr>
    </w:p>
    <w:p>
      <w:pPr>
        <w:ind w:left="540" w:hanging="278"/>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securities that the investment adviser believes were priced incorrectly.</w:t>
      </w:r>
    </w:p>
    <w:p>
      <w:pPr>
        <w:spacing w:after="0" w:line="189" w:lineRule="exact"/>
        <w:rPr>
          <w:sz w:val="20"/>
          <w:szCs w:val="20"/>
          <w:color w:val="auto"/>
        </w:rPr>
      </w:pPr>
    </w:p>
    <w:p>
      <w:pPr>
        <w:ind w:right="60" w:firstLine="543"/>
        <w:spacing w:after="0" w:line="276" w:lineRule="auto"/>
        <w:rPr>
          <w:sz w:val="20"/>
          <w:szCs w:val="20"/>
          <w:color w:val="auto"/>
        </w:rPr>
      </w:pPr>
      <w:r>
        <w:rPr>
          <w:rFonts w:ascii="Arial" w:cs="Arial" w:eastAsia="Arial" w:hAnsi="Arial"/>
          <w:sz w:val="15"/>
          <w:szCs w:val="15"/>
          <w:color w:val="auto"/>
        </w:rPr>
        <w:t>Determination of fair value involves subjective judgments and estimates. Accordingly, the notes to our financial statements will express the uncertainty with respect to the possible effect of such valuations, and any change in such valuations, on our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Determinations in Connection with Offerings</w:t>
      </w:r>
    </w:p>
    <w:p>
      <w:pPr>
        <w:spacing w:after="0" w:line="193" w:lineRule="exact"/>
        <w:rPr>
          <w:sz w:val="20"/>
          <w:szCs w:val="20"/>
          <w:color w:val="auto"/>
        </w:rPr>
      </w:pPr>
    </w:p>
    <w:p>
      <w:pPr>
        <w:ind w:right="80" w:firstLine="543"/>
        <w:spacing w:after="0" w:line="264" w:lineRule="auto"/>
        <w:rPr>
          <w:sz w:val="20"/>
          <w:szCs w:val="20"/>
          <w:color w:val="auto"/>
        </w:rPr>
      </w:pPr>
      <w:r>
        <w:rPr>
          <w:rFonts w:ascii="Arial" w:cs="Arial" w:eastAsia="Arial" w:hAnsi="Arial"/>
          <w:sz w:val="15"/>
          <w:szCs w:val="15"/>
          <w:color w:val="auto"/>
        </w:rPr>
        <w:t>In connection with certain future offerings of shares of our common stock, our Board of Directors or an authorized committee thereof will be required to make the determination that we are not selling shares of our common stock at a price below the then current net asset value of our common stock at the time at which the sale is made. Our Board of Directors or an authorized committee thereof will consider the following factors, among others, in making such a determination:</w:t>
      </w:r>
    </w:p>
    <w:p>
      <w:pPr>
        <w:spacing w:after="0" w:line="155" w:lineRule="exact"/>
        <w:rPr>
          <w:sz w:val="20"/>
          <w:szCs w:val="20"/>
          <w:color w:val="auto"/>
        </w:rPr>
      </w:pPr>
    </w:p>
    <w:p>
      <w:pPr>
        <w:ind w:left="540" w:hanging="278"/>
        <w:spacing w:after="0"/>
        <w:tabs>
          <w:tab w:leader="none" w:pos="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net asset value of our common stock disclosed in the most recent periodic report that we filed with the SEC;</w:t>
      </w:r>
    </w:p>
    <w:p>
      <w:pPr>
        <w:spacing w:after="0" w:line="189" w:lineRule="exact"/>
        <w:rPr>
          <w:rFonts w:ascii="Arial" w:cs="Arial" w:eastAsia="Arial" w:hAnsi="Arial"/>
          <w:sz w:val="15"/>
          <w:szCs w:val="15"/>
          <w:color w:val="auto"/>
        </w:rPr>
      </w:pPr>
    </w:p>
    <w:p>
      <w:pPr>
        <w:ind w:left="540" w:right="20" w:hanging="278"/>
        <w:spacing w:after="0" w:line="264" w:lineRule="auto"/>
        <w:tabs>
          <w:tab w:leader="none" w:pos="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154" w:lineRule="exact"/>
        <w:rPr>
          <w:rFonts w:ascii="Arial" w:cs="Arial" w:eastAsia="Arial" w:hAnsi="Arial"/>
          <w:sz w:val="15"/>
          <w:szCs w:val="15"/>
          <w:color w:val="auto"/>
        </w:rPr>
      </w:pPr>
    </w:p>
    <w:p>
      <w:pPr>
        <w:ind w:left="540" w:right="20" w:hanging="278"/>
        <w:spacing w:after="0" w:line="260" w:lineRule="auto"/>
        <w:tabs>
          <w:tab w:leader="none" w:pos="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magnitude of the difference between (i) a value that our Board of Directors or an authorized committee thereof has determined reflects the current net asset value of our common stock, which is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57" w:lineRule="exact"/>
        <w:rPr>
          <w:sz w:val="20"/>
          <w:szCs w:val="20"/>
          <w:color w:val="auto"/>
        </w:rPr>
      </w:pPr>
    </w:p>
    <w:p>
      <w:pPr>
        <w:ind w:right="60" w:firstLine="543"/>
        <w:spacing w:after="0" w:line="276" w:lineRule="auto"/>
        <w:rPr>
          <w:sz w:val="20"/>
          <w:szCs w:val="20"/>
          <w:color w:val="auto"/>
        </w:rPr>
      </w:pPr>
      <w:r>
        <w:rPr>
          <w:rFonts w:ascii="Arial" w:cs="Arial" w:eastAsia="Arial" w:hAnsi="Arial"/>
          <w:sz w:val="15"/>
          <w:szCs w:val="15"/>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93" w:lineRule="exact"/>
        <w:rPr>
          <w:sz w:val="20"/>
          <w:szCs w:val="20"/>
          <w:color w:val="auto"/>
        </w:rPr>
      </w:pPr>
    </w:p>
    <w:p>
      <w:pPr>
        <w:ind w:firstLine="543"/>
        <w:spacing w:after="0" w:line="303" w:lineRule="auto"/>
        <w:rPr>
          <w:sz w:val="20"/>
          <w:szCs w:val="20"/>
          <w:color w:val="auto"/>
        </w:rPr>
      </w:pPr>
      <w:r>
        <w:rPr>
          <w:rFonts w:ascii="Arial" w:cs="Arial" w:eastAsia="Arial" w:hAnsi="Arial"/>
          <w:sz w:val="13"/>
          <w:szCs w:val="13"/>
          <w:color w:val="auto"/>
        </w:rPr>
        <w:t>We will compete for investments with other BDCs and investment funds (including private equity funds, mezzanine funds and other SBICs), as well as traditional financial services companies such as commercial banks and other sources of funding. Additionally, competition for investment opportunities has emerged among alternative investment vehicles, such as CLOs and other BDCs, some of which are sponsored by other alternative asset investors, as these entities have begun to focus on making investments in smaller and lower middle-market companies. As a result of these new entrants, competition for our investment opportunities may intensify. Many of these entities have greater financial and managerial resources than we do. We believe we will be able to compete with these entities primarily on the basis of our experience and reputation, our willingness to make smaller investments than other specialty finance companies, the contacts and relationships of our investment adviser, our responsive and efficient investment analysis and decision-making processes, and the investment terms we offer.</w:t>
      </w:r>
    </w:p>
    <w:p>
      <w:pPr>
        <w:spacing w:after="0" w:line="134" w:lineRule="exact"/>
        <w:rPr>
          <w:sz w:val="20"/>
          <w:szCs w:val="20"/>
          <w:color w:val="auto"/>
        </w:rPr>
      </w:pPr>
    </w:p>
    <w:p>
      <w:pPr>
        <w:ind w:right="60" w:firstLine="543"/>
        <w:spacing w:after="0" w:line="260" w:lineRule="auto"/>
        <w:rPr>
          <w:sz w:val="20"/>
          <w:szCs w:val="20"/>
          <w:color w:val="auto"/>
        </w:rPr>
      </w:pPr>
      <w:r>
        <w:rPr>
          <w:rFonts w:ascii="Arial" w:cs="Arial" w:eastAsia="Arial" w:hAnsi="Arial"/>
          <w:sz w:val="15"/>
          <w:szCs w:val="15"/>
          <w:color w:val="auto"/>
        </w:rPr>
        <w:t>We believe that certain of our competitors may make first and second lien loans with interest rates and returns that will be comparable to or lower than the rates and returns that we will target. Therefore, we will not seek to compete solely on the interest rates and returns that we offer to potential portfolio companies. For additional information concerning the competitive risks we face, see “Risk Factors — Risk Relating to Our Business and Structure — We operate in a highly competitive market for investment opportunities, which could reduce returns and result in losses.”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ELECTION TO BE TAXED AS A RIC</w:t>
      </w:r>
    </w:p>
    <w:p>
      <w:pPr>
        <w:spacing w:after="0" w:line="193" w:lineRule="exact"/>
        <w:rPr>
          <w:sz w:val="20"/>
          <w:szCs w:val="20"/>
          <w:color w:val="auto"/>
        </w:rPr>
      </w:pPr>
    </w:p>
    <w:p>
      <w:pPr>
        <w:ind w:right="20" w:firstLine="543"/>
        <w:spacing w:after="0" w:line="258" w:lineRule="auto"/>
        <w:rPr>
          <w:sz w:val="20"/>
          <w:szCs w:val="20"/>
          <w:color w:val="auto"/>
        </w:rPr>
      </w:pPr>
      <w:r>
        <w:rPr>
          <w:rFonts w:ascii="Arial" w:cs="Arial" w:eastAsia="Arial" w:hAnsi="Arial"/>
          <w:sz w:val="15"/>
          <w:szCs w:val="15"/>
          <w:color w:val="auto"/>
        </w:rPr>
        <w:t>As a BDC, we intend to elect to be treated effective as of our taxable year ending August 31, 2014, and qualify annually thereafter, as a RIC under Subchapter M of the Code. As a RIC, we generally will not have to pay corporate-level U.S. federal income taxes on any income that we distribute to our stockholders as dividends. To qualify as a RIC, we must, among other things, meet certain source-of-income and asset diversification requirements (as described below). In addition, to qualify for RIC tax treatment we must distribute to our stockholders, for each taxable year, at least 90% of our “investment company taxable income,” which generally is our ordinary income plus the excess of our realized net short-term capital gains over our realized net long-term capital losses (the “Annual Distribution Requirement”).</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00"/>
          </w:cols>
          <w:pgMar w:left="240" w:top="762" w:right="259" w:bottom="1440" w:gutter="0" w:footer="0" w:header="0"/>
        </w:sectPr>
      </w:pPr>
    </w:p>
    <w:bookmarkStart w:id="20" w:name="page21"/>
    <w:bookmarkEnd w:id="20"/>
    <w:p>
      <w:pPr>
        <w:spacing w:after="0"/>
        <w:rPr>
          <w:sz w:val="20"/>
          <w:szCs w:val="20"/>
          <w:color w:val="auto"/>
        </w:rPr>
      </w:pPr>
      <w:r>
        <w:rPr>
          <w:rFonts w:ascii="Arial" w:cs="Arial" w:eastAsia="Arial" w:hAnsi="Arial"/>
          <w:sz w:val="15"/>
          <w:szCs w:val="15"/>
          <w:b w:val="1"/>
          <w:bCs w:val="1"/>
          <w:color w:val="auto"/>
        </w:rPr>
        <w:t>TAXATION AS A RIC</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 any taxable year in which we:</w:t>
      </w:r>
    </w:p>
    <w:p>
      <w:pPr>
        <w:spacing w:after="0" w:line="189" w:lineRule="exact"/>
        <w:rPr>
          <w:sz w:val="20"/>
          <w:szCs w:val="20"/>
          <w:color w:val="auto"/>
        </w:rPr>
      </w:pPr>
    </w:p>
    <w:p>
      <w:pPr>
        <w:ind w:left="1080" w:hanging="275"/>
        <w:spacing w:after="0"/>
        <w:tabs>
          <w:tab w:leader="none" w:pos="10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qualify as a RIC; and</w:t>
      </w:r>
    </w:p>
    <w:p>
      <w:pPr>
        <w:spacing w:after="0" w:line="189" w:lineRule="exact"/>
        <w:rPr>
          <w:rFonts w:ascii="Arial" w:cs="Arial" w:eastAsia="Arial" w:hAnsi="Arial"/>
          <w:sz w:val="15"/>
          <w:szCs w:val="15"/>
          <w:color w:val="auto"/>
        </w:rPr>
      </w:pPr>
    </w:p>
    <w:p>
      <w:pPr>
        <w:ind w:left="1080" w:hanging="275"/>
        <w:spacing w:after="0"/>
        <w:tabs>
          <w:tab w:leader="none" w:pos="10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satisfy the Annual Distribution Requirement,</w:t>
      </w:r>
    </w:p>
    <w:p>
      <w:pPr>
        <w:spacing w:after="0" w:line="189"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we generally will not be subject to U.S. federal income tax on the portion of our income we distribute (or are deemed to distribute) to stockholders. We will be subject to U.S. federal income tax at the regular corporate rates on any income or capital gains not distributed (or deemed distributed) to our stockholders.</w:t>
      </w:r>
    </w:p>
    <w:p>
      <w:pPr>
        <w:spacing w:after="0" w:line="146" w:lineRule="exact"/>
        <w:rPr>
          <w:sz w:val="20"/>
          <w:szCs w:val="20"/>
          <w:color w:val="auto"/>
        </w:rPr>
      </w:pPr>
    </w:p>
    <w:p>
      <w:pPr>
        <w:ind w:right="100" w:firstLine="543"/>
        <w:spacing w:after="0" w:line="291" w:lineRule="auto"/>
        <w:rPr>
          <w:sz w:val="20"/>
          <w:szCs w:val="20"/>
          <w:color w:val="auto"/>
        </w:rPr>
      </w:pPr>
      <w:r>
        <w:rPr>
          <w:rFonts w:ascii="Arial" w:cs="Arial" w:eastAsia="Arial" w:hAnsi="Arial"/>
          <w:sz w:val="14"/>
          <w:szCs w:val="14"/>
          <w:color w:val="auto"/>
        </w:rPr>
        <w:t>We will be subject to a 4% nondeductible U.S. federal excise tax on certain undistributed income unless we distribute in a timely manner an amount at least equal to the sum of (1) 98% of our net ordinary income for each calendar year, (2) 98.2% of our capital gain net income for the one-year period ending October 31 in that calendar year and (3) any income recognized, but not distributed, in preceding years and on which we paid no corporate-level U.S. federal income tax (the “Excise Tax Distribution Requirement”).</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order to qualify as a RIC for U.S. federal income tax purposes, we must, among other things:</w:t>
      </w:r>
    </w:p>
    <w:p>
      <w:pPr>
        <w:spacing w:after="0" w:line="189" w:lineRule="exact"/>
        <w:rPr>
          <w:sz w:val="20"/>
          <w:szCs w:val="20"/>
          <w:color w:val="auto"/>
        </w:rPr>
      </w:pPr>
    </w:p>
    <w:p>
      <w:pPr>
        <w:ind w:left="1080" w:hanging="275"/>
        <w:spacing w:after="0"/>
        <w:tabs>
          <w:tab w:leader="none" w:pos="10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continue to qualify as a BDC under the 1940 Act at all times during each taxable year;</w:t>
      </w:r>
    </w:p>
    <w:p>
      <w:pPr>
        <w:spacing w:after="0" w:line="189" w:lineRule="exact"/>
        <w:rPr>
          <w:rFonts w:ascii="Arial" w:cs="Arial" w:eastAsia="Arial" w:hAnsi="Arial"/>
          <w:sz w:val="15"/>
          <w:szCs w:val="15"/>
          <w:color w:val="auto"/>
        </w:rPr>
      </w:pPr>
    </w:p>
    <w:p>
      <w:pPr>
        <w:ind w:left="1080" w:right="200" w:hanging="275"/>
        <w:spacing w:after="0" w:line="264" w:lineRule="auto"/>
        <w:tabs>
          <w:tab w:leader="none" w:pos="10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derive in each taxable year at least 90% of our gross income from dividends, interest, payments with respect to loans of certain securities, gains from the sale of stock or other securities, net income from certain “qualified publicly traded partnerships,” or other income derived with respect to our business of investing in such stock or securities (the “90% Income Test”); and</w:t>
      </w:r>
    </w:p>
    <w:p>
      <w:pPr>
        <w:spacing w:after="0" w:line="154" w:lineRule="exact"/>
        <w:rPr>
          <w:rFonts w:ascii="Arial" w:cs="Arial" w:eastAsia="Arial" w:hAnsi="Arial"/>
          <w:sz w:val="15"/>
          <w:szCs w:val="15"/>
          <w:color w:val="auto"/>
        </w:rPr>
      </w:pPr>
    </w:p>
    <w:p>
      <w:pPr>
        <w:ind w:left="1080" w:hanging="275"/>
        <w:spacing w:after="0"/>
        <w:tabs>
          <w:tab w:leader="none" w:pos="10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diversify our holdings so that at the end of each quarter of the taxable year:</w:t>
      </w:r>
    </w:p>
    <w:p>
      <w:pPr>
        <w:spacing w:after="0" w:line="189" w:lineRule="exact"/>
        <w:rPr>
          <w:rFonts w:ascii="Arial" w:cs="Arial" w:eastAsia="Arial" w:hAnsi="Arial"/>
          <w:sz w:val="15"/>
          <w:szCs w:val="15"/>
          <w:color w:val="auto"/>
        </w:rPr>
      </w:pPr>
    </w:p>
    <w:p>
      <w:pPr>
        <w:ind w:left="1340" w:right="480" w:hanging="264"/>
        <w:spacing w:after="0" w:line="356" w:lineRule="auto"/>
        <w:tabs>
          <w:tab w:leader="none" w:pos="1340" w:val="left"/>
        </w:tabs>
        <w:numPr>
          <w:ilvl w:val="1"/>
          <w:numId w:val="40"/>
        </w:numPr>
        <w:rPr>
          <w:rFonts w:ascii="Arial" w:cs="Arial" w:eastAsia="Arial" w:hAnsi="Arial"/>
          <w:sz w:val="13"/>
          <w:szCs w:val="13"/>
          <w:color w:val="auto"/>
        </w:rPr>
      </w:pPr>
      <w:r>
        <w:rPr>
          <w:rFonts w:ascii="Arial" w:cs="Arial" w:eastAsia="Arial" w:hAnsi="Arial"/>
          <w:sz w:val="13"/>
          <w:szCs w:val="13"/>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99" w:lineRule="exact"/>
        <w:rPr>
          <w:rFonts w:ascii="Arial" w:cs="Arial" w:eastAsia="Arial" w:hAnsi="Arial"/>
          <w:sz w:val="13"/>
          <w:szCs w:val="13"/>
          <w:color w:val="auto"/>
        </w:rPr>
      </w:pPr>
    </w:p>
    <w:p>
      <w:pPr>
        <w:jc w:val="both"/>
        <w:ind w:left="1340" w:right="340" w:hanging="264"/>
        <w:spacing w:after="0" w:line="264" w:lineRule="auto"/>
        <w:tabs>
          <w:tab w:leader="none" w:pos="13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“Diversification Tests”).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Qualified earnings may exclude such income as management fees received in connection with our SBIC subsidiaries or other potential outside managed funds and certain other</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fees.</w:t>
      </w:r>
    </w:p>
    <w:p>
      <w:pPr>
        <w:spacing w:after="0" w:line="180" w:lineRule="exact"/>
        <w:rPr>
          <w:sz w:val="20"/>
          <w:szCs w:val="20"/>
          <w:color w:val="auto"/>
        </w:rPr>
      </w:pPr>
    </w:p>
    <w:p>
      <w:pPr>
        <w:ind w:right="140" w:firstLine="543"/>
        <w:spacing w:after="0" w:line="303" w:lineRule="auto"/>
        <w:rPr>
          <w:sz w:val="20"/>
          <w:szCs w:val="20"/>
          <w:color w:val="auto"/>
        </w:rPr>
      </w:pPr>
      <w:r>
        <w:rPr>
          <w:rFonts w:ascii="Arial" w:cs="Arial" w:eastAsia="Arial" w:hAnsi="Arial"/>
          <w:sz w:val="13"/>
          <w:szCs w:val="13"/>
          <w:color w:val="auto"/>
        </w:rPr>
        <w:t>In accordance with certain applicable Treasury regulations and private letter rulings issued by the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cash, each stockholder electing to receive cash must receive a pro rata amount of cash (with the balance of the distribution paid in stock). In no event will any stockholder, electing to receive cash, receive less than 20% of his or her entire distribution in cash. If these and certain other requirements are met, for U.S. federal income tax purposes, the amount of the dividend paid in stock will be equal to the amount of cash that could have been received instead of stock. We have no current intention of paying dividends in shares of our stock in accordance with these Treasury regulations or private letter rulings.</w:t>
      </w:r>
    </w:p>
    <w:p>
      <w:pPr>
        <w:spacing w:after="0" w:line="134" w:lineRule="exact"/>
        <w:rPr>
          <w:sz w:val="20"/>
          <w:szCs w:val="20"/>
          <w:color w:val="auto"/>
        </w:rPr>
      </w:pPr>
    </w:p>
    <w:p>
      <w:pPr>
        <w:ind w:firstLine="543"/>
        <w:spacing w:after="0" w:line="277"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debt obligations that are treated under applicable tax rules as having original issue discount (such as debt instruments with PIK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PIK interest, deferred loan origination fees that are paid after origination of the loan or are paid in non-cash compensation such as warrants or stock, or certain income with respect to equity investments in foreign corporations. 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58" w:right="219" w:bottom="1440" w:gutter="0" w:footer="0" w:header="0"/>
        </w:sectPr>
      </w:pPr>
    </w:p>
    <w:bookmarkStart w:id="21" w:name="page22"/>
    <w:bookmarkEnd w:id="21"/>
    <w:p>
      <w:pPr>
        <w:ind w:right="40" w:firstLine="543"/>
        <w:spacing w:after="0" w:line="276" w:lineRule="auto"/>
        <w:rPr>
          <w:sz w:val="20"/>
          <w:szCs w:val="20"/>
          <w:color w:val="auto"/>
        </w:rPr>
      </w:pPr>
      <w:r>
        <w:rPr>
          <w:rFonts w:ascii="Arial" w:cs="Arial" w:eastAsia="Arial" w:hAnsi="Arial"/>
          <w:sz w:val="15"/>
          <w:szCs w:val="15"/>
          <w:color w:val="auto"/>
        </w:rPr>
        <w:t>Gain or loss realized by us from the sale or exchange of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46" w:lineRule="exact"/>
        <w:rPr>
          <w:sz w:val="20"/>
          <w:szCs w:val="20"/>
          <w:color w:val="auto"/>
        </w:rPr>
      </w:pPr>
    </w:p>
    <w:p>
      <w:pPr>
        <w:ind w:firstLine="543"/>
        <w:spacing w:after="0" w:line="278" w:lineRule="auto"/>
        <w:rPr>
          <w:sz w:val="20"/>
          <w:szCs w:val="20"/>
          <w:color w:val="auto"/>
        </w:rPr>
      </w:pPr>
      <w:r>
        <w:rPr>
          <w:rFonts w:ascii="Arial" w:cs="Arial" w:eastAsia="Arial" w:hAnsi="Arial"/>
          <w:sz w:val="14"/>
          <w:szCs w:val="14"/>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Distribution Requirement, we may make such dispositions at times that, from an investment standpoint, are not advantageous. If we are prohibited from making distributions or are unable to obtain cash from other sources to make the distributions, we may fail to qualify as a RIC, which would result in us becoming subject to corporate-level U.S. federal income tax.</w:t>
      </w:r>
    </w:p>
    <w:p>
      <w:pPr>
        <w:spacing w:after="0" w:line="148" w:lineRule="exact"/>
        <w:rPr>
          <w:sz w:val="20"/>
          <w:szCs w:val="20"/>
          <w:color w:val="auto"/>
        </w:rPr>
      </w:pPr>
    </w:p>
    <w:p>
      <w:pPr>
        <w:ind w:right="20" w:firstLine="543"/>
        <w:spacing w:after="0" w:line="258" w:lineRule="auto"/>
        <w:rPr>
          <w:sz w:val="20"/>
          <w:szCs w:val="20"/>
          <w:color w:val="auto"/>
        </w:rPr>
      </w:pPr>
      <w:r>
        <w:rPr>
          <w:rFonts w:ascii="Arial" w:cs="Arial" w:eastAsia="Arial" w:hAnsi="Arial"/>
          <w:sz w:val="15"/>
          <w:szCs w:val="15"/>
          <w:color w:val="auto"/>
        </w:rPr>
        <w:t>In addition, we will be partially dependent on our SBIC subsidiaries for cash distributions to enable us to meet the RIC distribution requirements. Our SBIC subsidiaries may be limited by the Small Business Investment Act of 1958, and SBA regulations governing SBICs, from making certain distributions to us that may be necessary to maintain our status as a RIC. We may have to request a waiver of the SBA’s restrictions for our SBIC subsidiaries to make certain distributions to maintain our RIC status. We cannot assure you that the SBA will grant such waiver. If our SBIC subsidiaries are unable to obtain a waiver, compliance with the SBA regulations may cause us to fail to qualify as a RIC, which would result in us becoming subject to corporate-level U.S. federal income tax.</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remainder of this discussion assumes that we will qualify as a RIC and have satisfied the Annual Distribution Requirement.</w:t>
      </w:r>
    </w:p>
    <w:p>
      <w:pPr>
        <w:spacing w:after="0" w:line="189" w:lineRule="exact"/>
        <w:rPr>
          <w:sz w:val="20"/>
          <w:szCs w:val="20"/>
          <w:color w:val="auto"/>
        </w:rPr>
      </w:pPr>
    </w:p>
    <w:p>
      <w:pPr>
        <w:ind w:right="80" w:firstLine="543"/>
        <w:spacing w:after="0" w:line="260" w:lineRule="auto"/>
        <w:rPr>
          <w:sz w:val="20"/>
          <w:szCs w:val="20"/>
          <w:color w:val="auto"/>
        </w:rPr>
      </w:pPr>
      <w:r>
        <w:rPr>
          <w:rFonts w:ascii="Arial" w:cs="Arial" w:eastAsia="Arial" w:hAnsi="Arial"/>
          <w:sz w:val="15"/>
          <w:szCs w:val="15"/>
          <w:color w:val="auto"/>
        </w:rPr>
        <w:t>Any transactions in options, futures contracts, constructive sales, hedging, straddle, conversion or similar transactions, and forward contracts will be subject to special tax rules, the effect of which may be to accelerate income to us, defer losses, cause adjustments to the holding periods of our investments, convert long-term capital gains into short-term capital gains, convert short-term capital losses into long-term capital losses or have other tax consequences. These rules could affect the amount, timing and character of distributions to stockholders. We do not currently intend to engage in these types of transactions.</w:t>
      </w:r>
    </w:p>
    <w:p>
      <w:pPr>
        <w:spacing w:after="0" w:line="157" w:lineRule="exact"/>
        <w:rPr>
          <w:sz w:val="20"/>
          <w:szCs w:val="20"/>
          <w:color w:val="auto"/>
        </w:rPr>
      </w:pPr>
    </w:p>
    <w:p>
      <w:pPr>
        <w:ind w:right="140" w:firstLine="543"/>
        <w:spacing w:after="0" w:line="301" w:lineRule="auto"/>
        <w:rPr>
          <w:sz w:val="20"/>
          <w:szCs w:val="20"/>
          <w:color w:val="auto"/>
        </w:rPr>
      </w:pPr>
      <w:r>
        <w:rPr>
          <w:rFonts w:ascii="Arial" w:cs="Arial" w:eastAsia="Arial" w:hAnsi="Arial"/>
          <w:sz w:val="13"/>
          <w:szCs w:val="13"/>
          <w:color w:val="auto"/>
        </w:rPr>
        <w:t>A RIC is limited in its ability to deduct expenses in excess of its “investment company taxable income” (which is, generally, ordinary income plus net realized short-term capital gains in excess of net realized long-term capital losses). If our expenses in a given year exceed gross taxable income (e.g., as the result of large amounts of equity-based compensation),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you may receive a larger capital gain distribution than you would have received in the absence of such transactions.</w:t>
      </w:r>
    </w:p>
    <w:p>
      <w:pPr>
        <w:spacing w:after="0" w:line="135" w:lineRule="exact"/>
        <w:rPr>
          <w:sz w:val="20"/>
          <w:szCs w:val="20"/>
          <w:color w:val="auto"/>
        </w:rPr>
      </w:pPr>
    </w:p>
    <w:p>
      <w:pPr>
        <w:ind w:right="260" w:firstLine="543"/>
        <w:spacing w:after="0" w:line="258" w:lineRule="auto"/>
        <w:rPr>
          <w:sz w:val="20"/>
          <w:szCs w:val="20"/>
          <w:color w:val="auto"/>
        </w:rPr>
      </w:pPr>
      <w:r>
        <w:rPr>
          <w:rFonts w:ascii="Arial" w:cs="Arial" w:eastAsia="Arial" w:hAnsi="Arial"/>
          <w:sz w:val="15"/>
          <w:szCs w:val="15"/>
          <w:color w:val="auto"/>
        </w:rPr>
        <w:t>Investment income received from sources within foreign countries, or capital gains earned by investing in securities of foreign issuers, may be subject to foreign income taxes withheld at the source. In this regard, withholding tax rates in countries with which the United States does not have a tax treaty are often as high as 35% or more. The United States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We do not anticipate being eligible for the special election that allows a RIC to treat foreign income taxes paid by such RIC as paid by its stockholders.</w:t>
      </w:r>
    </w:p>
    <w:p>
      <w:pPr>
        <w:spacing w:after="0" w:line="159" w:lineRule="exact"/>
        <w:rPr>
          <w:sz w:val="20"/>
          <w:szCs w:val="20"/>
          <w:color w:val="auto"/>
        </w:rPr>
      </w:pPr>
    </w:p>
    <w:p>
      <w:pPr>
        <w:ind w:right="80" w:firstLine="543"/>
        <w:spacing w:after="0" w:line="256" w:lineRule="auto"/>
        <w:rPr>
          <w:sz w:val="20"/>
          <w:szCs w:val="20"/>
          <w:color w:val="auto"/>
        </w:rPr>
      </w:pPr>
      <w:r>
        <w:rPr>
          <w:rFonts w:ascii="Arial" w:cs="Arial" w:eastAsia="Arial" w:hAnsi="Arial"/>
          <w:sz w:val="15"/>
          <w:szCs w:val="15"/>
          <w:color w:val="auto"/>
        </w:rPr>
        <w:t>If we acquire stock in certain foreign corporations that receive at least 75% of their annual gross income from passive sources (such as interest, dividends, rents, royalties or capital gain) or hold at least 50% of their total assets in investments producing such passive income (“passive foreign investment companies”), we could be subject to U.S. federal income tax and additional interest charges on “excess distributions” received from such companies or gain from the sale of stock in such companies, even if all income or gain actually received by us is timely distributed to our stockholders. We would not be able to pass through to our stockholders any credit or deduction for such a tax. Certain elections may, if available, ameliorate these adverse tax consequences, but any such election requires us to recognize taxable income or gain without the concurrent receipt of cash. We intend to limit and/or manage our holdings in passive foreign investment companies to minimize our tax liability.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62" w:right="219" w:bottom="1440" w:gutter="0" w:footer="0" w:header="0"/>
        </w:sectPr>
      </w:pPr>
    </w:p>
    <w:bookmarkStart w:id="22" w:name="page23"/>
    <w:bookmarkEnd w:id="22"/>
    <w:p>
      <w:pPr>
        <w:ind w:right="100" w:firstLine="543"/>
        <w:spacing w:after="0" w:line="280" w:lineRule="auto"/>
        <w:rPr>
          <w:sz w:val="20"/>
          <w:szCs w:val="20"/>
          <w:color w:val="auto"/>
        </w:rPr>
      </w:pPr>
      <w:r>
        <w:rPr>
          <w:rFonts w:ascii="Arial" w:cs="Arial" w:eastAsia="Arial" w:hAnsi="Arial"/>
          <w:sz w:val="14"/>
          <w:szCs w:val="14"/>
          <w:color w:val="auto"/>
        </w:rPr>
        <w:t>Foreign exchange gains and losses realized by us in connection with certain transactions involving non-dollar debt securities, certain foreign currency futures contracts, foreign currency option contracts, foreign currency forward contracts, foreign currencies, or payables or receivables denominated in a foreign currency are subject to Code provisions that generally treat such gains and losses as ordinary income and losses and may affect the amount, timing and character of distributions to our stockholders. Any such transactions that are not directly related to our investment in securities (possibly including speculative currency positions or currency derivatives not used for hedging purposes) could, under future Treasury regulations, produce income not among the types of “qualifying income” from which a RIC must derive at least 90% of its annual gross income.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FAILURE TO QUALIFY AS A RIC</w:t>
      </w:r>
    </w:p>
    <w:p>
      <w:pPr>
        <w:spacing w:after="0" w:line="193" w:lineRule="exact"/>
        <w:rPr>
          <w:sz w:val="20"/>
          <w:szCs w:val="20"/>
          <w:color w:val="auto"/>
        </w:rPr>
      </w:pPr>
    </w:p>
    <w:p>
      <w:pPr>
        <w:ind w:right="60" w:firstLine="543"/>
        <w:spacing w:after="0" w:line="276" w:lineRule="auto"/>
        <w:rPr>
          <w:sz w:val="20"/>
          <w:szCs w:val="20"/>
          <w:color w:val="auto"/>
        </w:rPr>
      </w:pPr>
      <w:r>
        <w:rPr>
          <w:rFonts w:ascii="Arial" w:cs="Arial" w:eastAsia="Arial" w:hAnsi="Arial"/>
          <w:sz w:val="15"/>
          <w:szCs w:val="15"/>
          <w:color w:val="auto"/>
        </w:rPr>
        <w:t>If we fail to satisfy the 90% Income Test or the Diversification Tests for any taxable year, we may nevertheless continue to qualify as a RIC for such year if certain relief provisions are applicable (which may, among other things, require us to pay certain corporate-level U.S. federal income taxes or to dispose of certain assets).</w:t>
      </w:r>
    </w:p>
    <w:p>
      <w:pPr>
        <w:spacing w:after="0" w:line="146" w:lineRule="exact"/>
        <w:rPr>
          <w:sz w:val="20"/>
          <w:szCs w:val="20"/>
          <w:color w:val="auto"/>
        </w:rPr>
      </w:pPr>
    </w:p>
    <w:p>
      <w:pPr>
        <w:ind w:right="20" w:firstLine="543"/>
        <w:spacing w:after="0" w:line="274" w:lineRule="auto"/>
        <w:rPr>
          <w:sz w:val="20"/>
          <w:szCs w:val="20"/>
          <w:color w:val="auto"/>
        </w:rPr>
      </w:pPr>
      <w:r>
        <w:rPr>
          <w:rFonts w:ascii="Arial" w:cs="Arial" w:eastAsia="Arial" w:hAnsi="Arial"/>
          <w:sz w:val="14"/>
          <w:szCs w:val="14"/>
          <w:color w:val="auto"/>
        </w:rPr>
        <w:t>If we were unable to qualify for treatment as a RIC and the foregoing relief provisions are not applicable, we would be subject to tax on all of our taxable income at regular corporate rates, regardless of whether we make any distributions to our stockholders. Distributions would not be required, and any distributions would be taxable to our stockholders as ordinary dividend income to the extent of our current and accumulated earnings and profits and, subject to certain limitations, may be eligible for the 20% maximum rate for noncorporate taxpayers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10 years (five years for taxable years beginning prior to August 31, 2014), unless we made a special election to pay corporate-level tax on such built-in gain at the time of our requalification as a RIC.</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w:t>
      </w:r>
    </w:p>
    <w:p>
      <w:pPr>
        <w:spacing w:after="0" w:line="193" w:lineRule="exact"/>
        <w:rPr>
          <w:sz w:val="20"/>
          <w:szCs w:val="20"/>
          <w:color w:val="auto"/>
        </w:rPr>
      </w:pPr>
    </w:p>
    <w:p>
      <w:pPr>
        <w:ind w:right="60" w:firstLine="543"/>
        <w:spacing w:after="0" w:line="323" w:lineRule="auto"/>
        <w:rPr>
          <w:sz w:val="20"/>
          <w:szCs w:val="20"/>
          <w:color w:val="auto"/>
        </w:rPr>
      </w:pPr>
      <w:r>
        <w:rPr>
          <w:rFonts w:ascii="Arial" w:cs="Arial" w:eastAsia="Arial" w:hAnsi="Arial"/>
          <w:sz w:val="13"/>
          <w:szCs w:val="13"/>
          <w:color w:val="auto"/>
        </w:rPr>
        <w:t>A BDC is regulated by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 A BDC provides stockholders the ability to retain the liquidity of a publicly traded stock while sharing in the possible benefits, if any, of investing in primarily privately owned companies.</w:t>
      </w:r>
    </w:p>
    <w:p>
      <w:pPr>
        <w:spacing w:after="0" w:line="120" w:lineRule="exact"/>
        <w:rPr>
          <w:sz w:val="20"/>
          <w:szCs w:val="20"/>
          <w:color w:val="auto"/>
        </w:rPr>
      </w:pPr>
    </w:p>
    <w:p>
      <w:pPr>
        <w:ind w:firstLine="543"/>
        <w:spacing w:after="0" w:line="260" w:lineRule="auto"/>
        <w:rPr>
          <w:sz w:val="20"/>
          <w:szCs w:val="20"/>
          <w:color w:val="auto"/>
        </w:rPr>
      </w:pPr>
      <w:r>
        <w:rPr>
          <w:rFonts w:ascii="Arial" w:cs="Arial" w:eastAsia="Arial" w:hAnsi="Arial"/>
          <w:sz w:val="15"/>
          <w:szCs w:val="15"/>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157" w:lineRule="exact"/>
        <w:rPr>
          <w:sz w:val="20"/>
          <w:szCs w:val="20"/>
          <w:color w:val="auto"/>
        </w:rPr>
      </w:pPr>
    </w:p>
    <w:p>
      <w:pPr>
        <w:ind w:right="180" w:firstLine="543"/>
        <w:spacing w:after="0" w:line="260" w:lineRule="auto"/>
        <w:rPr>
          <w:sz w:val="20"/>
          <w:szCs w:val="20"/>
          <w:color w:val="auto"/>
        </w:rPr>
      </w:pPr>
      <w:r>
        <w:rPr>
          <w:rFonts w:ascii="Arial" w:cs="Arial" w:eastAsia="Arial" w:hAnsi="Arial"/>
          <w:sz w:val="15"/>
          <w:szCs w:val="15"/>
          <w:color w:val="auto"/>
        </w:rPr>
        <w:t>As with other companies regulated by the 1940 Act, a BDC must adhere to certain substantive regulatory requirements. A majority of our directors must be persons who are not interested persons, as that term is defined in the 1940 Act. Additionally, we will be required to provide and maintain a bond issued by a reputable fidelity insurance company to protect the BDC. Furthermore, as a BDC, we will be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57" w:lineRule="exact"/>
        <w:rPr>
          <w:sz w:val="20"/>
          <w:szCs w:val="20"/>
          <w:color w:val="auto"/>
        </w:rPr>
      </w:pPr>
    </w:p>
    <w:p>
      <w:pPr>
        <w:ind w:right="80" w:firstLine="543"/>
        <w:spacing w:after="0" w:line="323" w:lineRule="auto"/>
        <w:rPr>
          <w:sz w:val="20"/>
          <w:szCs w:val="20"/>
          <w:color w:val="auto"/>
        </w:rPr>
      </w:pPr>
      <w:r>
        <w:rPr>
          <w:rFonts w:ascii="Arial" w:cs="Arial" w:eastAsia="Arial" w:hAnsi="Arial"/>
          <w:sz w:val="13"/>
          <w:szCs w:val="13"/>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may also be prohibited under the 1940 Act from knowingly participating in certain transactions with our affiliates without the prior approval of our directors who are not interested persons and, in some cases, prior approval by the SEC.</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are generally not able to issue and sell our common stock at a price below net asset value per share. See “Risk Factors — Risks Relating to Our Business and</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Structure — Regulations governing our operation as a BDC affect our ability to raise additional capital and the way in which we do so.” We may, however, sell our common stock, or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warrants, options or rights to acquire our common stock, at a price below the then-current net asset value of our common stock if our Board of Directors determines that such sale is in our</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best interests and the best interests of our stockholders, and our stockholders approve our policy and practice of making such sales. In any such case, under such circumstances, the price at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which our common stock to be issued and sold may not be less than a price which, in the determination of our Board of Directors, closely approximates the market value of such common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stock. In addition, we may generally issue new shares of our common stock at a price below net asset value in rights offerings to existing stockholders, in payment of dividends and in</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certain other limited circumstances.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62" w:right="219" w:bottom="1440" w:gutter="0" w:footer="0" w:header="0"/>
        </w:sectPr>
      </w:pPr>
    </w:p>
    <w:bookmarkStart w:id="23" w:name="page24"/>
    <w:bookmarkEnd w:id="23"/>
    <w:p>
      <w:pPr>
        <w:ind w:right="120" w:firstLine="543"/>
        <w:spacing w:after="0" w:line="276" w:lineRule="auto"/>
        <w:rPr>
          <w:sz w:val="20"/>
          <w:szCs w:val="20"/>
          <w:color w:val="auto"/>
        </w:rPr>
      </w:pPr>
      <w:r>
        <w:rPr>
          <w:rFonts w:ascii="Arial" w:cs="Arial" w:eastAsia="Arial" w:hAnsi="Arial"/>
          <w:sz w:val="15"/>
          <w:szCs w:val="15"/>
          <w:color w:val="auto"/>
        </w:rPr>
        <w:t>As a BDC, we are generally limited in our ability to invest in any portfolio company in which our investment adviser or any of its affiliates currently has an investment or to make any co-investments with our investment adviser or its affiliates without an exemptive order from the SEC, subject to certain exceptions.</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will be periodically examined by the SEC for compliance with the 1940 Act.</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As a BDC, we are subject to certain risks and uncertainties. See “Risk Factors — Risks Relating to Our Business and Structure.”</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QUALIFYING ASSETS</w:t>
      </w:r>
    </w:p>
    <w:p>
      <w:pPr>
        <w:spacing w:after="0" w:line="193" w:lineRule="exact"/>
        <w:rPr>
          <w:sz w:val="20"/>
          <w:szCs w:val="20"/>
          <w:color w:val="auto"/>
        </w:rPr>
      </w:pPr>
    </w:p>
    <w:p>
      <w:pPr>
        <w:ind w:right="140" w:firstLine="543"/>
        <w:spacing w:after="0" w:line="264" w:lineRule="auto"/>
        <w:rPr>
          <w:sz w:val="20"/>
          <w:szCs w:val="20"/>
          <w:color w:val="auto"/>
        </w:rPr>
      </w:pPr>
      <w:r>
        <w:rPr>
          <w:rFonts w:ascii="Arial" w:cs="Arial" w:eastAsia="Arial" w:hAnsi="Arial"/>
          <w:sz w:val="15"/>
          <w:szCs w:val="15"/>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gross assets (the “70% Test”). The principal categories of qualifying assets relevant to our proposed business are the following:</w:t>
      </w:r>
    </w:p>
    <w:p>
      <w:pPr>
        <w:spacing w:after="0" w:line="155" w:lineRule="exact"/>
        <w:rPr>
          <w:sz w:val="20"/>
          <w:szCs w:val="20"/>
          <w:color w:val="auto"/>
        </w:rPr>
      </w:pPr>
    </w:p>
    <w:p>
      <w:pPr>
        <w:ind w:left="500" w:hanging="272"/>
        <w:spacing w:after="0"/>
        <w:tabs>
          <w:tab w:leader="none" w:pos="5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Securities purchased in transactions not involving any public offering, the issuer of which is an eligible portfolio company;</w:t>
      </w:r>
    </w:p>
    <w:p>
      <w:pPr>
        <w:spacing w:after="0" w:line="189" w:lineRule="exact"/>
        <w:rPr>
          <w:rFonts w:ascii="Arial" w:cs="Arial" w:eastAsia="Arial" w:hAnsi="Arial"/>
          <w:sz w:val="15"/>
          <w:szCs w:val="15"/>
          <w:color w:val="auto"/>
        </w:rPr>
      </w:pPr>
    </w:p>
    <w:p>
      <w:pPr>
        <w:ind w:left="500" w:right="280" w:hanging="272"/>
        <w:spacing w:after="0" w:line="276" w:lineRule="auto"/>
        <w:tabs>
          <w:tab w:leader="none" w:pos="5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Securities received in exchange for or distributed with respect to securities described in the bullet above or pursuant to the exercise of options, warrants or rights relating to such securities; and</w:t>
      </w:r>
    </w:p>
    <w:p>
      <w:pPr>
        <w:spacing w:after="0" w:line="146" w:lineRule="exact"/>
        <w:rPr>
          <w:rFonts w:ascii="Arial" w:cs="Arial" w:eastAsia="Arial" w:hAnsi="Arial"/>
          <w:sz w:val="15"/>
          <w:szCs w:val="15"/>
          <w:color w:val="auto"/>
        </w:rPr>
      </w:pPr>
    </w:p>
    <w:p>
      <w:pPr>
        <w:ind w:left="500" w:hanging="272"/>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Cash, cash items, government securities or high quality debt securities (within the meaning of the 1940 Act), maturing in one year or less from the time of investment.</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An eligible portfolio company is generally a domestic company that is not an investment company (other than a small business investment company wholly owned by a BDC) and</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that:</w:t>
      </w:r>
    </w:p>
    <w:p>
      <w:pPr>
        <w:spacing w:after="0" w:line="180" w:lineRule="exact"/>
        <w:rPr>
          <w:sz w:val="20"/>
          <w:szCs w:val="20"/>
          <w:color w:val="auto"/>
        </w:rPr>
      </w:pPr>
    </w:p>
    <w:p>
      <w:pPr>
        <w:ind w:left="500" w:hanging="272"/>
        <w:spacing w:after="0"/>
        <w:tabs>
          <w:tab w:leader="none" w:pos="5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does not have a class of securities with respect to which a broker may extend margin credit at the time the acquisition is made;</w:t>
      </w:r>
    </w:p>
    <w:p>
      <w:pPr>
        <w:spacing w:after="0" w:line="189" w:lineRule="exact"/>
        <w:rPr>
          <w:rFonts w:ascii="Arial" w:cs="Arial" w:eastAsia="Arial" w:hAnsi="Arial"/>
          <w:sz w:val="15"/>
          <w:szCs w:val="15"/>
          <w:color w:val="auto"/>
        </w:rPr>
      </w:pPr>
    </w:p>
    <w:p>
      <w:pPr>
        <w:ind w:left="500" w:hanging="272"/>
        <w:spacing w:after="0"/>
        <w:tabs>
          <w:tab w:leader="none" w:pos="5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is controlled by the BDC and has an affiliate of the BDC on its Board of Directors;</w:t>
      </w:r>
    </w:p>
    <w:p>
      <w:pPr>
        <w:spacing w:after="0" w:line="189" w:lineRule="exact"/>
        <w:rPr>
          <w:rFonts w:ascii="Arial" w:cs="Arial" w:eastAsia="Arial" w:hAnsi="Arial"/>
          <w:sz w:val="15"/>
          <w:szCs w:val="15"/>
          <w:color w:val="auto"/>
        </w:rPr>
      </w:pPr>
    </w:p>
    <w:p>
      <w:pPr>
        <w:ind w:left="500" w:hanging="272"/>
        <w:spacing w:after="0"/>
        <w:tabs>
          <w:tab w:leader="none" w:pos="5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does not have any class of securities listed on a national securities exchange;</w:t>
      </w:r>
    </w:p>
    <w:p>
      <w:pPr>
        <w:spacing w:after="0" w:line="189" w:lineRule="exact"/>
        <w:rPr>
          <w:rFonts w:ascii="Arial" w:cs="Arial" w:eastAsia="Arial" w:hAnsi="Arial"/>
          <w:sz w:val="15"/>
          <w:szCs w:val="15"/>
          <w:color w:val="auto"/>
        </w:rPr>
      </w:pPr>
    </w:p>
    <w:p>
      <w:pPr>
        <w:ind w:left="500" w:hanging="272"/>
        <w:spacing w:after="0"/>
        <w:tabs>
          <w:tab w:leader="none" w:pos="5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is a public company that lists its securities on a national securities exchange with a market capitalization of less than $250 million; or</w:t>
      </w:r>
    </w:p>
    <w:p>
      <w:pPr>
        <w:spacing w:after="0" w:line="189" w:lineRule="exact"/>
        <w:rPr>
          <w:rFonts w:ascii="Arial" w:cs="Arial" w:eastAsia="Arial" w:hAnsi="Arial"/>
          <w:sz w:val="15"/>
          <w:szCs w:val="15"/>
          <w:color w:val="auto"/>
        </w:rPr>
      </w:pPr>
    </w:p>
    <w:p>
      <w:pPr>
        <w:ind w:left="500" w:hanging="272"/>
        <w:spacing w:after="0"/>
        <w:tabs>
          <w:tab w:leader="none" w:pos="5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meets such other criteria as may be established by the SEC.</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Control, as defined by the 1940 Act, is presumed to exist where a BDC beneficially owns more than 25% of the outstanding voting securities of the portfolio company.</w:t>
      </w:r>
    </w:p>
    <w:p>
      <w:pPr>
        <w:spacing w:after="0" w:line="201" w:lineRule="exact"/>
        <w:rPr>
          <w:sz w:val="20"/>
          <w:szCs w:val="20"/>
          <w:color w:val="auto"/>
        </w:rPr>
      </w:pPr>
    </w:p>
    <w:p>
      <w:pPr>
        <w:ind w:right="180" w:firstLine="543"/>
        <w:spacing w:after="0" w:line="276" w:lineRule="auto"/>
        <w:rPr>
          <w:sz w:val="20"/>
          <w:szCs w:val="20"/>
          <w:color w:val="auto"/>
        </w:rPr>
      </w:pPr>
      <w:r>
        <w:rPr>
          <w:rFonts w:ascii="Arial" w:cs="Arial" w:eastAsia="Arial" w:hAnsi="Arial"/>
          <w:sz w:val="15"/>
          <w:szCs w:val="15"/>
          <w:color w:val="auto"/>
        </w:rPr>
        <w:t>In addition, a BDC must have been organized and have its principal place of business in the United States and must be operated for the purpose of making investments in eligible portfolio companies, or in other securities that are consistent with its purpose as a BDC.</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MANAGERIAL ASSISTANCE TO PORTFOLIO COMPANIES</w:t>
      </w:r>
    </w:p>
    <w:p>
      <w:pPr>
        <w:spacing w:after="0" w:line="193" w:lineRule="exact"/>
        <w:rPr>
          <w:sz w:val="20"/>
          <w:szCs w:val="20"/>
          <w:color w:val="auto"/>
        </w:rPr>
      </w:pPr>
    </w:p>
    <w:p>
      <w:pPr>
        <w:ind w:right="40" w:firstLine="543"/>
        <w:spacing w:after="0" w:line="280" w:lineRule="auto"/>
        <w:rPr>
          <w:sz w:val="20"/>
          <w:szCs w:val="20"/>
          <w:color w:val="auto"/>
        </w:rPr>
      </w:pPr>
      <w:r>
        <w:rPr>
          <w:rFonts w:ascii="Arial" w:cs="Arial" w:eastAsia="Arial" w:hAnsi="Arial"/>
          <w:sz w:val="14"/>
          <w:szCs w:val="14"/>
          <w:color w:val="auto"/>
        </w:rPr>
        <w:t>In order to count portfolio securities as qualifying assets for the purpose of the 70% test, the BDC must either control the issuer of the securities or must offer to make available to the issuer of the securities (other than small and solvent companies described above) significant managerial assistance; except that, where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TEMPORARY INVESTMENTS</w:t>
      </w:r>
    </w:p>
    <w:p>
      <w:pPr>
        <w:spacing w:after="0" w:line="193" w:lineRule="exact"/>
        <w:rPr>
          <w:sz w:val="20"/>
          <w:szCs w:val="20"/>
          <w:color w:val="auto"/>
        </w:rPr>
      </w:pPr>
    </w:p>
    <w:p>
      <w:pPr>
        <w:ind w:firstLine="543"/>
        <w:spacing w:after="0" w:line="276" w:lineRule="auto"/>
        <w:rPr>
          <w:sz w:val="20"/>
          <w:szCs w:val="20"/>
          <w:color w:val="auto"/>
        </w:rPr>
      </w:pPr>
      <w:r>
        <w:rPr>
          <w:rFonts w:ascii="Arial" w:cs="Arial" w:eastAsia="Arial" w:hAnsi="Arial"/>
          <w:sz w:val="14"/>
          <w:szCs w:val="14"/>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under the Code.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color w:val="auto"/>
        </w:rPr>
        <w:t>SENIOR SECURITIES</w:t>
      </w:r>
    </w:p>
    <w:p>
      <w:pPr>
        <w:spacing w:after="0" w:line="193" w:lineRule="exact"/>
        <w:rPr>
          <w:sz w:val="20"/>
          <w:szCs w:val="20"/>
          <w:color w:val="auto"/>
        </w:rPr>
      </w:pPr>
    </w:p>
    <w:p>
      <w:pPr>
        <w:ind w:firstLine="543"/>
        <w:spacing w:after="0" w:line="294" w:lineRule="auto"/>
        <w:rPr>
          <w:sz w:val="20"/>
          <w:szCs w:val="20"/>
          <w:color w:val="auto"/>
        </w:rPr>
      </w:pPr>
      <w:r>
        <w:rPr>
          <w:rFonts w:ascii="Arial" w:cs="Arial" w:eastAsia="Arial" w:hAnsi="Arial"/>
          <w:sz w:val="13"/>
          <w:szCs w:val="13"/>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Factors — Risks Relating to Our Business and Structure.”</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CODE OF ETHICS</w:t>
      </w:r>
    </w:p>
    <w:p>
      <w:pPr>
        <w:spacing w:after="0" w:line="193" w:lineRule="exact"/>
        <w:rPr>
          <w:sz w:val="20"/>
          <w:szCs w:val="20"/>
          <w:color w:val="auto"/>
        </w:rPr>
      </w:pPr>
    </w:p>
    <w:p>
      <w:pPr>
        <w:ind w:firstLine="543"/>
        <w:spacing w:after="0" w:line="255" w:lineRule="auto"/>
        <w:rPr>
          <w:sz w:val="20"/>
          <w:szCs w:val="20"/>
          <w:color w:val="auto"/>
        </w:rPr>
      </w:pPr>
      <w:r>
        <w:rPr>
          <w:rFonts w:ascii="Arial" w:cs="Arial" w:eastAsia="Arial" w:hAnsi="Arial"/>
          <w:sz w:val="15"/>
          <w:szCs w:val="15"/>
          <w:color w:val="auto"/>
        </w:rPr>
        <w:t xml:space="preserve">We and our investment adviser have adopted a code of ethics pursuant to Rule 17j-1 under the 1940 Act and Rule 204A-1 under the Advisers Act that establishes procedures for personal investments and restricts certain transactions by our personnel. Our code of ethics generally does not permit investments by our employees in securities that may be purchased or held by us. You may read and copy our code of ethics at the SEC’s Public Reference Room in Washington, D.C. You may obtain information on the operation of the Public Reference Room by calling the SEC at 1-800-SEC-0330. In addition, the code of ethics is attached as an exhibit to the registration statement of which this prospectus is a part, and is available on the EDGAR Database on the SEC’s Internet site at </w:t>
      </w:r>
      <w:r>
        <w:rPr>
          <w:rFonts w:ascii="Arial" w:cs="Arial" w:eastAsia="Arial" w:hAnsi="Arial"/>
          <w:sz w:val="15"/>
          <w:szCs w:val="15"/>
          <w:i w:val="1"/>
          <w:iCs w:val="1"/>
          <w:color w:val="auto"/>
        </w:rPr>
        <w:t>http://www.sec.gov</w:t>
      </w:r>
      <w:r>
        <w:rPr>
          <w:rFonts w:ascii="Arial" w:cs="Arial" w:eastAsia="Arial" w:hAnsi="Arial"/>
          <w:sz w:val="15"/>
          <w:szCs w:val="15"/>
          <w:color w:val="auto"/>
        </w:rPr>
        <w:t xml:space="preserve">. You may also obtain copies of the code of ethics, after paying a duplicating fee, by electronic request at the following email address: publicinfo@sec.gov, or by writing the SEC’s Public Reference Section, 100 F Street, N.E., Washington, D.C. 20549. Our code of ethics is also available on our website at </w:t>
      </w:r>
      <w:r>
        <w:rPr>
          <w:rFonts w:ascii="Arial" w:cs="Arial" w:eastAsia="Arial" w:hAnsi="Arial"/>
          <w:sz w:val="15"/>
          <w:szCs w:val="15"/>
          <w:i w:val="1"/>
          <w:iCs w:val="1"/>
          <w:color w:val="auto"/>
        </w:rPr>
        <w:t>http://www.capitalagroup.com</w:t>
      </w:r>
      <w:r>
        <w:rPr>
          <w:rFonts w:ascii="Arial" w:cs="Arial" w:eastAsia="Arial" w:hAnsi="Arial"/>
          <w:sz w:val="15"/>
          <w:szCs w:val="15"/>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COMPLIANCE POLICIES AND PROCEDURES</w:t>
      </w:r>
    </w:p>
    <w:p>
      <w:pPr>
        <w:spacing w:after="0" w:line="193" w:lineRule="exact"/>
        <w:rPr>
          <w:sz w:val="20"/>
          <w:szCs w:val="20"/>
          <w:color w:val="auto"/>
        </w:rPr>
      </w:pPr>
    </w:p>
    <w:p>
      <w:pPr>
        <w:ind w:firstLine="543"/>
        <w:spacing w:after="0" w:line="291" w:lineRule="auto"/>
        <w:rPr>
          <w:sz w:val="20"/>
          <w:szCs w:val="20"/>
          <w:color w:val="auto"/>
        </w:rPr>
      </w:pPr>
      <w:r>
        <w:rPr>
          <w:rFonts w:ascii="Arial" w:cs="Arial" w:eastAsia="Arial" w:hAnsi="Arial"/>
          <w:sz w:val="14"/>
          <w:szCs w:val="14"/>
          <w:color w:val="auto"/>
        </w:rPr>
        <w:t>We and our investment adviser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Richard G. Wheelahan, III currently serves as our chief compliance officer.</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SARBANES-OXLEY ACT OF 2002</w:t>
      </w:r>
    </w:p>
    <w:p>
      <w:pPr>
        <w:spacing w:after="0" w:line="193" w:lineRule="exact"/>
        <w:rPr>
          <w:sz w:val="20"/>
          <w:szCs w:val="20"/>
          <w:color w:val="auto"/>
        </w:rPr>
      </w:pPr>
    </w:p>
    <w:p>
      <w:pPr>
        <w:ind w:right="420" w:firstLine="543"/>
        <w:spacing w:after="0" w:line="276" w:lineRule="auto"/>
        <w:rPr>
          <w:sz w:val="20"/>
          <w:szCs w:val="20"/>
          <w:color w:val="auto"/>
        </w:rPr>
      </w:pPr>
      <w:r>
        <w:rPr>
          <w:rFonts w:ascii="Arial" w:cs="Arial" w:eastAsia="Arial" w:hAnsi="Arial"/>
          <w:sz w:val="15"/>
          <w:szCs w:val="15"/>
          <w:color w:val="auto"/>
        </w:rPr>
        <w:t>The Sarbanes-Oxley Act of 2002 imposes a wide variety of regulatory requirements on publicly-held companies and their insiders. Many of these requirements affect us. For example:</w:t>
      </w:r>
    </w:p>
    <w:p>
      <w:pPr>
        <w:spacing w:after="0" w:line="191" w:lineRule="exact"/>
        <w:rPr>
          <w:sz w:val="20"/>
          <w:szCs w:val="20"/>
          <w:color w:val="auto"/>
        </w:rPr>
      </w:pPr>
    </w:p>
    <w:p>
      <w:pPr>
        <w:ind w:left="500" w:right="180" w:hanging="272"/>
        <w:spacing w:after="0" w:line="276" w:lineRule="auto"/>
        <w:tabs>
          <w:tab w:leader="none" w:pos="5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pursuant to Rule 13a-14 of the Exchange Act, our chief executive officer and chief financial officer must certify the accuracy of the financial statements contained in our periodic reports;</w:t>
      </w:r>
    </w:p>
    <w:p>
      <w:pPr>
        <w:spacing w:after="0" w:line="236" w:lineRule="exact"/>
        <w:rPr>
          <w:rFonts w:ascii="Arial" w:cs="Arial" w:eastAsia="Arial" w:hAnsi="Arial"/>
          <w:sz w:val="15"/>
          <w:szCs w:val="15"/>
          <w:color w:val="auto"/>
        </w:rPr>
      </w:pPr>
    </w:p>
    <w:p>
      <w:pPr>
        <w:ind w:left="500" w:hanging="272"/>
        <w:spacing w:after="0"/>
        <w:tabs>
          <w:tab w:leader="none" w:pos="5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pursuant to Item 307 of Regulation S-K, our periodic reports must disclose our conclusions about the effectiveness of our disclosure controls and procedures;</w:t>
      </w:r>
    </w:p>
    <w:p>
      <w:pPr>
        <w:spacing w:after="0" w:line="279" w:lineRule="exact"/>
        <w:rPr>
          <w:rFonts w:ascii="Arial" w:cs="Arial" w:eastAsia="Arial" w:hAnsi="Arial"/>
          <w:sz w:val="15"/>
          <w:szCs w:val="15"/>
          <w:color w:val="auto"/>
        </w:rPr>
      </w:pPr>
    </w:p>
    <w:p>
      <w:pPr>
        <w:ind w:left="500" w:right="80" w:hanging="272"/>
        <w:spacing w:after="0" w:line="264" w:lineRule="auto"/>
        <w:tabs>
          <w:tab w:leader="none" w:pos="5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pursuant to Rule 13a-15 of the Exchange Act, our management will be required to prepare an annual report regarding its assessment of our internal control over financial reporting. When we are no longer an emerging growth company under the JOBS Act, our independent registered public accounting firm will be required to audit our internal controls over financial reporting; and</w:t>
      </w:r>
    </w:p>
    <w:p>
      <w:pPr>
        <w:spacing w:after="0" w:line="245" w:lineRule="exact"/>
        <w:rPr>
          <w:rFonts w:ascii="Arial" w:cs="Arial" w:eastAsia="Arial" w:hAnsi="Arial"/>
          <w:sz w:val="15"/>
          <w:szCs w:val="15"/>
          <w:color w:val="auto"/>
        </w:rPr>
      </w:pPr>
    </w:p>
    <w:p>
      <w:pPr>
        <w:ind w:left="500" w:right="260" w:hanging="272"/>
        <w:spacing w:after="0" w:line="264" w:lineRule="auto"/>
        <w:tabs>
          <w:tab w:leader="none" w:pos="5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200" w:lineRule="exact"/>
        <w:rPr>
          <w:sz w:val="20"/>
          <w:szCs w:val="20"/>
          <w:color w:val="auto"/>
        </w:rPr>
      </w:pPr>
    </w:p>
    <w:p>
      <w:pPr>
        <w:ind w:right="120" w:firstLine="543"/>
        <w:spacing w:after="0" w:line="264" w:lineRule="auto"/>
        <w:rPr>
          <w:sz w:val="20"/>
          <w:szCs w:val="20"/>
          <w:color w:val="auto"/>
        </w:rPr>
      </w:pPr>
      <w:r>
        <w:rPr>
          <w:rFonts w:ascii="Arial" w:cs="Arial" w:eastAsia="Arial" w:hAnsi="Arial"/>
          <w:sz w:val="15"/>
          <w:szCs w:val="15"/>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00"/>
          </w:cols>
          <w:pgMar w:left="240" w:top="758" w:right="25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color w:val="auto"/>
        </w:rPr>
        <w:t>PROXY VOTING POLICIES AND PROCEDURES</w:t>
      </w:r>
    </w:p>
    <w:p>
      <w:pPr>
        <w:spacing w:after="0" w:line="193" w:lineRule="exact"/>
        <w:rPr>
          <w:sz w:val="20"/>
          <w:szCs w:val="20"/>
          <w:color w:val="auto"/>
        </w:rPr>
      </w:pPr>
    </w:p>
    <w:p>
      <w:pPr>
        <w:ind w:right="60" w:firstLine="543"/>
        <w:spacing w:after="0" w:line="264" w:lineRule="auto"/>
        <w:rPr>
          <w:sz w:val="20"/>
          <w:szCs w:val="20"/>
          <w:color w:val="auto"/>
        </w:rPr>
      </w:pPr>
      <w:r>
        <w:rPr>
          <w:rFonts w:ascii="Arial" w:cs="Arial" w:eastAsia="Arial" w:hAnsi="Arial"/>
          <w:sz w:val="15"/>
          <w:szCs w:val="15"/>
          <w:color w:val="auto"/>
        </w:rPr>
        <w:t>We have delegated our proxy voting responsibility to Capitala Investment Advisors. The proxy voting policies and procedures of Capitala Investment Advisors are set forth below. The guidelines will be reviewed periodically by Capitala Investment Advisors and our non-interested directors, and, accordingly, are subject to change. For purposes of the proxy voting policies and procedures described below, “we,” “our” and “us” refers to Capitala Investment Advisors.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Introduction</w:t>
      </w:r>
    </w:p>
    <w:p>
      <w:pPr>
        <w:spacing w:after="0" w:line="189" w:lineRule="exact"/>
        <w:rPr>
          <w:sz w:val="20"/>
          <w:szCs w:val="20"/>
          <w:color w:val="auto"/>
        </w:rPr>
      </w:pPr>
    </w:p>
    <w:p>
      <w:pPr>
        <w:ind w:right="280" w:firstLine="543"/>
        <w:spacing w:after="0" w:line="276" w:lineRule="auto"/>
        <w:rPr>
          <w:sz w:val="20"/>
          <w:szCs w:val="20"/>
          <w:color w:val="auto"/>
        </w:rPr>
      </w:pPr>
      <w:r>
        <w:rPr>
          <w:rFonts w:ascii="Arial" w:cs="Arial" w:eastAsia="Arial" w:hAnsi="Arial"/>
          <w:sz w:val="15"/>
          <w:szCs w:val="15"/>
          <w:color w:val="auto"/>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Proxy Policies</w:t>
      </w:r>
    </w:p>
    <w:p>
      <w:pPr>
        <w:spacing w:after="0" w:line="189" w:lineRule="exact"/>
        <w:rPr>
          <w:sz w:val="20"/>
          <w:szCs w:val="20"/>
          <w:color w:val="auto"/>
        </w:rPr>
      </w:pPr>
    </w:p>
    <w:p>
      <w:pPr>
        <w:jc w:val="both"/>
        <w:ind w:firstLine="543"/>
        <w:spacing w:after="0" w:line="264" w:lineRule="auto"/>
        <w:rPr>
          <w:sz w:val="20"/>
          <w:szCs w:val="20"/>
          <w:color w:val="auto"/>
        </w:rPr>
      </w:pPr>
      <w:r>
        <w:rPr>
          <w:rFonts w:ascii="Arial" w:cs="Arial" w:eastAsia="Arial" w:hAnsi="Arial"/>
          <w:sz w:val="15"/>
          <w:szCs w:val="15"/>
          <w:color w:val="auto"/>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w:t>
      </w:r>
    </w:p>
    <w:p>
      <w:pPr>
        <w:spacing w:after="0" w:line="155" w:lineRule="exact"/>
        <w:rPr>
          <w:sz w:val="20"/>
          <w:szCs w:val="20"/>
          <w:color w:val="auto"/>
        </w:rPr>
      </w:pPr>
    </w:p>
    <w:p>
      <w:pPr>
        <w:ind w:right="160" w:firstLine="543"/>
        <w:spacing w:after="0" w:line="260" w:lineRule="auto"/>
        <w:rPr>
          <w:sz w:val="20"/>
          <w:szCs w:val="20"/>
          <w:color w:val="auto"/>
        </w:rPr>
      </w:pPr>
      <w:r>
        <w:rPr>
          <w:rFonts w:ascii="Arial" w:cs="Arial" w:eastAsia="Arial" w:hAnsi="Arial"/>
          <w:sz w:val="15"/>
          <w:szCs w:val="15"/>
          <w:color w:val="auto"/>
        </w:rPr>
        <w:t>Our proxy voting decisions will be made by the senior officers who are responsible for monitoring each of our clients’ investments. To ensure that our vote is not the product of a conflict of interest, we will require that: (1) anyone involved in the decision making process disclose to our managing member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Proxy Voting Records</w:t>
      </w:r>
    </w:p>
    <w:p>
      <w:pPr>
        <w:spacing w:after="0" w:line="189" w:lineRule="exact"/>
        <w:rPr>
          <w:sz w:val="20"/>
          <w:szCs w:val="20"/>
          <w:color w:val="auto"/>
        </w:rPr>
      </w:pPr>
    </w:p>
    <w:p>
      <w:pPr>
        <w:ind w:right="140" w:firstLine="543"/>
        <w:spacing w:after="0" w:line="276" w:lineRule="auto"/>
        <w:rPr>
          <w:sz w:val="20"/>
          <w:szCs w:val="20"/>
          <w:color w:val="auto"/>
        </w:rPr>
      </w:pPr>
      <w:r>
        <w:rPr>
          <w:rFonts w:ascii="Arial" w:cs="Arial" w:eastAsia="Arial" w:hAnsi="Arial"/>
          <w:sz w:val="15"/>
          <w:szCs w:val="15"/>
          <w:color w:val="auto"/>
        </w:rPr>
        <w:t>You may obtain information about how we voted proxies by making a written request for proxy voting information to: Capitala Investment Advisors, LLC, 4201 Congress Street, Suite 360, Charlotte, North Carolina 28209.</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PRIVACY PRINCIPLES</w:t>
      </w:r>
    </w:p>
    <w:p>
      <w:pPr>
        <w:spacing w:after="0" w:line="193" w:lineRule="exact"/>
        <w:rPr>
          <w:sz w:val="20"/>
          <w:szCs w:val="20"/>
          <w:color w:val="auto"/>
        </w:rPr>
      </w:pPr>
    </w:p>
    <w:p>
      <w:pPr>
        <w:ind w:right="300" w:firstLine="543"/>
        <w:spacing w:after="0" w:line="313"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23" w:lineRule="exact"/>
        <w:rPr>
          <w:sz w:val="20"/>
          <w:szCs w:val="20"/>
          <w:color w:val="auto"/>
        </w:rPr>
      </w:pPr>
    </w:p>
    <w:p>
      <w:pPr>
        <w:jc w:val="both"/>
        <w:ind w:right="160" w:firstLine="543"/>
        <w:spacing w:after="0" w:line="264" w:lineRule="auto"/>
        <w:rPr>
          <w:sz w:val="20"/>
          <w:szCs w:val="20"/>
          <w:color w:val="auto"/>
        </w:rPr>
      </w:pPr>
      <w:r>
        <w:rPr>
          <w:rFonts w:ascii="Arial" w:cs="Arial" w:eastAsia="Arial" w:hAnsi="Arial"/>
          <w:sz w:val="15"/>
          <w:szCs w:val="15"/>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155" w:lineRule="exact"/>
        <w:rPr>
          <w:sz w:val="20"/>
          <w:szCs w:val="20"/>
          <w:color w:val="auto"/>
        </w:rPr>
      </w:pPr>
    </w:p>
    <w:p>
      <w:pPr>
        <w:ind w:right="460" w:firstLine="543"/>
        <w:spacing w:after="0" w:line="313" w:lineRule="auto"/>
        <w:rPr>
          <w:sz w:val="20"/>
          <w:szCs w:val="20"/>
          <w:color w:val="auto"/>
        </w:rPr>
      </w:pPr>
      <w:r>
        <w:rPr>
          <w:rFonts w:ascii="Arial" w:cs="Arial" w:eastAsia="Arial" w:hAnsi="Arial"/>
          <w:sz w:val="14"/>
          <w:szCs w:val="14"/>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SMALL BUSINESS INVESTMENT COMPANY REGULATIONS</w:t>
      </w:r>
    </w:p>
    <w:p>
      <w:pPr>
        <w:spacing w:after="0" w:line="193" w:lineRule="exact"/>
        <w:rPr>
          <w:sz w:val="20"/>
          <w:szCs w:val="20"/>
          <w:color w:val="auto"/>
        </w:rPr>
      </w:pPr>
    </w:p>
    <w:p>
      <w:pPr>
        <w:ind w:firstLine="543"/>
        <w:spacing w:after="0" w:line="260" w:lineRule="auto"/>
        <w:rPr>
          <w:sz w:val="20"/>
          <w:szCs w:val="20"/>
          <w:color w:val="auto"/>
        </w:rPr>
      </w:pPr>
      <w:r>
        <w:rPr>
          <w:rFonts w:ascii="Arial" w:cs="Arial" w:eastAsia="Arial" w:hAnsi="Arial"/>
          <w:sz w:val="15"/>
          <w:szCs w:val="15"/>
          <w:color w:val="auto"/>
        </w:rPr>
        <w:t>Our wholly-owned subsidiaries’ SBIC licenses allow them to borrow funds by issuing SBA-guaranteed debentures, subject to the issuance of a capital commitment by the SBA and other customary procedures. SBA-guaranteed debentures are non-recourse, interest-only debentures with interest payable semi-annually and have a ten year maturity. The principal amount of SBA-guaranteed debentures is not required to be paid prior to maturity but may be prepaid at any time without penalty. The interest rate of SBA-guaranteed debentures is fixed at the time of issuance at a market-driven spread over U.S. Treasury Notes with 10-year maturities.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00"/>
          </w:cols>
          <w:pgMar w:left="240" w:top="758" w:right="259" w:bottom="1440" w:gutter="0" w:footer="0" w:header="0"/>
        </w:sectPr>
      </w:pPr>
    </w:p>
    <w:bookmarkStart w:id="26" w:name="page27"/>
    <w:bookmarkEnd w:id="26"/>
    <w:p>
      <w:pPr>
        <w:ind w:right="20" w:firstLine="543"/>
        <w:spacing w:after="0" w:line="277" w:lineRule="auto"/>
        <w:rPr>
          <w:sz w:val="20"/>
          <w:szCs w:val="20"/>
          <w:color w:val="auto"/>
        </w:rPr>
      </w:pPr>
      <w:r>
        <w:rPr>
          <w:rFonts w:ascii="Arial" w:cs="Arial" w:eastAsia="Arial" w:hAnsi="Arial"/>
          <w:sz w:val="14"/>
          <w:szCs w:val="14"/>
          <w:color w:val="auto"/>
        </w:rPr>
        <w:t>SBICs are designed to stimulate the flow of private equity capital to eligible small businesses. Under SBA regulations, SBICs may make loans to eligible small businesses and invest in the equity securities of small businesses. Under present SBA regulations, eligible small businesses include businesses that have a tangible net worth not exceeding $18 million and have average annual fully taxed net income not exceeding $6 million for the two most recent fiscal years. In addition, an SBIC must devote 25% of its investment activity to “smaller” concerns as defined by the SBA. A smaller concern is one that has a tangible net worth not exceeding $6 million and has average annual fully taxed net income not exceeding $2 million for the two most recent fiscal years. SBA regulations also provide alternative size standard criteria to determine eligibility, which depend on the industry in which the 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147" w:lineRule="exact"/>
        <w:rPr>
          <w:sz w:val="20"/>
          <w:szCs w:val="20"/>
          <w:color w:val="auto"/>
        </w:rPr>
      </w:pPr>
    </w:p>
    <w:p>
      <w:pPr>
        <w:ind w:right="20" w:firstLine="543"/>
        <w:spacing w:after="0" w:line="260" w:lineRule="auto"/>
        <w:rPr>
          <w:sz w:val="20"/>
          <w:szCs w:val="20"/>
          <w:color w:val="auto"/>
        </w:rPr>
      </w:pPr>
      <w:r>
        <w:rPr>
          <w:rFonts w:ascii="Arial" w:cs="Arial" w:eastAsia="Arial" w:hAnsi="Arial"/>
          <w:sz w:val="15"/>
          <w:szCs w:val="15"/>
          <w:color w:val="auto"/>
        </w:rPr>
        <w:t>SBA regulations currently limit the amount that an SBIC subsidiary may borrow to a maximum of $150 million when it has at least $75 million in regulatory capital. Affiliated SBICs are permitted to issue up to a combined maximum amount of $225 million when they have at least $112.5 million in regulatory capital. As of December 31, 2013, Fund II had $26.2 million in regulatory capital and $52.2 million in SBA-guaranteed debentures outstanding and Fund III had $75 million in regulatory capital and $150 million in SBA-guaranteed debentures outstanding.</w:t>
      </w:r>
    </w:p>
    <w:p>
      <w:pPr>
        <w:spacing w:after="0" w:line="157" w:lineRule="exact"/>
        <w:rPr>
          <w:sz w:val="20"/>
          <w:szCs w:val="20"/>
          <w:color w:val="auto"/>
        </w:rPr>
      </w:pPr>
    </w:p>
    <w:p>
      <w:pPr>
        <w:ind w:right="20" w:firstLine="543"/>
        <w:spacing w:after="0" w:line="264" w:lineRule="auto"/>
        <w:rPr>
          <w:sz w:val="20"/>
          <w:szCs w:val="20"/>
          <w:color w:val="auto"/>
        </w:rPr>
      </w:pPr>
      <w:r>
        <w:rPr>
          <w:rFonts w:ascii="Arial" w:cs="Arial" w:eastAsia="Arial" w:hAnsi="Arial"/>
          <w:sz w:val="15"/>
          <w:szCs w:val="15"/>
          <w:color w:val="auto"/>
        </w:rPr>
        <w:t>We have filed for exemptive relief from the SEC to permit us to exclude the debt of our SBIC subsidiaries guaranteed by the SBA from the definition of senior securities in the 200% asset coverage test under the 1940 Act. This would provide us with increased flexibility under the 200% asset coverage test by permitting us to borrow up to $202.2 million more than we would otherwise be able to absent the receipt of this exemptive relief.</w:t>
      </w:r>
    </w:p>
    <w:p>
      <w:pPr>
        <w:spacing w:after="0" w:line="155" w:lineRule="exact"/>
        <w:rPr>
          <w:sz w:val="20"/>
          <w:szCs w:val="20"/>
          <w:color w:val="auto"/>
        </w:rPr>
      </w:pPr>
    </w:p>
    <w:p>
      <w:pPr>
        <w:jc w:val="both"/>
        <w:ind w:right="140" w:firstLine="543"/>
        <w:spacing w:after="0" w:line="264" w:lineRule="auto"/>
        <w:rPr>
          <w:sz w:val="20"/>
          <w:szCs w:val="20"/>
          <w:color w:val="auto"/>
        </w:rPr>
      </w:pPr>
      <w:r>
        <w:rPr>
          <w:rFonts w:ascii="Arial" w:cs="Arial" w:eastAsia="Arial" w:hAnsi="Arial"/>
          <w:sz w:val="15"/>
          <w:szCs w:val="15"/>
          <w:color w:val="auto"/>
        </w:rPr>
        <w:t>The SBA restricts the ability of SBICs to repurchase their capital stock. SBA regulations also include restrictions on a “change of control” or transfer of an SBIC and require that SBICs invest idle funds in accordance with SBA regulations. In addition, our SBIC subsidiaries may also be limited in their ability to make distributions to us if they do not have sufficient capital, in accordance with SBA regulations.</w:t>
      </w:r>
    </w:p>
    <w:p>
      <w:pPr>
        <w:spacing w:after="0" w:line="155" w:lineRule="exact"/>
        <w:rPr>
          <w:sz w:val="20"/>
          <w:szCs w:val="20"/>
          <w:color w:val="auto"/>
        </w:rPr>
      </w:pPr>
    </w:p>
    <w:p>
      <w:pPr>
        <w:ind w:firstLine="543"/>
        <w:spacing w:after="0" w:line="284" w:lineRule="auto"/>
        <w:rPr>
          <w:sz w:val="20"/>
          <w:szCs w:val="20"/>
          <w:color w:val="auto"/>
        </w:rPr>
      </w:pPr>
      <w:r>
        <w:rPr>
          <w:rFonts w:ascii="Arial" w:cs="Arial" w:eastAsia="Arial" w:hAnsi="Arial"/>
          <w:sz w:val="14"/>
          <w:szCs w:val="14"/>
          <w:color w:val="auto"/>
        </w:rPr>
        <w:t>Our SBIC subsidiaries are subject to regulation and oversight by the SBA, including requirements with respect to maintaining certain minimum financial ratios and other covenants. Receipt of SBIC licenses does not assure that our SBIC subsidiaries will receive SBA-guaranteed debenture funding, which is dependent upon our SBIC subsidiaries continuing to be in compliance with SBA regulations and policies. The SBA, as a creditor, will have a superior claim to our SBIC subsidiaries’ assets over our stockholders in the event we liquidate our SBIC subsidiaries or the SBA exercises its remedies under the SBA-guaranteed debentures issued by our SBIC subsidiaries upon an event of default.</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NASDAQ GLOBAL SELECT MARKET REQUIREMENTS</w:t>
      </w:r>
    </w:p>
    <w:p>
      <w:pPr>
        <w:spacing w:after="0" w:line="193" w:lineRule="exact"/>
        <w:rPr>
          <w:sz w:val="20"/>
          <w:szCs w:val="20"/>
          <w:color w:val="auto"/>
        </w:rPr>
      </w:pPr>
    </w:p>
    <w:p>
      <w:pPr>
        <w:ind w:right="440" w:firstLine="543"/>
        <w:spacing w:after="0" w:line="313" w:lineRule="auto"/>
        <w:rPr>
          <w:sz w:val="20"/>
          <w:szCs w:val="20"/>
          <w:color w:val="auto"/>
        </w:rPr>
      </w:pPr>
      <w:r>
        <w:rPr>
          <w:rFonts w:ascii="Arial" w:cs="Arial" w:eastAsia="Arial" w:hAnsi="Arial"/>
          <w:sz w:val="14"/>
          <w:szCs w:val="14"/>
          <w:color w:val="auto"/>
        </w:rPr>
        <w:t>We have adopted certain policies and procedures intended to comply with the NASDAQ Global Select Market’s corporate governance rules. We will continue to monitor our compliance with all future listing standards that are approved by the SEC and will take actions necessary to ensure that we are in compliance therewith.</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color w:val="auto"/>
        </w:rPr>
        <w:t>ITEM 1A. RISK FACTORS</w:t>
      </w:r>
    </w:p>
    <w:p>
      <w:pPr>
        <w:spacing w:after="0" w:line="193" w:lineRule="exact"/>
        <w:rPr>
          <w:sz w:val="20"/>
          <w:szCs w:val="20"/>
          <w:color w:val="auto"/>
        </w:rPr>
      </w:pPr>
    </w:p>
    <w:p>
      <w:pPr>
        <w:jc w:val="both"/>
        <w:ind w:right="160" w:firstLine="543"/>
        <w:spacing w:after="0" w:line="264" w:lineRule="auto"/>
        <w:rPr>
          <w:sz w:val="20"/>
          <w:szCs w:val="20"/>
          <w:color w:val="auto"/>
        </w:rPr>
      </w:pPr>
      <w:r>
        <w:rPr>
          <w:rFonts w:ascii="Arial" w:cs="Arial" w:eastAsia="Arial" w:hAnsi="Arial"/>
          <w:sz w:val="15"/>
          <w:szCs w:val="15"/>
          <w:i w:val="1"/>
          <w:iCs w:val="1"/>
          <w:color w:val="auto"/>
        </w:rPr>
        <w:t>Before you invest in our common stock, you should be aware of various risks, including those described below. The risks set out below are not the only risks we face. If any of the following events occur, our business, financial condition and results of operations could be materially adversely affected. In such case, our net asset value could decline, and you may lose all or part of your investment.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Our Business and Structure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operating history as a BDC.</w:t>
      </w:r>
    </w:p>
    <w:p>
      <w:pPr>
        <w:spacing w:after="0" w:line="189" w:lineRule="exact"/>
        <w:rPr>
          <w:sz w:val="20"/>
          <w:szCs w:val="20"/>
          <w:color w:val="auto"/>
        </w:rPr>
      </w:pPr>
    </w:p>
    <w:p>
      <w:pPr>
        <w:ind w:right="40" w:firstLine="543"/>
        <w:spacing w:after="0" w:line="277" w:lineRule="auto"/>
        <w:rPr>
          <w:sz w:val="20"/>
          <w:szCs w:val="20"/>
          <w:color w:val="auto"/>
        </w:rPr>
      </w:pPr>
      <w:r>
        <w:rPr>
          <w:rFonts w:ascii="Arial" w:cs="Arial" w:eastAsia="Arial" w:hAnsi="Arial"/>
          <w:sz w:val="14"/>
          <w:szCs w:val="14"/>
          <w:color w:val="auto"/>
        </w:rPr>
        <w:t>Capitala Finance was formed in February 2013 and has only operated as a BDC since September 2013. As a result, we are subject to many of the business risks and uncertainties associated with recently formed businesses, including the risk that we will not achieve our investment objective and that the value of your investment could decline substantially. As a BDC, we are subject to the regulatory requirements of the SEC, in addition to the specific regulatory requirements applicable to BDCs under the 1940 Act and RICs under the Code. Our management and that of our investment adviser, Capitala Investment Advisors, did not have any prior experience operating under this regulatory framework, and we may still incur substantial additional costs, and expend significant time or other resources, to do so. From time to time, Capitala Investment Advisors may pursue investment opportunities, like equity investments, in which it has more limited experience. We may also be unable to replicate the historical performance of prior investment funds managed by our management team. In addition, we may be unable to generate sufficient revenue from our operations to make or sustain distributions to our stockholders.</w:t>
      </w:r>
    </w:p>
    <w:p>
      <w:pPr>
        <w:spacing w:after="0" w:line="147" w:lineRule="exact"/>
        <w:rPr>
          <w:sz w:val="20"/>
          <w:szCs w:val="20"/>
          <w:color w:val="auto"/>
        </w:rPr>
      </w:pPr>
    </w:p>
    <w:p>
      <w:pPr>
        <w:ind w:right="320"/>
        <w:spacing w:after="0" w:line="276" w:lineRule="auto"/>
        <w:rPr>
          <w:sz w:val="20"/>
          <w:szCs w:val="20"/>
          <w:color w:val="auto"/>
        </w:rPr>
      </w:pPr>
      <w:r>
        <w:rPr>
          <w:rFonts w:ascii="Arial" w:cs="Arial" w:eastAsia="Arial" w:hAnsi="Arial"/>
          <w:sz w:val="15"/>
          <w:szCs w:val="15"/>
          <w:b w:val="1"/>
          <w:bCs w:val="1"/>
          <w:i w:val="1"/>
          <w:iCs w:val="1"/>
          <w:color w:val="auto"/>
        </w:rPr>
        <w:t>Our investment portfolio is recorded at fair value, with our Board of Directors having final responsibility for overseeing, reviewing and approving, in good faith, its estimate of fair value and, as a result, there may be uncertainty as to the value of our portfolio investments.</w:t>
      </w:r>
    </w:p>
    <w:p>
      <w:pPr>
        <w:spacing w:after="0" w:line="146" w:lineRule="exact"/>
        <w:rPr>
          <w:sz w:val="20"/>
          <w:szCs w:val="20"/>
          <w:color w:val="auto"/>
        </w:rPr>
      </w:pPr>
    </w:p>
    <w:p>
      <w:pPr>
        <w:ind w:right="40" w:firstLine="543"/>
        <w:spacing w:after="0" w:line="260" w:lineRule="auto"/>
        <w:rPr>
          <w:sz w:val="20"/>
          <w:szCs w:val="20"/>
          <w:color w:val="auto"/>
        </w:rPr>
      </w:pPr>
      <w:r>
        <w:rPr>
          <w:rFonts w:ascii="Arial" w:cs="Arial" w:eastAsia="Arial" w:hAnsi="Arial"/>
          <w:sz w:val="15"/>
          <w:szCs w:val="15"/>
          <w:color w:val="auto"/>
        </w:rPr>
        <w:t>Under the 1940 Act, we are required to carry our portfolio investments at market value or, if there is no readily available market value, at fair value as determined by us, with our Board of Directors having final responsibility for overseeing, reviewing and approving, in good faith, our estimate of fair value. Typically, there will not be a public market for the securities of the privately held companies in which invest. As a result, we value these securities quarterly at fair value based on input from management, a third-party independent valuation firm and our audit committee, and with the oversight, review and approval of our Board of Directors.</w:t>
      </w:r>
    </w:p>
    <w:p>
      <w:pPr>
        <w:spacing w:after="0" w:line="157" w:lineRule="exact"/>
        <w:rPr>
          <w:sz w:val="20"/>
          <w:szCs w:val="20"/>
          <w:color w:val="auto"/>
        </w:rPr>
      </w:pPr>
    </w:p>
    <w:p>
      <w:pPr>
        <w:ind w:firstLine="543"/>
        <w:spacing w:after="0" w:line="276" w:lineRule="auto"/>
        <w:rPr>
          <w:sz w:val="20"/>
          <w:szCs w:val="20"/>
          <w:color w:val="auto"/>
        </w:rPr>
      </w:pPr>
      <w:r>
        <w:rPr>
          <w:rFonts w:ascii="Arial" w:cs="Arial" w:eastAsia="Arial" w:hAnsi="Arial"/>
          <w:sz w:val="14"/>
          <w:szCs w:val="14"/>
          <w:color w:val="auto"/>
        </w:rPr>
        <w:t>The determination of fair value and consequently, the amount of unrealized gains and losses in our portfolio, are to a certain degree, subjective and dependent on a valuation process approved by our Board of Directors. Certain factors that may be considered in determining the fair value of our investments include external events, such as private mergers, sales and acquisitions involving comparable companies. Because such valuations, and particularly valuations of private securities and private companies, are inherently uncertain, they may fluctuate over short periods of time and may be based on estimates. Our determinations of fair value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during a period in which the net asset value understates the value of our investments would receive a lower price for their shares than the value of our investments might warrant.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financial condition and results of operations depend on our ability to effectively manage and deploy capital.</w:t>
      </w:r>
    </w:p>
    <w:p>
      <w:pPr>
        <w:spacing w:after="0" w:line="189" w:lineRule="exact"/>
        <w:rPr>
          <w:sz w:val="20"/>
          <w:szCs w:val="20"/>
          <w:color w:val="auto"/>
        </w:rPr>
      </w:pPr>
    </w:p>
    <w:p>
      <w:pPr>
        <w:ind w:right="420" w:firstLine="543"/>
        <w:spacing w:after="0" w:line="276" w:lineRule="auto"/>
        <w:rPr>
          <w:sz w:val="20"/>
          <w:szCs w:val="20"/>
          <w:color w:val="auto"/>
        </w:rPr>
      </w:pPr>
      <w:r>
        <w:rPr>
          <w:rFonts w:ascii="Arial" w:cs="Arial" w:eastAsia="Arial" w:hAnsi="Arial"/>
          <w:sz w:val="15"/>
          <w:szCs w:val="15"/>
          <w:color w:val="auto"/>
        </w:rPr>
        <w:t>Our ability to achieve our investment objective depends on our ability to effectively manage and deploy capital, which depends, in turn, on our investment adviser’s ability to identify, evaluate and monitor, and our ability to finance and invest in, companies that meet our investment criteria.</w:t>
      </w:r>
    </w:p>
    <w:p>
      <w:pPr>
        <w:spacing w:after="0" w:line="146" w:lineRule="exact"/>
        <w:rPr>
          <w:sz w:val="20"/>
          <w:szCs w:val="20"/>
          <w:color w:val="auto"/>
        </w:rPr>
      </w:pPr>
    </w:p>
    <w:p>
      <w:pPr>
        <w:ind w:right="100" w:firstLine="543"/>
        <w:spacing w:after="0" w:line="312" w:lineRule="auto"/>
        <w:rPr>
          <w:sz w:val="20"/>
          <w:szCs w:val="20"/>
          <w:color w:val="auto"/>
        </w:rPr>
      </w:pPr>
      <w:r>
        <w:rPr>
          <w:rFonts w:ascii="Arial" w:cs="Arial" w:eastAsia="Arial" w:hAnsi="Arial"/>
          <w:sz w:val="13"/>
          <w:szCs w:val="13"/>
          <w:color w:val="auto"/>
        </w:rPr>
        <w:t>Accomplishing our investment objective on a cost-effective basis is largely a function of our investment adviser’s handling of the investment process, its ability to provide competent, attentive and efficient services and our access to investments offering acceptable terms. In addition to monitoring the performance of our existing investments, our investment adviser’s investment team may also be called upon, from time to time, to provide managerial assistance to some of our portfolio companies as well as other funds that they manage. These demands on their time may distract them or slow our rate of investment. See also “—There are significant potential conflicts of interest that could negatively affect our investment returns.”</w:t>
      </w:r>
    </w:p>
    <w:p>
      <w:pPr>
        <w:spacing w:after="0" w:line="128" w:lineRule="exact"/>
        <w:rPr>
          <w:sz w:val="20"/>
          <w:szCs w:val="20"/>
          <w:color w:val="auto"/>
        </w:rPr>
      </w:pPr>
    </w:p>
    <w:p>
      <w:pPr>
        <w:ind w:right="80" w:firstLine="581"/>
        <w:spacing w:after="0" w:line="260" w:lineRule="auto"/>
        <w:rPr>
          <w:sz w:val="20"/>
          <w:szCs w:val="20"/>
          <w:color w:val="auto"/>
        </w:rPr>
      </w:pPr>
      <w:r>
        <w:rPr>
          <w:rFonts w:ascii="Arial" w:cs="Arial" w:eastAsia="Arial" w:hAnsi="Arial"/>
          <w:sz w:val="15"/>
          <w:szCs w:val="15"/>
          <w:color w:val="auto"/>
        </w:rPr>
        <w:t>Even if we are able to grow and build upon our investment operations, any failure to manage our growth effectively could have a material adverse effect on our business, financial condition, results of operations and prospects. The results of our operations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in this prospectus, it could negatively impact our ability to make distributions.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58" w:right="23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i w:val="1"/>
          <w:iCs w:val="1"/>
          <w:color w:val="auto"/>
        </w:rPr>
        <w:t>We depend upon Capitala Investment Advisors’ key personnel for our future success.</w:t>
      </w:r>
    </w:p>
    <w:p>
      <w:pPr>
        <w:spacing w:after="0" w:line="189" w:lineRule="exact"/>
        <w:rPr>
          <w:sz w:val="20"/>
          <w:szCs w:val="20"/>
          <w:color w:val="auto"/>
        </w:rPr>
      </w:pPr>
    </w:p>
    <w:p>
      <w:pPr>
        <w:ind w:right="20" w:firstLine="543"/>
        <w:spacing w:after="0" w:line="256" w:lineRule="auto"/>
        <w:rPr>
          <w:sz w:val="20"/>
          <w:szCs w:val="20"/>
          <w:color w:val="auto"/>
        </w:rPr>
      </w:pPr>
      <w:r>
        <w:rPr>
          <w:rFonts w:ascii="Arial" w:cs="Arial" w:eastAsia="Arial" w:hAnsi="Arial"/>
          <w:sz w:val="15"/>
          <w:szCs w:val="15"/>
          <w:color w:val="auto"/>
        </w:rPr>
        <w:t>We depend on the diligence, skill and network of business contacts of Joseph B. Alala, III, Hunt Broyhill and John F. McGlinn, who serve as the members of the investment committee of Capitala Investment Advisors and lead Capitala Investment Advisors’ investment team. Our success depends on the continued service of these individuals and the other senior investment professionals available to Capitala Investment Advisors. We cannot assure you that unforeseen business, medical, personal or other circumstances would not lead Messrs. Alala, Broyhill or McGlinn or any other such individual to terminate his relationship with us. Such a termination could have a material adverse effect on our ability to achieve our investment objective as well as on our financial condition and results of operations. In addition, we can offer no assurance that Capitala Investment Advisors will continue indefinitely as our investment adviser.</w:t>
      </w:r>
    </w:p>
    <w:p>
      <w:pPr>
        <w:spacing w:after="0" w:line="163" w:lineRule="exact"/>
        <w:rPr>
          <w:sz w:val="20"/>
          <w:szCs w:val="20"/>
          <w:color w:val="auto"/>
        </w:rPr>
      </w:pPr>
    </w:p>
    <w:p>
      <w:pPr>
        <w:ind w:right="80" w:firstLine="543"/>
        <w:spacing w:after="0" w:line="264" w:lineRule="auto"/>
        <w:rPr>
          <w:sz w:val="20"/>
          <w:szCs w:val="20"/>
          <w:color w:val="auto"/>
        </w:rPr>
      </w:pPr>
      <w:r>
        <w:rPr>
          <w:rFonts w:ascii="Arial" w:cs="Arial" w:eastAsia="Arial" w:hAnsi="Arial"/>
          <w:sz w:val="15"/>
          <w:szCs w:val="15"/>
          <w:color w:val="auto"/>
        </w:rPr>
        <w:t>The members of Capitala Investment Advisors’ investment team are and may in the future become affiliated with entities engaged in business activities similar to those intended to be conducted by us, and may have conflicts of interest in allocating their time. Mr. Alala dedicates a significant portion of his time to the activities of Capitala Finance; however, he may become engaged in other business activities that could divert his time and attention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operate in a highly competitive market for investment opportunities, which could reduce returns and result in losses.</w:t>
      </w:r>
    </w:p>
    <w:p>
      <w:pPr>
        <w:spacing w:after="0" w:line="189" w:lineRule="exact"/>
        <w:rPr>
          <w:sz w:val="20"/>
          <w:szCs w:val="20"/>
          <w:color w:val="auto"/>
        </w:rPr>
      </w:pPr>
    </w:p>
    <w:p>
      <w:pPr>
        <w:ind w:firstLine="543"/>
        <w:spacing w:after="0" w:line="298" w:lineRule="auto"/>
        <w:rPr>
          <w:sz w:val="20"/>
          <w:szCs w:val="20"/>
          <w:color w:val="auto"/>
        </w:rPr>
      </w:pPr>
      <w:r>
        <w:rPr>
          <w:rFonts w:ascii="Arial" w:cs="Arial" w:eastAsia="Arial" w:hAnsi="Arial"/>
          <w:sz w:val="13"/>
          <w:szCs w:val="13"/>
          <w:color w:val="auto"/>
        </w:rPr>
        <w:t>We compete for investments with other BDCs with similar investment strategies, private equity funds with similar investment strategies, venture lending funds, finance companies with venture lending units and banks focused on venture lending. Many of our competitors are substantially larger and have considerably greater financial, technical and marketing resources than we have. For example, some competitors may have a lower cost of capital and access to funding sources that are not available to us. In addition, some of our competitors have higher risk tolerances or different risk assessments than we have. These characteristics might allow our competitors to consider a wider variety of investments, establish more relationships or offer better pricing and more flexible structuring than we are able to offer. We may lose investment opportunities if we do not match our competitors’ pricing, terms or structure. If we are forced to match our competitors’ pricing, terms or structure, we may not be able to achieve acceptable returns on our investments or may bear substantial risk of capital loss. We believe a significant part of our competitive advantage stems from the fact that the market for investments in smaller and lower middle-market companies is underserved by traditional commercial banks and other financing sources. A significant increase in the number and/or the size of our competitors in this target market could force us to accept less attractive investment terms. Furthermore, many of our competitors have greater experience operating under, or will not be subject to, the regulatory restrictions that the 1940 Act impose on us as a BDC.</w:t>
      </w:r>
    </w:p>
    <w:p>
      <w:pPr>
        <w:spacing w:after="0" w:line="139" w:lineRule="exact"/>
        <w:rPr>
          <w:sz w:val="20"/>
          <w:szCs w:val="20"/>
          <w:color w:val="auto"/>
        </w:rPr>
      </w:pPr>
    </w:p>
    <w:p>
      <w:pPr>
        <w:ind w:right="220"/>
        <w:spacing w:after="0" w:line="276" w:lineRule="auto"/>
        <w:rPr>
          <w:sz w:val="20"/>
          <w:szCs w:val="20"/>
          <w:color w:val="auto"/>
        </w:rPr>
      </w:pPr>
      <w:r>
        <w:rPr>
          <w:rFonts w:ascii="Arial" w:cs="Arial" w:eastAsia="Arial" w:hAnsi="Arial"/>
          <w:sz w:val="15"/>
          <w:szCs w:val="15"/>
          <w:b w:val="1"/>
          <w:bCs w:val="1"/>
          <w:i w:val="1"/>
          <w:iCs w:val="1"/>
          <w:color w:val="auto"/>
        </w:rPr>
        <w:t>Any inability of our investment adviser to maintain or develop strong referral relationships, or the failure of these relationships to generate investment opportunities, could adversely affect our business.</w:t>
      </w:r>
    </w:p>
    <w:p>
      <w:pPr>
        <w:spacing w:after="0" w:line="146" w:lineRule="exact"/>
        <w:rPr>
          <w:sz w:val="20"/>
          <w:szCs w:val="20"/>
          <w:color w:val="auto"/>
        </w:rPr>
      </w:pPr>
    </w:p>
    <w:p>
      <w:pPr>
        <w:ind w:right="240" w:firstLine="543"/>
        <w:spacing w:after="0" w:line="258" w:lineRule="auto"/>
        <w:rPr>
          <w:sz w:val="20"/>
          <w:szCs w:val="20"/>
          <w:color w:val="auto"/>
        </w:rPr>
      </w:pPr>
      <w:r>
        <w:rPr>
          <w:rFonts w:ascii="Arial" w:cs="Arial" w:eastAsia="Arial" w:hAnsi="Arial"/>
          <w:sz w:val="15"/>
          <w:szCs w:val="15"/>
          <w:color w:val="auto"/>
        </w:rPr>
        <w:t>We depend upon our investment adviser to maintain its relationships with venture capital and private equity firms, placement agents, investment banks, management groups and other financial institutions, and we expect to rely to a significant extent upon these relationships to provide us with potential investment opportunities. If our investment adviser fails to maintain such relationships, or to develop new relationships with other sources of investment opportunities, we will not be able to grow our investment portfolio. In addition, individuals with whom our investment adviser has relationships are not obligated to provide us with investment opportunities, and we can offer no assurance that these relationships will generate investment opportunities for us in the future.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success depends on the ability of Capitala Investment Advisors to attract and retain qualified personnel in a competitive environment.</w:t>
      </w:r>
    </w:p>
    <w:p>
      <w:pPr>
        <w:spacing w:after="0" w:line="189" w:lineRule="exact"/>
        <w:rPr>
          <w:sz w:val="20"/>
          <w:szCs w:val="20"/>
          <w:color w:val="auto"/>
        </w:rPr>
      </w:pPr>
    </w:p>
    <w:p>
      <w:pPr>
        <w:ind w:right="40" w:firstLine="543"/>
        <w:spacing w:after="0" w:line="260" w:lineRule="auto"/>
        <w:rPr>
          <w:sz w:val="20"/>
          <w:szCs w:val="20"/>
          <w:color w:val="auto"/>
        </w:rPr>
      </w:pPr>
      <w:r>
        <w:rPr>
          <w:rFonts w:ascii="Arial" w:cs="Arial" w:eastAsia="Arial" w:hAnsi="Arial"/>
          <w:sz w:val="15"/>
          <w:szCs w:val="15"/>
          <w:color w:val="auto"/>
        </w:rPr>
        <w:t>Our growth requires that Capitala Investment Advisors retain and attract new investment and administrative personnel in a competitive market. Its ability to attract and retain personnel with the requisite credentials, experience and skills depends on several factors including, but not limited to, its ability to offer competitive wages, benefits and professional growth opportunities. Many of the entities with which it competes for experienced personnel, including investment funds (such as private equity funds and mezzanine funds) and traditional financial services companies, have greater resources than it will have.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There are significant potential conflicts of interest that could negatively affect our investment returns.</w:t>
      </w:r>
    </w:p>
    <w:p>
      <w:pPr>
        <w:spacing w:after="0" w:line="189" w:lineRule="exact"/>
        <w:rPr>
          <w:sz w:val="20"/>
          <w:szCs w:val="20"/>
          <w:color w:val="auto"/>
        </w:rPr>
      </w:pPr>
    </w:p>
    <w:p>
      <w:pPr>
        <w:ind w:right="40" w:firstLine="543"/>
        <w:spacing w:after="0" w:line="258" w:lineRule="auto"/>
        <w:rPr>
          <w:sz w:val="20"/>
          <w:szCs w:val="20"/>
          <w:color w:val="auto"/>
        </w:rPr>
      </w:pPr>
      <w:r>
        <w:rPr>
          <w:rFonts w:ascii="Arial" w:cs="Arial" w:eastAsia="Arial" w:hAnsi="Arial"/>
          <w:sz w:val="15"/>
          <w:szCs w:val="15"/>
          <w:color w:val="auto"/>
        </w:rPr>
        <w:t>The members of Capitala Investment Advisors’ investment team also monitor and service other affiliated investment funds. In addition, our executive officers and directors, as well as the current and future members of our investment adviser’s investment team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 However, Capitala Investment Advisors’ investment team does not intend to sponsor or manage another BDC with an investment strategy that is substantially similar to our investment strategy.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29" w:name="page30"/>
    <w:bookmarkEnd w:id="29"/>
    <w:p>
      <w:pPr>
        <w:ind w:right="40" w:firstLine="543"/>
        <w:spacing w:after="0" w:line="275" w:lineRule="auto"/>
        <w:rPr>
          <w:sz w:val="20"/>
          <w:szCs w:val="20"/>
          <w:color w:val="auto"/>
        </w:rPr>
      </w:pPr>
      <w:r>
        <w:rPr>
          <w:rFonts w:ascii="Arial" w:cs="Arial" w:eastAsia="Arial" w:hAnsi="Arial"/>
          <w:sz w:val="14"/>
          <w:szCs w:val="14"/>
          <w:color w:val="auto"/>
        </w:rPr>
        <w:t>In the course of our investing activities, we pay management and incentive fees to Capitala Investment Advisors and reimburse Capitala Investment Advisors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Capitala Investment Advisors will have interests that differ from those of our stockholders, giving rise to a conflict. Capitala Investment Advisors will not be reimbursed for any performance-related compensation for its employees. We have entered into a royalty-free license agreement with our investment adviser, pursuant to which Capitala Investment Advisors grants us a non-exclusive royalty-free license to use the name “Capitala.” Under the license agreement, we have the right to use the “Capitala” name for so long as Capitala Investment Advisors or one of its affiliates remains our investment adviser. In addition, we pay our administrator our allocable portion of overhead and other expenses incurred by our administrator in performing its obligations under the Administration Agreement, including rent, the fees and expenses associated with performing compliance functions, and our allocable portion of the compensation of our chief financial officer and any administrative support staff. These arrangements create conflicts of interest that our Board of Directors must monitor.</w:t>
      </w:r>
    </w:p>
    <w:p>
      <w:pPr>
        <w:spacing w:after="0" w:line="150" w:lineRule="exact"/>
        <w:rPr>
          <w:sz w:val="20"/>
          <w:szCs w:val="20"/>
          <w:color w:val="auto"/>
        </w:rPr>
      </w:pPr>
    </w:p>
    <w:p>
      <w:pPr>
        <w:ind w:right="20" w:firstLine="543"/>
        <w:spacing w:after="0" w:line="276" w:lineRule="auto"/>
        <w:rPr>
          <w:sz w:val="20"/>
          <w:szCs w:val="20"/>
          <w:color w:val="auto"/>
        </w:rPr>
      </w:pPr>
      <w:r>
        <w:rPr>
          <w:rFonts w:ascii="Arial" w:cs="Arial" w:eastAsia="Arial" w:hAnsi="Arial"/>
          <w:sz w:val="15"/>
          <w:szCs w:val="15"/>
          <w:color w:val="auto"/>
        </w:rPr>
        <w:t>If our investment adviser forms other affiliates in the future, we may co-invest on a concurrent basis with such other affiliates, subject to compliance with applicable regulations and regulatory guidance and our allocation procedures or an exemptive order from the SEC.</w:t>
      </w:r>
    </w:p>
    <w:p>
      <w:pPr>
        <w:spacing w:after="0" w:line="146" w:lineRule="exact"/>
        <w:rPr>
          <w:sz w:val="20"/>
          <w:szCs w:val="20"/>
          <w:color w:val="auto"/>
        </w:rPr>
      </w:pPr>
    </w:p>
    <w:p>
      <w:pPr>
        <w:ind w:right="260" w:firstLine="543"/>
        <w:spacing w:after="0" w:line="303" w:lineRule="auto"/>
        <w:rPr>
          <w:sz w:val="20"/>
          <w:szCs w:val="20"/>
          <w:color w:val="auto"/>
        </w:rPr>
      </w:pPr>
      <w:r>
        <w:rPr>
          <w:rFonts w:ascii="Arial" w:cs="Arial" w:eastAsia="Arial" w:hAnsi="Arial"/>
          <w:sz w:val="13"/>
          <w:szCs w:val="13"/>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and us, companies controlled by us or our executive officers and directors. We will not enter into any agreements unless and until we are satisfied that doing so will not raise concerns under the 1940 Act or, if such concerns exist, we have taken appropriate actions to seek review and approval by our Board of Directors or exemptive relief for such transaction. Our Board of Directors will review these procedures on an annual basis. We have also entered into a license agreement with the Investment Advisor, pursuant to which the Investment Advisor has agreed to grant us a non-exclusive, royalty-free license to use the name “Capitala”.</w:t>
      </w:r>
    </w:p>
    <w:p>
      <w:pPr>
        <w:spacing w:after="0" w:line="134" w:lineRule="exact"/>
        <w:rPr>
          <w:sz w:val="20"/>
          <w:szCs w:val="20"/>
          <w:color w:val="auto"/>
        </w:rPr>
      </w:pPr>
    </w:p>
    <w:p>
      <w:pPr>
        <w:ind w:right="140"/>
        <w:spacing w:after="0" w:line="276" w:lineRule="auto"/>
        <w:rPr>
          <w:sz w:val="20"/>
          <w:szCs w:val="20"/>
          <w:color w:val="auto"/>
        </w:rPr>
      </w:pPr>
      <w:r>
        <w:rPr>
          <w:rFonts w:ascii="Arial" w:cs="Arial" w:eastAsia="Arial" w:hAnsi="Arial"/>
          <w:sz w:val="15"/>
          <w:szCs w:val="15"/>
          <w:b w:val="1"/>
          <w:bCs w:val="1"/>
          <w:i w:val="1"/>
          <w:iCs w:val="1"/>
          <w:color w:val="auto"/>
        </w:rPr>
        <w:t>The investment committee and other investment professionals of Capitala Investment Advisors may, from time to time, possess material non-public information about or related to our portfolio companies, limiting our investment discretion.</w:t>
      </w:r>
    </w:p>
    <w:p>
      <w:pPr>
        <w:spacing w:after="0" w:line="146" w:lineRule="exact"/>
        <w:rPr>
          <w:sz w:val="20"/>
          <w:szCs w:val="20"/>
          <w:color w:val="auto"/>
        </w:rPr>
      </w:pPr>
    </w:p>
    <w:p>
      <w:pPr>
        <w:ind w:right="40" w:firstLine="543"/>
        <w:spacing w:after="0" w:line="260" w:lineRule="auto"/>
        <w:rPr>
          <w:sz w:val="20"/>
          <w:szCs w:val="20"/>
          <w:color w:val="auto"/>
        </w:rPr>
      </w:pPr>
      <w:r>
        <w:rPr>
          <w:rFonts w:ascii="Arial" w:cs="Arial" w:eastAsia="Arial" w:hAnsi="Arial"/>
          <w:sz w:val="15"/>
          <w:szCs w:val="15"/>
          <w:color w:val="auto"/>
        </w:rPr>
        <w:t>Members of our investment adviser’s investment committee and other investment professionals of Capitala Investment Advisors may serve as directors of, or in a similar capacity with, portfolio companies in which we invest. In the event that material nonpublic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involvement of our interested directors in the valuation process may create conflicts of interest.</w:t>
      </w:r>
    </w:p>
    <w:p>
      <w:pPr>
        <w:spacing w:after="0" w:line="189" w:lineRule="exact"/>
        <w:rPr>
          <w:sz w:val="20"/>
          <w:szCs w:val="20"/>
          <w:color w:val="auto"/>
        </w:rPr>
      </w:pPr>
    </w:p>
    <w:p>
      <w:pPr>
        <w:ind w:firstLine="543"/>
        <w:spacing w:after="0" w:line="254" w:lineRule="auto"/>
        <w:rPr>
          <w:sz w:val="20"/>
          <w:szCs w:val="20"/>
          <w:color w:val="auto"/>
        </w:rPr>
      </w:pPr>
      <w:r>
        <w:rPr>
          <w:rFonts w:ascii="Arial" w:cs="Arial" w:eastAsia="Arial" w:hAnsi="Arial"/>
          <w:sz w:val="15"/>
          <w:szCs w:val="15"/>
          <w:color w:val="auto"/>
        </w:rPr>
        <w:t>We make many of our portfolio investments in the form of loans and securities that are not publicly traded and for which no market-based price quotation is available. As a result, our Board of Directors determines the fair value of these loans and securities in good faith as described above in the section titled “Valuation of Investments” in Note 2 to the Consolidated Financial Statements. In connection with that determination, investment professionals from Capitala Investment Advisors may provide our Board of Directors with valuations based upon the most recent portfolio company financial statements available and projected financial results of each portfolio company. While the valuation for certain portfolio investments is reviewed by an independent valuation firm quarterly, the ultimate determination of fair value is made by our Board of Directors, including our interested directors, and not by such third-party valuation firm. In addition, Messrs. Alala and Broyhill, interested members of our Board of Directors, have pecuniary interests in Capitala Investment Advisors. The participation of Capitala Investment Advisors’ investment professionals in our valuation process, and the pecuniary interests in Capitala Investment Advisors by Messrs. Alala and Broyhill, could result in conflicts of interest as Capitala Investment Advisors’ management fee is based, in part, on the value of our gross assets, and our incentive fees will be based, in part, on realized gains and realized and unrealized losses.</w:t>
      </w:r>
    </w:p>
    <w:p>
      <w:pPr>
        <w:spacing w:after="0" w:line="167"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b w:val="1"/>
          <w:bCs w:val="1"/>
          <w:i w:val="1"/>
          <w:iCs w:val="1"/>
          <w:color w:val="auto"/>
        </w:rPr>
        <w:t>Because the Formation Transactions were consummated prior to the filing of our election to be regulated as a BDC under the 1940 Act, the protections and rights afforded to investors under the 1940 Act may not apply with respect to such transactions.</w:t>
      </w:r>
    </w:p>
    <w:p>
      <w:pPr>
        <w:spacing w:after="0" w:line="146" w:lineRule="exact"/>
        <w:rPr>
          <w:sz w:val="20"/>
          <w:szCs w:val="20"/>
          <w:color w:val="auto"/>
        </w:rPr>
      </w:pPr>
    </w:p>
    <w:p>
      <w:pPr>
        <w:ind w:right="20" w:firstLine="543"/>
        <w:spacing w:after="0" w:line="260" w:lineRule="auto"/>
        <w:rPr>
          <w:sz w:val="20"/>
          <w:szCs w:val="20"/>
          <w:color w:val="auto"/>
        </w:rPr>
      </w:pPr>
      <w:r>
        <w:rPr>
          <w:rFonts w:ascii="Arial" w:cs="Arial" w:eastAsia="Arial" w:hAnsi="Arial"/>
          <w:sz w:val="15"/>
          <w:szCs w:val="15"/>
          <w:color w:val="auto"/>
        </w:rPr>
        <w:t>We completed the Formation Transactions prior to the filing of our election to be regulated as a BDC under the 1940 Act. As a result, the protections and rights afforded to investors under the 1940 Act may not apply with respect to such transactions. In particular, we are generally prohibited from purchasing securities or other assets from an affiliate absent exemptive relief. As a result, the Formation Transactions and the parties from which we acquired our portfolio would likely differ substantially to the extent we were subject to the requirements and restrictions of the 1940 Act at the time we completed the Formation Transactions.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62" w:right="219" w:bottom="1440" w:gutter="0" w:footer="0" w:header="0"/>
        </w:sectPr>
      </w:pPr>
    </w:p>
    <w:bookmarkStart w:id="30" w:name="page31"/>
    <w:bookmarkEnd w:id="30"/>
    <w:p>
      <w:pPr>
        <w:ind w:right="280"/>
        <w:spacing w:after="0" w:line="276" w:lineRule="auto"/>
        <w:rPr>
          <w:sz w:val="20"/>
          <w:szCs w:val="20"/>
          <w:color w:val="auto"/>
        </w:rPr>
      </w:pPr>
      <w:r>
        <w:rPr>
          <w:rFonts w:ascii="Arial" w:cs="Arial" w:eastAsia="Arial" w:hAnsi="Arial"/>
          <w:sz w:val="15"/>
          <w:szCs w:val="15"/>
          <w:b w:val="1"/>
          <w:bCs w:val="1"/>
          <w:i w:val="1"/>
          <w:iCs w:val="1"/>
          <w:color w:val="auto"/>
        </w:rPr>
        <w:t>The Investment Advisory Agreement with Capitala Investment Advisors and the Administration Agreement with our administrator were not negotiated on an arm’s length basis and may not be as favorable to us as if they had been negotiated with an unaffiliated third-party.</w:t>
      </w:r>
    </w:p>
    <w:p>
      <w:pPr>
        <w:spacing w:after="0" w:line="146" w:lineRule="exact"/>
        <w:rPr>
          <w:sz w:val="20"/>
          <w:szCs w:val="20"/>
          <w:color w:val="auto"/>
        </w:rPr>
      </w:pPr>
    </w:p>
    <w:p>
      <w:pPr>
        <w:ind w:right="340" w:firstLine="543"/>
        <w:spacing w:after="0" w:line="276" w:lineRule="auto"/>
        <w:rPr>
          <w:sz w:val="20"/>
          <w:szCs w:val="20"/>
          <w:color w:val="auto"/>
        </w:rPr>
      </w:pPr>
      <w:r>
        <w:rPr>
          <w:rFonts w:ascii="Arial" w:cs="Arial" w:eastAsia="Arial" w:hAnsi="Arial"/>
          <w:sz w:val="15"/>
          <w:szCs w:val="15"/>
          <w:color w:val="auto"/>
        </w:rPr>
        <w:t>The Investment Advisory Agreement and the Administration Agreement were negotiated between related parties. Consequently, their terms, including fees payable to Capitala Investment Advisors and our administrator, may not be as favorable to us as if they had been negotiated with an unaffiliated third-party.</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incentive fee structure may induce Capitala Investment Advisors to pursue speculative investments, and to use leverage when it may be unwise to do so.</w:t>
      </w:r>
    </w:p>
    <w:p>
      <w:pPr>
        <w:spacing w:after="0" w:line="189" w:lineRule="exact"/>
        <w:rPr>
          <w:sz w:val="20"/>
          <w:szCs w:val="20"/>
          <w:color w:val="auto"/>
        </w:rPr>
      </w:pPr>
    </w:p>
    <w:p>
      <w:pPr>
        <w:ind w:right="60" w:firstLine="543"/>
        <w:spacing w:after="0" w:line="301" w:lineRule="auto"/>
        <w:rPr>
          <w:sz w:val="20"/>
          <w:szCs w:val="20"/>
          <w:color w:val="auto"/>
        </w:rPr>
      </w:pPr>
      <w:r>
        <w:rPr>
          <w:rFonts w:ascii="Arial" w:cs="Arial" w:eastAsia="Arial" w:hAnsi="Arial"/>
          <w:sz w:val="13"/>
          <w:szCs w:val="13"/>
          <w:color w:val="auto"/>
        </w:rPr>
        <w:t>The incentive fee payable by us to Capitala Investment Advisors may create an incentive for Capitala Investment Advisors to pursue investments on our behalf that are riskier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impair the value of our common stock. In addition, our investment adviser receives the incentive fee based, in part, upon net capital gains realized on our investments. Unlike that portion of the incentive fee based on income, there is no hurdle rate applicable to the portion of the incentive fee based on net capital gains. As a result, the investment adviser may have a tendency to invest more capital in investments that are likely to result in capital gains as compared to income-producing securities. Such a practice could result in our investing in more speculative securities than would otherwise be the case, which could result in higher investment losses, particularly during economic downturns.</w:t>
      </w:r>
    </w:p>
    <w:p>
      <w:pPr>
        <w:spacing w:after="0" w:line="135" w:lineRule="exact"/>
        <w:rPr>
          <w:sz w:val="20"/>
          <w:szCs w:val="20"/>
          <w:color w:val="auto"/>
        </w:rPr>
      </w:pPr>
    </w:p>
    <w:p>
      <w:pPr>
        <w:ind w:right="20" w:firstLine="543"/>
        <w:spacing w:after="0" w:line="280" w:lineRule="auto"/>
        <w:rPr>
          <w:sz w:val="20"/>
          <w:szCs w:val="20"/>
          <w:color w:val="auto"/>
        </w:rPr>
      </w:pPr>
      <w:r>
        <w:rPr>
          <w:rFonts w:ascii="Arial" w:cs="Arial" w:eastAsia="Arial" w:hAnsi="Arial"/>
          <w:sz w:val="14"/>
          <w:szCs w:val="14"/>
          <w:color w:val="auto"/>
        </w:rPr>
        <w:t>Although we do not anticipate doing so during at least our first 12 months of operations, we may invest, to the extent permitted by law, in the securities and instruments of other investment companies, including private funds, and, to the extent we so invest, will bear our ratable share of any such investment company’s expenses, including management and performance fees. We also remain obligated to pay management and incentive fees to our investment adviser with respect to the assets invested in the securities and instruments of other investment companies. With respect to each of these investments, each of our stockholders will bear his or her share of the management and our investment adviser’s incentive fee as well as indirectly bearing the management and performance fees and other expenses of any investment companies in which we invest.</w:t>
      </w:r>
    </w:p>
    <w:p>
      <w:pPr>
        <w:spacing w:after="0" w:line="147" w:lineRule="exact"/>
        <w:rPr>
          <w:sz w:val="20"/>
          <w:szCs w:val="20"/>
          <w:color w:val="auto"/>
        </w:rPr>
      </w:pPr>
    </w:p>
    <w:p>
      <w:pPr>
        <w:ind w:right="180"/>
        <w:spacing w:after="0" w:line="276" w:lineRule="auto"/>
        <w:rPr>
          <w:sz w:val="20"/>
          <w:szCs w:val="20"/>
          <w:color w:val="auto"/>
        </w:rPr>
      </w:pPr>
      <w:r>
        <w:rPr>
          <w:rFonts w:ascii="Arial" w:cs="Arial" w:eastAsia="Arial" w:hAnsi="Arial"/>
          <w:sz w:val="15"/>
          <w:szCs w:val="15"/>
          <w:b w:val="1"/>
          <w:bCs w:val="1"/>
          <w:i w:val="1"/>
          <w:iCs w:val="1"/>
          <w:color w:val="auto"/>
        </w:rPr>
        <w:t>Capitala Investment Advisors’ liability is limited under the Investment Advisory Agreement, and we have agreed to indemnify Capitala Investment Advisors against certain liabilities, which may lead Capitala Investment Advisors to act in a riskier manner on our behalf than it would when acting for its own account.</w:t>
      </w:r>
    </w:p>
    <w:p>
      <w:pPr>
        <w:spacing w:after="0" w:line="146" w:lineRule="exact"/>
        <w:rPr>
          <w:sz w:val="20"/>
          <w:szCs w:val="20"/>
          <w:color w:val="auto"/>
        </w:rPr>
      </w:pPr>
    </w:p>
    <w:p>
      <w:pPr>
        <w:ind w:firstLine="543"/>
        <w:spacing w:after="0" w:line="274" w:lineRule="auto"/>
        <w:rPr>
          <w:sz w:val="20"/>
          <w:szCs w:val="20"/>
          <w:color w:val="auto"/>
        </w:rPr>
      </w:pPr>
      <w:r>
        <w:rPr>
          <w:rFonts w:ascii="Arial" w:cs="Arial" w:eastAsia="Arial" w:hAnsi="Arial"/>
          <w:sz w:val="14"/>
          <w:szCs w:val="14"/>
          <w:color w:val="auto"/>
        </w:rPr>
        <w:t>Under the Investment Advisory Agreement, Capitala Investment Advisors has not assumed any responsibility to us other than to render the services called for under that agreement. It is not responsible for any action of our Board of Directors in following or declining to follow Capitala Investment Advisors’ advice or recommendations. Under the Investment Advisory Agreement, Capitala Investment Advisors, its officers, members and personnel, and any person controlling or controlled by Capitala Investment Advisors is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misfeasance, bad faith or reckless disregard of the duties that Capitala Investment Advisors owes to us under the Investment Advisory Agreement. In addition, as part of the Investment Advisory Agreement, we have agreed to indemnify Capitala Investment Advisors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Advisory Agreement, except where attributable to gross negligence, willful misfeasance, bad faith or reckless disregard of such person’s duties under the Investment Advisory Agreement. These protections may lead Capitala Investment Advisors to act in a riskier manner when acting on our behalf than it would when acting for its own account.</w:t>
      </w:r>
    </w:p>
    <w:p>
      <w:pPr>
        <w:spacing w:after="0" w:line="153"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b w:val="1"/>
          <w:bCs w:val="1"/>
          <w:i w:val="1"/>
          <w:iCs w:val="1"/>
          <w:color w:val="auto"/>
        </w:rPr>
        <w:t>A general increase in interest rates will likely have the effect of making it easier for our investment adviser to receive incentive fees, without necessarily resulting in an increase in our net earnings.</w:t>
      </w:r>
    </w:p>
    <w:p>
      <w:pPr>
        <w:spacing w:after="0" w:line="146" w:lineRule="exact"/>
        <w:rPr>
          <w:sz w:val="20"/>
          <w:szCs w:val="20"/>
          <w:color w:val="auto"/>
        </w:rPr>
      </w:pPr>
    </w:p>
    <w:p>
      <w:pPr>
        <w:ind w:right="40" w:firstLine="543"/>
        <w:spacing w:after="0" w:line="306" w:lineRule="auto"/>
        <w:rPr>
          <w:sz w:val="20"/>
          <w:szCs w:val="20"/>
          <w:color w:val="auto"/>
        </w:rPr>
      </w:pPr>
      <w:r>
        <w:rPr>
          <w:rFonts w:ascii="Arial" w:cs="Arial" w:eastAsia="Arial" w:hAnsi="Arial"/>
          <w:sz w:val="13"/>
          <w:szCs w:val="13"/>
          <w:color w:val="auto"/>
        </w:rPr>
        <w:t>Under the structure of our Investment Advisory Agreement with our investment adviser, any general increase in interest rates will likely have the effect of making it easier for our investment adviser to meet the quarterly hurdle rate for payment of income incentive fees under the Investment Advisory Agreement without any additional increase in relative performance on the part of our investment adviser. In addition, in view of the catch-up provision applicable to income incentive fees under the Investment Advisory Agreement, our investment adviser could potentially receive a significant portion of the increase in our investment income attributable to such a general increase in interest rates. If that were to occur, our increase in net earnings, if any, would likely be significantly smaller than the relative increase in our investment adviser’s income incentive fee resulting from such a general increase in interest rates.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31" w:name="page32"/>
    <w:bookmarkEnd w:id="31"/>
    <w:p>
      <w:pPr>
        <w:ind w:right="280"/>
        <w:spacing w:after="0" w:line="276" w:lineRule="auto"/>
        <w:rPr>
          <w:sz w:val="20"/>
          <w:szCs w:val="20"/>
          <w:color w:val="auto"/>
        </w:rPr>
      </w:pPr>
      <w:r>
        <w:rPr>
          <w:rFonts w:ascii="Arial" w:cs="Arial" w:eastAsia="Arial" w:hAnsi="Arial"/>
          <w:sz w:val="15"/>
          <w:szCs w:val="15"/>
          <w:b w:val="1"/>
          <w:bCs w:val="1"/>
          <w:i w:val="1"/>
          <w:iCs w:val="1"/>
          <w:color w:val="auto"/>
        </w:rPr>
        <w:t>PIK interest payments we receive will increase our assets under management and, as a result, will increase the amount of base management fees and incentive fees payable by us to Capitala Investment Advisors.</w:t>
      </w:r>
    </w:p>
    <w:p>
      <w:pPr>
        <w:spacing w:after="0" w:line="146" w:lineRule="exact"/>
        <w:rPr>
          <w:sz w:val="20"/>
          <w:szCs w:val="20"/>
          <w:color w:val="auto"/>
        </w:rPr>
      </w:pPr>
    </w:p>
    <w:p>
      <w:pPr>
        <w:ind w:firstLine="543"/>
        <w:spacing w:after="0" w:line="280" w:lineRule="auto"/>
        <w:rPr>
          <w:sz w:val="20"/>
          <w:szCs w:val="20"/>
          <w:color w:val="auto"/>
        </w:rPr>
      </w:pPr>
      <w:r>
        <w:rPr>
          <w:rFonts w:ascii="Arial" w:cs="Arial" w:eastAsia="Arial" w:hAnsi="Arial"/>
          <w:sz w:val="14"/>
          <w:szCs w:val="14"/>
          <w:color w:val="auto"/>
        </w:rPr>
        <w:t>Certain of our debt investments contain provisions providing for the payment of contractual PIK interest. Because PIK interest results in an increase in the size of the loan balance of the underlying loan, the receipt by us of PIK interest will have the effect of increasing our assets under management. As a result, because the base management fee that we pay to Capitala Investment Advisors is based on the value of our gross assets, the receipt by us of PIK interest will result in an increase in the amount of the base management fee payable by us. In addition, any such increase in a loan balance due to the receipt of PIK interest will cause such loan to accrue interest on the higher loan balance, which will result in an increase in our pre-incentive fee net investment income and, as a result, an increase in incentive fees that are payable by us to Capitala Investment Advisors.</w:t>
      </w:r>
    </w:p>
    <w:p>
      <w:pPr>
        <w:spacing w:after="0" w:line="147" w:lineRule="exact"/>
        <w:rPr>
          <w:sz w:val="20"/>
          <w:szCs w:val="20"/>
          <w:color w:val="auto"/>
        </w:rPr>
      </w:pPr>
    </w:p>
    <w:p>
      <w:pPr>
        <w:ind w:right="260"/>
        <w:spacing w:after="0" w:line="276" w:lineRule="auto"/>
        <w:rPr>
          <w:sz w:val="20"/>
          <w:szCs w:val="20"/>
          <w:color w:val="auto"/>
        </w:rPr>
      </w:pPr>
      <w:r>
        <w:rPr>
          <w:rFonts w:ascii="Arial" w:cs="Arial" w:eastAsia="Arial" w:hAnsi="Arial"/>
          <w:sz w:val="15"/>
          <w:szCs w:val="15"/>
          <w:b w:val="1"/>
          <w:bCs w:val="1"/>
          <w:i w:val="1"/>
          <w:iCs w:val="1"/>
          <w:color w:val="auto"/>
        </w:rPr>
        <w:t>Our investment adviser has the right to resign on 60 days’ notice, and we may not be able to find a suitable replacement within such time, resulting in a disruption in our operations that could adversely affect our financial condition, business and results of operations.</w:t>
      </w:r>
    </w:p>
    <w:p>
      <w:pPr>
        <w:spacing w:after="0" w:line="146" w:lineRule="exact"/>
        <w:rPr>
          <w:sz w:val="20"/>
          <w:szCs w:val="20"/>
          <w:color w:val="auto"/>
        </w:rPr>
      </w:pPr>
    </w:p>
    <w:p>
      <w:pPr>
        <w:ind w:firstLine="543"/>
        <w:spacing w:after="0" w:line="277" w:lineRule="auto"/>
        <w:rPr>
          <w:sz w:val="20"/>
          <w:szCs w:val="20"/>
          <w:color w:val="auto"/>
        </w:rPr>
      </w:pPr>
      <w:r>
        <w:rPr>
          <w:rFonts w:ascii="Arial" w:cs="Arial" w:eastAsia="Arial" w:hAnsi="Arial"/>
          <w:sz w:val="14"/>
          <w:szCs w:val="14"/>
          <w:color w:val="auto"/>
        </w:rPr>
        <w:t>Our investment adviser has the right, under the Investment Advisory Agreement, to resign at any time on 60 days’ written notice, whether we have found a replacement or not. If our investment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investment adviser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47" w:lineRule="exact"/>
        <w:rPr>
          <w:sz w:val="20"/>
          <w:szCs w:val="20"/>
          <w:color w:val="auto"/>
        </w:rPr>
      </w:pPr>
    </w:p>
    <w:p>
      <w:pPr>
        <w:ind w:right="580"/>
        <w:spacing w:after="0" w:line="276" w:lineRule="auto"/>
        <w:rPr>
          <w:sz w:val="20"/>
          <w:szCs w:val="20"/>
          <w:color w:val="auto"/>
        </w:rPr>
      </w:pPr>
      <w:r>
        <w:rPr>
          <w:rFonts w:ascii="Arial" w:cs="Arial" w:eastAsia="Arial" w:hAnsi="Arial"/>
          <w:sz w:val="15"/>
          <w:szCs w:val="15"/>
          <w:b w:val="1"/>
          <w:bCs w:val="1"/>
          <w:i w:val="1"/>
          <w:iCs w:val="1"/>
          <w:color w:val="auto"/>
        </w:rPr>
        <w:t>Our investment adviser may not be able to achieve the same or similar returns as those achieved by our investment adviser’s investment team while they were employed at prior positions.</w:t>
      </w:r>
    </w:p>
    <w:p>
      <w:pPr>
        <w:spacing w:after="0" w:line="146" w:lineRule="exact"/>
        <w:rPr>
          <w:sz w:val="20"/>
          <w:szCs w:val="20"/>
          <w:color w:val="auto"/>
        </w:rPr>
      </w:pPr>
    </w:p>
    <w:p>
      <w:pPr>
        <w:ind w:right="220" w:firstLine="543"/>
        <w:spacing w:after="0" w:line="291" w:lineRule="auto"/>
        <w:rPr>
          <w:sz w:val="20"/>
          <w:szCs w:val="20"/>
          <w:color w:val="auto"/>
        </w:rPr>
      </w:pPr>
      <w:r>
        <w:rPr>
          <w:rFonts w:ascii="Arial" w:cs="Arial" w:eastAsia="Arial" w:hAnsi="Arial"/>
          <w:sz w:val="14"/>
          <w:szCs w:val="14"/>
          <w:color w:val="auto"/>
        </w:rPr>
        <w:t>Although in the past Mr. Alala and other members of our investment adviser’s investment team have held senior positions at a number of investment firms, including the Legacy Funds, their track record and achievements are not necessarily indicative of future results that will be achieved by our investment adviser. We cannot assure you that we will be able to achieve the results realized by prior vehicles managed by our investment adviser’s investment team, including the Legacy Funds.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failure on our part to maintain our status as a BDC would reduce our operating flexibility.</w:t>
      </w:r>
    </w:p>
    <w:p>
      <w:pPr>
        <w:spacing w:after="0" w:line="189" w:lineRule="exact"/>
        <w:rPr>
          <w:sz w:val="20"/>
          <w:szCs w:val="20"/>
          <w:color w:val="auto"/>
        </w:rPr>
      </w:pPr>
    </w:p>
    <w:p>
      <w:pPr>
        <w:ind w:right="20" w:firstLine="543"/>
        <w:spacing w:after="0" w:line="255" w:lineRule="auto"/>
        <w:rPr>
          <w:sz w:val="20"/>
          <w:szCs w:val="20"/>
          <w:color w:val="auto"/>
        </w:rPr>
      </w:pPr>
      <w:r>
        <w:rPr>
          <w:rFonts w:ascii="Arial" w:cs="Arial" w:eastAsia="Arial" w:hAnsi="Arial"/>
          <w:sz w:val="15"/>
          <w:szCs w:val="15"/>
          <w:color w:val="auto"/>
        </w:rPr>
        <w:t>We have elected to be regulated as a BDC under the 1940 Act. The 1940 Act imposes numerous constraints on the operations of BDCs. For example, BDCs are required to invest at least 70% of their gross assets in specified types of securities, primarily in private companies or thinly traded U.S. public companies, cash, cash equivalents, U.S. government securities and other high quality debt investments that mature in one year or less. Furthermore, 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qualify, or maintain our qualification, as a BDC, we may be subject to the substantially greater regulation under the 1940 Act as a closed-end investment company. Compliance with such regulations would significantly decrease our operating flexibility and could significantly increase our costs of doing business.</w:t>
      </w:r>
    </w:p>
    <w:p>
      <w:pPr>
        <w:spacing w:after="0" w:line="165" w:lineRule="exact"/>
        <w:rPr>
          <w:sz w:val="20"/>
          <w:szCs w:val="20"/>
          <w:color w:val="auto"/>
        </w:rPr>
      </w:pPr>
    </w:p>
    <w:p>
      <w:pPr>
        <w:ind w:right="280"/>
        <w:spacing w:after="0" w:line="276" w:lineRule="auto"/>
        <w:rPr>
          <w:sz w:val="20"/>
          <w:szCs w:val="20"/>
          <w:color w:val="auto"/>
        </w:rPr>
      </w:pPr>
      <w:r>
        <w:rPr>
          <w:rFonts w:ascii="Arial" w:cs="Arial" w:eastAsia="Arial" w:hAnsi="Arial"/>
          <w:sz w:val="15"/>
          <w:szCs w:val="15"/>
          <w:b w:val="1"/>
          <w:bCs w:val="1"/>
          <w:i w:val="1"/>
          <w:iCs w:val="1"/>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46" w:lineRule="exact"/>
        <w:rPr>
          <w:sz w:val="20"/>
          <w:szCs w:val="20"/>
          <w:color w:val="auto"/>
        </w:rPr>
      </w:pPr>
    </w:p>
    <w:p>
      <w:pPr>
        <w:ind w:right="80" w:firstLine="543"/>
        <w:spacing w:after="0" w:line="274" w:lineRule="auto"/>
        <w:rPr>
          <w:sz w:val="20"/>
          <w:szCs w:val="20"/>
          <w:color w:val="auto"/>
        </w:rPr>
      </w:pPr>
      <w:r>
        <w:rPr>
          <w:rFonts w:ascii="Arial" w:cs="Arial" w:eastAsia="Arial" w:hAnsi="Arial"/>
          <w:sz w:val="14"/>
          <w:szCs w:val="14"/>
          <w:color w:val="auto"/>
        </w:rPr>
        <w:t>We may issue debt securities or preferred stock and/or borrow money from banks or other financial institutions, which we refer to collectively as “senior securities,” up to the maximum amount permitted by the 1940 Act. Under the provisions of the 1940 Act, we are permitted, as a BDC, to issue senior securities in amounts such that our asset coverage ratio, as defined in the 1940 Act, equals at least 200%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 As of December 31, 2013, we have approximately $202.2 million of outstanding debentures guaranteed by the SBA. 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32" w:name="page33"/>
    <w:bookmarkEnd w:id="32"/>
    <w:p>
      <w:pPr>
        <w:ind w:firstLine="543"/>
        <w:spacing w:after="0" w:line="256" w:lineRule="auto"/>
        <w:rPr>
          <w:sz w:val="20"/>
          <w:szCs w:val="20"/>
          <w:color w:val="auto"/>
        </w:rPr>
      </w:pPr>
      <w:r>
        <w:rPr>
          <w:rFonts w:ascii="Arial" w:cs="Arial" w:eastAsia="Arial" w:hAnsi="Arial"/>
          <w:sz w:val="15"/>
          <w:szCs w:val="15"/>
          <w:color w:val="auto"/>
        </w:rPr>
        <w:t>We generally may not issue and sell our common stock at a price below net asset value per share. We may, however, sell our common stock, or warrants, options or rights to acquire our common stock, at a price below the then-current net asset value per share of our common stock if our Board of Directors determines that such sale is in our best interests and in the best interests of our stockholders, and our stockholders approve such sale. In any such case, the price at which our securities are to be issued and sold may not be less than a price that, in the determination of our Board of Directors, closely approximates the market value of such securities (less any commission or discount). If we raise additional funds by issuing more common stock or senior securities convertible into, or exchangeable for, our common stock, then the percentage ownership of our stockholders at that time will decrease, and you may experience dilution.</w:t>
      </w:r>
    </w:p>
    <w:p>
      <w:pPr>
        <w:spacing w:after="0" w:line="163" w:lineRule="exact"/>
        <w:rPr>
          <w:sz w:val="20"/>
          <w:szCs w:val="20"/>
          <w:color w:val="auto"/>
        </w:rPr>
      </w:pPr>
    </w:p>
    <w:p>
      <w:pPr>
        <w:ind w:right="80"/>
        <w:spacing w:after="0" w:line="356" w:lineRule="auto"/>
        <w:rPr>
          <w:sz w:val="20"/>
          <w:szCs w:val="20"/>
          <w:color w:val="auto"/>
        </w:rPr>
      </w:pPr>
      <w:r>
        <w:rPr>
          <w:rFonts w:ascii="Arial" w:cs="Arial" w:eastAsia="Arial" w:hAnsi="Arial"/>
          <w:sz w:val="13"/>
          <w:szCs w:val="13"/>
          <w:b w:val="1"/>
          <w:bCs w:val="1"/>
          <w:i w:val="1"/>
          <w:iCs w:val="1"/>
          <w:color w:val="auto"/>
        </w:rPr>
        <w:t>We may borrow additional money, which would magnify the potential for gain or loss on amounts invested and may increase the risk of investing in us, and the calculation of our base management fee, which is based upon our gross assets, may have the effect of encouraging our investment adviser to utilize leverage when it may not be advisable to do so.</w:t>
      </w:r>
    </w:p>
    <w:p>
      <w:pPr>
        <w:spacing w:after="0" w:line="99" w:lineRule="exact"/>
        <w:rPr>
          <w:sz w:val="20"/>
          <w:szCs w:val="20"/>
          <w:color w:val="auto"/>
        </w:rPr>
      </w:pPr>
    </w:p>
    <w:p>
      <w:pPr>
        <w:ind w:firstLine="543"/>
        <w:spacing w:after="0" w:line="274" w:lineRule="auto"/>
        <w:rPr>
          <w:sz w:val="20"/>
          <w:szCs w:val="20"/>
          <w:color w:val="auto"/>
        </w:rPr>
      </w:pPr>
      <w:r>
        <w:rPr>
          <w:rFonts w:ascii="Arial" w:cs="Arial" w:eastAsia="Arial" w:hAnsi="Arial"/>
          <w:sz w:val="14"/>
          <w:szCs w:val="14"/>
          <w:color w:val="auto"/>
        </w:rPr>
        <w:t>The use of leverage magnifies the potential for gain or loss on amounts invested and, therefore, increases the risks associated with investing in our securities. In addition to the existing SBA-guaranteed debentures, we may borrow from and issue senior debt securities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 the value of our assets decreases, leverage would cause net asset value to decline more sharply than it otherwise would have had we not been leveraged. Similarly, any decrease in our income would cause net income to decline more sharply than it would have had we not borrowed. Such a decline could also negatively affect our ability to make distributions on our common stock. Leverage is generally considered a speculative investment technique. Our ability to service any debt that we incur will depend largely on our financial performance and will be subject to prevailing economic conditions and competitive pressures. Moreover, as the management fee payable to our investment adviser will be payable based on our gross assets, including those assets acquired through the use of leverage, our investment adviser will have a financial incentive to incur leverage that may not be consistent with our stockholders’ interests. In addition, our common stockholders will bear the burden of any increase in our expenses as a result of leverage, including any increase in the management fee payable to our investment adviser.</w:t>
      </w:r>
    </w:p>
    <w:p>
      <w:pPr>
        <w:spacing w:after="0" w:line="153" w:lineRule="exact"/>
        <w:rPr>
          <w:sz w:val="20"/>
          <w:szCs w:val="20"/>
          <w:color w:val="auto"/>
        </w:rPr>
      </w:pPr>
    </w:p>
    <w:p>
      <w:pPr>
        <w:ind w:right="80" w:firstLine="543"/>
        <w:spacing w:after="0" w:line="313" w:lineRule="auto"/>
        <w:rPr>
          <w:sz w:val="20"/>
          <w:szCs w:val="20"/>
          <w:color w:val="auto"/>
        </w:rPr>
      </w:pPr>
      <w:r>
        <w:rPr>
          <w:rFonts w:ascii="Arial" w:cs="Arial" w:eastAsia="Arial" w:hAnsi="Arial"/>
          <w:sz w:val="14"/>
          <w:szCs w:val="14"/>
          <w:color w:val="auto"/>
        </w:rPr>
        <w:t>It is also likely that any credit facility into which we may enter would impose financial and operating covenants that restrict our business activities, including limitations that could hinder our ability to finance additional loans and investments or to make the distributions required to maintain our status as a RIC under Subchapter M of the Code.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To the extent we borrow money to finance our investments, changes in interest rates will affect our cost of capital and net investment income.</w:t>
      </w:r>
    </w:p>
    <w:p>
      <w:pPr>
        <w:spacing w:after="0" w:line="189" w:lineRule="exact"/>
        <w:rPr>
          <w:sz w:val="20"/>
          <w:szCs w:val="20"/>
          <w:color w:val="auto"/>
        </w:rPr>
      </w:pPr>
    </w:p>
    <w:p>
      <w:pPr>
        <w:ind w:right="60" w:firstLine="543"/>
        <w:spacing w:after="0" w:line="277" w:lineRule="auto"/>
        <w:rPr>
          <w:sz w:val="20"/>
          <w:szCs w:val="20"/>
          <w:color w:val="auto"/>
        </w:rPr>
      </w:pPr>
      <w:r>
        <w:rPr>
          <w:rFonts w:ascii="Arial" w:cs="Arial" w:eastAsia="Arial" w:hAnsi="Arial"/>
          <w:sz w:val="14"/>
          <w:szCs w:val="14"/>
          <w:color w:val="auto"/>
        </w:rPr>
        <w:t>To the extent we borrow money to finance our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event we borrow money to finance our investments. In periods of rising interest rates, our cost of funds would increase, which could reduce our net investment income. We expect that our long-term fixed-rate investments will be financed primarily with equity and long-term debt. We may use interest rate risk management techniques in an effort to limit our exposure to interest rate fluctuations. Such techniques may include various interest rate hedging activities to the extent permitted by the 1940 Act. Our investment adviser does not have significant experience with utilizing these techniques and did not implement these techniques to any significant extent with our portfolio. If we do not implement these techniques properly, we could experience losses on our hedging positions, which could be material.</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disruption in the capital markets and the credit markets could impair our ability to raise capital and negatively affect our business.</w:t>
      </w:r>
    </w:p>
    <w:p>
      <w:pPr>
        <w:spacing w:after="0" w:line="189" w:lineRule="exact"/>
        <w:rPr>
          <w:sz w:val="20"/>
          <w:szCs w:val="20"/>
          <w:color w:val="auto"/>
        </w:rPr>
      </w:pPr>
    </w:p>
    <w:p>
      <w:pPr>
        <w:ind w:right="120" w:firstLine="543"/>
        <w:spacing w:after="0" w:line="276" w:lineRule="auto"/>
        <w:rPr>
          <w:sz w:val="20"/>
          <w:szCs w:val="20"/>
          <w:color w:val="auto"/>
        </w:rPr>
      </w:pPr>
      <w:r>
        <w:rPr>
          <w:rFonts w:ascii="Arial" w:cs="Arial" w:eastAsia="Arial" w:hAnsi="Arial"/>
          <w:sz w:val="15"/>
          <w:szCs w:val="15"/>
          <w:color w:val="auto"/>
        </w:rPr>
        <w:t>As a BDC, we have to maintain our ability to raise additional capital for investment purposes. Without sufficient access to the capital markets or credit markets, we may be forced to curtail our business operations or we may not be able to pursue new business opportunities.</w:t>
      </w:r>
    </w:p>
    <w:p>
      <w:pPr>
        <w:spacing w:after="0" w:line="146" w:lineRule="exact"/>
        <w:rPr>
          <w:sz w:val="20"/>
          <w:szCs w:val="20"/>
          <w:color w:val="auto"/>
        </w:rPr>
      </w:pPr>
    </w:p>
    <w:p>
      <w:pPr>
        <w:ind w:right="60" w:firstLine="543"/>
        <w:spacing w:after="0" w:line="276" w:lineRule="auto"/>
        <w:rPr>
          <w:sz w:val="20"/>
          <w:szCs w:val="20"/>
          <w:color w:val="auto"/>
        </w:rPr>
      </w:pPr>
      <w:r>
        <w:rPr>
          <w:rFonts w:ascii="Arial" w:cs="Arial" w:eastAsia="Arial" w:hAnsi="Arial"/>
          <w:sz w:val="14"/>
          <w:szCs w:val="14"/>
          <w:color w:val="auto"/>
        </w:rPr>
        <w:t>Since the middle of 2007, the capital markets and the credit markets have experienced periods of extreme volatility and disruption and, accordingly, there has been and may continue to be uncertainty in the financial markets in general. Continuing U.S. debt ceiling and budget deficit concerns, including automatic spending cuts stemming from sequestration, together with deteriorating sovereign debt conditions in Europe, have increased the possibility of additional credit-rating downgrades and economic slowdowns, or a recession in the United States. The impact of this or any further downgrades to the U.S. government’s sovereign credit rating or its perceived creditworthiness could adversely affect the U.S. and global financial markets and economic conditions. These developments, along with the European sovereign debt crisis, could cause interest rates and borrowing costs to rise, which may negatively impact our ability to access the debt markets on favorable terms. Continued adverse economic conditions could have a material adverse effect on our business, financial condition and results of operations. Any further disruptive conditions in the financial industry and the impact of new legislation in response to those conditions could restrict our business operations and could adversely impact our results of operations and financial condition.</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00"/>
          </w:cols>
          <w:pgMar w:left="240" w:top="762" w:right="259" w:bottom="1440" w:gutter="0" w:footer="0" w:header="0"/>
        </w:sectPr>
      </w:pPr>
    </w:p>
    <w:bookmarkStart w:id="33" w:name="page34"/>
    <w:bookmarkEnd w:id="33"/>
    <w:p>
      <w:pPr>
        <w:jc w:val="both"/>
        <w:ind w:right="100" w:firstLine="543"/>
        <w:spacing w:after="0" w:line="260" w:lineRule="auto"/>
        <w:rPr>
          <w:sz w:val="20"/>
          <w:szCs w:val="20"/>
          <w:color w:val="auto"/>
        </w:rPr>
      </w:pPr>
      <w:r>
        <w:rPr>
          <w:rFonts w:ascii="Arial" w:cs="Arial" w:eastAsia="Arial" w:hAnsi="Arial"/>
          <w:sz w:val="15"/>
          <w:szCs w:val="15"/>
          <w:color w:val="auto"/>
        </w:rPr>
        <w:t>If the fair value of our assets declines substantially, we may fail to maintain the asset coverage ratios imposed upon us by the 1940 Act. Any such failure would affect our ability to issue senior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157" w:lineRule="exact"/>
        <w:rPr>
          <w:sz w:val="20"/>
          <w:szCs w:val="20"/>
          <w:color w:val="auto"/>
        </w:rPr>
      </w:pPr>
    </w:p>
    <w:p>
      <w:pPr>
        <w:ind w:right="180" w:firstLine="543"/>
        <w:spacing w:after="0" w:line="306" w:lineRule="auto"/>
        <w:rPr>
          <w:sz w:val="20"/>
          <w:szCs w:val="20"/>
          <w:color w:val="auto"/>
        </w:rPr>
      </w:pPr>
      <w:r>
        <w:rPr>
          <w:rFonts w:ascii="Arial" w:cs="Arial" w:eastAsia="Arial" w:hAnsi="Arial"/>
          <w:sz w:val="13"/>
          <w:szCs w:val="13"/>
          <w:color w:val="auto"/>
        </w:rPr>
        <w:t>We have fully drawn on our SBA-guaranteed debentures and, absent changes to legislation or regulation, may not make borrowings in excess of their aggregate $202.2 million of SBA-guaranteed debentures outstanding as of December 31, 2013. If we are unable to secure additional debt financing on commercially reasonable terms, our liquidity could be reduced significantly. If we are unable to repay amounts outstanding under any debt facilities we may obtain and are declared in default or are unable to renew or refinance these facilities, we may not be able to operate our business in the normal course. These situations may arise due to circumstances that we may be unable to control, such as lack of access to the credit markets, a severe decline in the value of the U.S. dollar, another economic downturn or an operational problem that affects third parties or us, and could materially damage our business.</w:t>
      </w:r>
    </w:p>
    <w:p>
      <w:pPr>
        <w:spacing w:after="0" w:line="133" w:lineRule="exact"/>
        <w:rPr>
          <w:sz w:val="20"/>
          <w:szCs w:val="20"/>
          <w:color w:val="auto"/>
        </w:rPr>
      </w:pPr>
    </w:p>
    <w:p>
      <w:pPr>
        <w:jc w:val="both"/>
        <w:ind w:right="80" w:firstLine="543"/>
        <w:spacing w:after="0" w:line="264" w:lineRule="auto"/>
        <w:rPr>
          <w:sz w:val="20"/>
          <w:szCs w:val="20"/>
          <w:color w:val="auto"/>
        </w:rPr>
      </w:pPr>
      <w:r>
        <w:rPr>
          <w:rFonts w:ascii="Arial" w:cs="Arial" w:eastAsia="Arial" w:hAnsi="Arial"/>
          <w:sz w:val="15"/>
          <w:szCs w:val="15"/>
          <w:color w:val="auto"/>
        </w:rPr>
        <w:t>You should also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adviser with respect to our pre-incentive fee net investment income.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experience fluctuations in our quarterly and annual results.</w:t>
      </w:r>
    </w:p>
    <w:p>
      <w:pPr>
        <w:spacing w:after="0" w:line="189" w:lineRule="exact"/>
        <w:rPr>
          <w:sz w:val="20"/>
          <w:szCs w:val="20"/>
          <w:color w:val="auto"/>
        </w:rPr>
      </w:pPr>
    </w:p>
    <w:p>
      <w:pPr>
        <w:ind w:right="60" w:firstLine="543"/>
        <w:spacing w:after="0" w:line="256" w:lineRule="auto"/>
        <w:rPr>
          <w:sz w:val="20"/>
          <w:szCs w:val="20"/>
          <w:color w:val="auto"/>
        </w:rPr>
      </w:pPr>
      <w:r>
        <w:rPr>
          <w:rFonts w:ascii="Arial" w:cs="Arial" w:eastAsia="Arial" w:hAnsi="Arial"/>
          <w:sz w:val="15"/>
          <w:szCs w:val="15"/>
          <w:color w:val="auto"/>
        </w:rPr>
        <w:t>We may experience fluctuations in our quarterly and annual operating results due to a number of factors, including our ability or inability to make investments in companies that meet our investment criteria, any sales, dispositions or liquidity events of our portfolio companies,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Given that the portfolio is concentrated, distributions, dispositions or liquidity events affecting a portfolio company in which we own a significant position may adversely affect our net asset value and results of operations. As a result of these factors, results for any period should not be relied upon as being indicative of performance in future periods.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Board of Directors may change our investment objective, operating policies and strategies without prior notice or stockholder approval, the effects of which may be adverse.</w:t>
      </w:r>
    </w:p>
    <w:p>
      <w:pPr>
        <w:spacing w:after="0" w:line="212" w:lineRule="exact"/>
        <w:rPr>
          <w:sz w:val="20"/>
          <w:szCs w:val="20"/>
          <w:color w:val="auto"/>
        </w:rPr>
      </w:pPr>
    </w:p>
    <w:p>
      <w:pPr>
        <w:ind w:right="220" w:firstLine="543"/>
        <w:spacing w:after="0" w:line="323" w:lineRule="auto"/>
        <w:rPr>
          <w:sz w:val="20"/>
          <w:szCs w:val="20"/>
          <w:color w:val="auto"/>
        </w:rPr>
      </w:pPr>
      <w:r>
        <w:rPr>
          <w:rFonts w:ascii="Arial" w:cs="Arial" w:eastAsia="Arial" w:hAnsi="Arial"/>
          <w:sz w:val="13"/>
          <w:szCs w:val="13"/>
          <w:color w:val="auto"/>
        </w:rPr>
        <w:t>Our Board of Directors has the authority to modify or waive our investment objective,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make distributions and cause you to lose all or part of your investment.</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be subject to corporate-level income tax if we are unable to qualify as a RIC.</w:t>
      </w:r>
    </w:p>
    <w:p>
      <w:pPr>
        <w:spacing w:after="0" w:line="189" w:lineRule="exact"/>
        <w:rPr>
          <w:sz w:val="20"/>
          <w:szCs w:val="20"/>
          <w:color w:val="auto"/>
        </w:rPr>
      </w:pPr>
    </w:p>
    <w:p>
      <w:pPr>
        <w:ind w:firstLine="543"/>
        <w:spacing w:after="0" w:line="313" w:lineRule="auto"/>
        <w:rPr>
          <w:sz w:val="20"/>
          <w:szCs w:val="20"/>
          <w:color w:val="auto"/>
        </w:rPr>
      </w:pPr>
      <w:r>
        <w:rPr>
          <w:rFonts w:ascii="Arial" w:cs="Arial" w:eastAsia="Arial" w:hAnsi="Arial"/>
          <w:sz w:val="14"/>
          <w:szCs w:val="14"/>
          <w:color w:val="auto"/>
        </w:rPr>
        <w:t>Although we intend to elect to be treated as a RIC commencing with our tax year ending August 31, 2014, no assurance can be given that we will be able to qualify for and maintain our qualification as a RIC. To obtain and maintain our qualification as a RIC, we must meet the following source-of-asset diversification, and distribution requirements.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income source requirement will be satisfied if we obtain at least 90% of our income for each year from dividends, interest, gains from the sale of stock or securities or similar</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sources.</w:t>
      </w:r>
    </w:p>
    <w:p>
      <w:pPr>
        <w:spacing w:after="0" w:line="180" w:lineRule="exact"/>
        <w:rPr>
          <w:sz w:val="20"/>
          <w:szCs w:val="20"/>
          <w:color w:val="auto"/>
        </w:rPr>
      </w:pPr>
    </w:p>
    <w:p>
      <w:pPr>
        <w:ind w:right="20" w:firstLine="543"/>
        <w:spacing w:after="0" w:line="255" w:lineRule="auto"/>
        <w:rPr>
          <w:sz w:val="20"/>
          <w:szCs w:val="20"/>
          <w:color w:val="auto"/>
        </w:rPr>
      </w:pPr>
      <w:r>
        <w:rPr>
          <w:rFonts w:ascii="Arial" w:cs="Arial" w:eastAsia="Arial" w:hAnsi="Arial"/>
          <w:sz w:val="15"/>
          <w:szCs w:val="15"/>
          <w:color w:val="auto"/>
        </w:rPr>
        <w:t>The asset diversification requirement will be satisfied if we meet certain asset diversification requirements at the end of each quarter of our taxable year. Failure to meet those requirements may result in our having to dispose of certain investments quickly in order to prevent the loss of our qualification as a RIC. Because most of our investments will be in private companies, and therefore will be relatively illiquid, any such dispositions could be made at disadvantageous prices and could result in substantial losses. The annual distribution requirement for a RIC will be satisfied if we distribute to our stockholders on an annual basis at least 90% of our net ordinary income and net short-term capital gains in excess of our net long-term capital losses, if any. Because we may use debt financing, we are subject to certain asset coverage ratio requirements under the 1940 Act, as well as future financial covenants under loan and credit agreements that could, under certain circumstances, restrict us from making distributions necessary to satisfy the distribution requirement. If we are unable to obtain cash from other sources, we could fail to qualify as a RIC.</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62" w:right="219" w:bottom="1440" w:gutter="0" w:footer="0" w:header="0"/>
        </w:sectPr>
      </w:pPr>
    </w:p>
    <w:bookmarkStart w:id="34" w:name="page35"/>
    <w:bookmarkEnd w:id="34"/>
    <w:p>
      <w:pPr>
        <w:ind w:right="340" w:firstLine="543"/>
        <w:spacing w:after="0" w:line="276" w:lineRule="auto"/>
        <w:rPr>
          <w:sz w:val="20"/>
          <w:szCs w:val="20"/>
          <w:color w:val="auto"/>
        </w:rPr>
      </w:pPr>
      <w:r>
        <w:rPr>
          <w:rFonts w:ascii="Arial" w:cs="Arial" w:eastAsia="Arial" w:hAnsi="Arial"/>
          <w:sz w:val="15"/>
          <w:szCs w:val="15"/>
          <w:color w:val="auto"/>
        </w:rPr>
        <w:t>If we fail to qualify for RIC tax treatment for any reason and remain or become subject to corporate income tax, the resulting corporate taxes could substantially reduce our net assets, the amount of income available for distribution and the amount of our distributions.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pay you distributions, our distributions may not grow over time and a portion of our distributions may be a return of capital.</w:t>
      </w:r>
    </w:p>
    <w:p>
      <w:pPr>
        <w:spacing w:after="0" w:line="189" w:lineRule="exact"/>
        <w:rPr>
          <w:sz w:val="20"/>
          <w:szCs w:val="20"/>
          <w:color w:val="auto"/>
        </w:rPr>
      </w:pPr>
    </w:p>
    <w:p>
      <w:pPr>
        <w:ind w:firstLine="543"/>
        <w:spacing w:after="0" w:line="277" w:lineRule="auto"/>
        <w:rPr>
          <w:sz w:val="20"/>
          <w:szCs w:val="20"/>
          <w:color w:val="auto"/>
        </w:rPr>
      </w:pPr>
      <w:r>
        <w:rPr>
          <w:rFonts w:ascii="Arial" w:cs="Arial" w:eastAsia="Arial" w:hAnsi="Arial"/>
          <w:sz w:val="14"/>
          <w:szCs w:val="14"/>
          <w:color w:val="auto"/>
        </w:rPr>
        <w:t>We intend to pay distributions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can limit our ability to pay distributions. All distributions will be paid at the discretion of our Board of Directors and will depend on our earnings, our financial condition, maintenance of our RIC status, compliance with applicable BDC regulations and such other factors as our Board of Directors may deem relevant from time to time. We cannot assure you that we will pay distributions to our stockholders in the future. In the event we liquidate or dispose of a significant equity position in our portfolio, we may distribute a special dividend relating to the realized capital gains from such investment in order to minimize to the greatest extent possible our federal income or excise tax liability.</w:t>
      </w:r>
    </w:p>
    <w:p>
      <w:pPr>
        <w:spacing w:after="0" w:line="147" w:lineRule="exact"/>
        <w:rPr>
          <w:sz w:val="20"/>
          <w:szCs w:val="20"/>
          <w:color w:val="auto"/>
        </w:rPr>
      </w:pPr>
    </w:p>
    <w:p>
      <w:pPr>
        <w:ind w:right="120" w:firstLine="543"/>
        <w:spacing w:after="0" w:line="284" w:lineRule="auto"/>
        <w:rPr>
          <w:sz w:val="20"/>
          <w:szCs w:val="20"/>
          <w:color w:val="auto"/>
        </w:rPr>
      </w:pPr>
      <w:r>
        <w:rPr>
          <w:rFonts w:ascii="Arial" w:cs="Arial" w:eastAsia="Arial" w:hAnsi="Arial"/>
          <w:sz w:val="14"/>
          <w:szCs w:val="14"/>
          <w:color w:val="auto"/>
        </w:rPr>
        <w:t>When we make distributions, we will be required to determine the extent to which such distributions are paid out of current or accumulated earnings and profits. Distributions in excess of current and accumulated earnings and profits will be treated as a non-taxable return of capital, which is a return of a portion of a shareholder’s original investment in our common stock, to the extent of an investor’s basis in our stock and, assuming that an investor holds our stock as a capital asset, thereafter as a capital gain. Generally, a non-taxable return of capital will reduce an investor’s basis in our stock for federal tax purposes, which will result in higher tax liability when the stock is sold.</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have difficulty paying our required distributions if we recognize income before or without receiving cash representing such income.</w:t>
      </w:r>
    </w:p>
    <w:p>
      <w:pPr>
        <w:spacing w:after="0" w:line="189" w:lineRule="exact"/>
        <w:rPr>
          <w:sz w:val="20"/>
          <w:szCs w:val="20"/>
          <w:color w:val="auto"/>
        </w:rPr>
      </w:pPr>
    </w:p>
    <w:p>
      <w:pPr>
        <w:ind w:right="40" w:firstLine="543"/>
        <w:spacing w:after="0" w:line="260" w:lineRule="auto"/>
        <w:rPr>
          <w:sz w:val="20"/>
          <w:szCs w:val="20"/>
          <w:color w:val="auto"/>
        </w:rPr>
      </w:pPr>
      <w:r>
        <w:rPr>
          <w:rFonts w:ascii="Arial" w:cs="Arial" w:eastAsia="Arial" w:hAnsi="Arial"/>
          <w:sz w:val="15"/>
          <w:szCs w:val="15"/>
          <w:color w:val="auto"/>
        </w:rPr>
        <w:t>For U.S. federal income tax purposes, we include in our taxable income certain amounts that we have not yet received in cash, such as PIK interest or original issue discount, which may arise if we receive warrants in connection with the origination of a loan or possibly in other circumstances. Such original issue discount or increases in loan balances as a result of contractual PIK arrangements are included in our taxable income before we receive any corresponding cash payments. We also may be required to include in our taxable income certain other amounts that we will not receive in cash.</w:t>
      </w:r>
    </w:p>
    <w:p>
      <w:pPr>
        <w:spacing w:after="0" w:line="157" w:lineRule="exact"/>
        <w:rPr>
          <w:sz w:val="20"/>
          <w:szCs w:val="20"/>
          <w:color w:val="auto"/>
        </w:rPr>
      </w:pPr>
    </w:p>
    <w:p>
      <w:pPr>
        <w:ind w:right="40" w:firstLine="543"/>
        <w:spacing w:after="0" w:line="260" w:lineRule="auto"/>
        <w:rPr>
          <w:sz w:val="20"/>
          <w:szCs w:val="20"/>
          <w:color w:val="auto"/>
        </w:rPr>
      </w:pPr>
      <w:r>
        <w:rPr>
          <w:rFonts w:ascii="Arial" w:cs="Arial" w:eastAsia="Arial" w:hAnsi="Arial"/>
          <w:sz w:val="15"/>
          <w:szCs w:val="15"/>
          <w:color w:val="auto"/>
        </w:rPr>
        <w:t>Since, in certain cases, we may recognize taxable income before or without receiving corresponding cash payments, we may have difficulty meeting the annual distribution requirement necessary to maintain our qualification as a RIC. Accordingly, to satisfy our RIC distribution requirements, we may have to sell some of our investments at times and/or at prices we would not consider advantageous, raise additional debt or equity capital or forgo new investment opportunities. If we are not able to obtain cash from other sources, we may fail to qualify as a RIC and thus become subject to corporate-level income tax.</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investment adviser is not obligated to reimburse us for any part of the incentive fee it receives that is based on accrued income that we never receive.</w:t>
      </w:r>
    </w:p>
    <w:p>
      <w:pPr>
        <w:spacing w:after="0" w:line="189" w:lineRule="exact"/>
        <w:rPr>
          <w:sz w:val="20"/>
          <w:szCs w:val="20"/>
          <w:color w:val="auto"/>
        </w:rPr>
      </w:pPr>
    </w:p>
    <w:p>
      <w:pPr>
        <w:ind w:right="200" w:firstLine="543"/>
        <w:spacing w:after="0" w:line="258" w:lineRule="auto"/>
        <w:rPr>
          <w:sz w:val="20"/>
          <w:szCs w:val="20"/>
          <w:color w:val="auto"/>
        </w:rPr>
      </w:pPr>
      <w:r>
        <w:rPr>
          <w:rFonts w:ascii="Arial" w:cs="Arial" w:eastAsia="Arial" w:hAnsi="Arial"/>
          <w:sz w:val="15"/>
          <w:szCs w:val="15"/>
          <w:color w:val="auto"/>
        </w:rPr>
        <w:t>Part of the incentive fee payable by us to our investment adviser that relates to our net investment income is computed and paid on income that may include interest that has been accrued but not yet received in cash, such as market discount, debt instruments with PIK interest, preferred stock with PIK dividends and zero coupon securities. If a portfolio company defaults on a loan that is structured to provide accrued interest, it is possible that accrued interest previously used in the calculation of the incentive fee will become uncollectible. Our investment adviser will not be under any obligation to reimburse us for any part of the incentive fee it received that was based on accrued income that we never receive as a result of a default by an entity on the obligation that resulted in the accrual of such income.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62" w:right="21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i w:val="1"/>
          <w:iCs w:val="1"/>
          <w:color w:val="auto"/>
        </w:rPr>
        <w:t>We may in the future choose to pay dividends in our own stock, in which case you may be required to pay tax in excess of the cash you receive.</w:t>
      </w:r>
    </w:p>
    <w:p>
      <w:pPr>
        <w:spacing w:after="0" w:line="189" w:lineRule="exact"/>
        <w:rPr>
          <w:sz w:val="20"/>
          <w:szCs w:val="20"/>
          <w:color w:val="auto"/>
        </w:rPr>
      </w:pPr>
    </w:p>
    <w:p>
      <w:pPr>
        <w:ind w:firstLine="543"/>
        <w:spacing w:after="0" w:line="296" w:lineRule="auto"/>
        <w:rPr>
          <w:sz w:val="20"/>
          <w:szCs w:val="20"/>
          <w:color w:val="auto"/>
        </w:rPr>
      </w:pPr>
      <w:r>
        <w:rPr>
          <w:rFonts w:ascii="Arial" w:cs="Arial" w:eastAsia="Arial" w:hAnsi="Arial"/>
          <w:sz w:val="13"/>
          <w:szCs w:val="13"/>
          <w:color w:val="auto"/>
        </w:rPr>
        <w:t>We may distribute taxable dividends that are payable in part in our stock. In accordance with certain applicable Treasury regulations and private letter rulings issued by the Internal Revenue Service (“IRS”), a RIC may treat a distribution of its own stock as fulfilling the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cash, each stockholder electing to receive cash must receive a pro rata amount of cash (with the balance of the distribution paid in stock). In no event will any stockholder, electing to receive cash, receive less than 20% of his or her entire distribution in cash. If these and certain other requirements are met, for U.S. federal income tax purposes, the amount of the dividend paid in stock will be equal to the amount of cash that could have been received instead of stock. Taxable stockholders receiving such dividends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140" w:lineRule="exact"/>
        <w:rPr>
          <w:sz w:val="20"/>
          <w:szCs w:val="20"/>
          <w:color w:val="auto"/>
        </w:rPr>
      </w:pPr>
    </w:p>
    <w:p>
      <w:pPr>
        <w:ind w:right="600"/>
        <w:spacing w:after="0" w:line="356" w:lineRule="auto"/>
        <w:rPr>
          <w:sz w:val="20"/>
          <w:szCs w:val="20"/>
          <w:color w:val="auto"/>
        </w:rPr>
      </w:pPr>
      <w:r>
        <w:rPr>
          <w:rFonts w:ascii="Arial" w:cs="Arial" w:eastAsia="Arial" w:hAnsi="Arial"/>
          <w:sz w:val="13"/>
          <w:szCs w:val="13"/>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99" w:lineRule="exact"/>
        <w:rPr>
          <w:sz w:val="20"/>
          <w:szCs w:val="20"/>
          <w:color w:val="auto"/>
        </w:rPr>
      </w:pPr>
    </w:p>
    <w:p>
      <w:pPr>
        <w:ind w:right="280" w:firstLine="543"/>
        <w:spacing w:after="0" w:line="303" w:lineRule="auto"/>
        <w:rPr>
          <w:sz w:val="20"/>
          <w:szCs w:val="20"/>
          <w:color w:val="auto"/>
        </w:rPr>
      </w:pPr>
      <w:r>
        <w:rPr>
          <w:rFonts w:ascii="Arial" w:cs="Arial" w:eastAsia="Arial" w:hAnsi="Arial"/>
          <w:sz w:val="13"/>
          <w:szCs w:val="13"/>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(the “Sarbanes-Oxley Act”), or the subsequent testing by our independent registered public accounting firm (when undertaken, as noted below),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34" w:lineRule="exact"/>
        <w:rPr>
          <w:sz w:val="20"/>
          <w:szCs w:val="20"/>
          <w:color w:val="auto"/>
        </w:rPr>
      </w:pPr>
    </w:p>
    <w:p>
      <w:pPr>
        <w:ind w:right="40" w:firstLine="543"/>
        <w:spacing w:after="0" w:line="275" w:lineRule="auto"/>
        <w:rPr>
          <w:sz w:val="20"/>
          <w:szCs w:val="20"/>
          <w:color w:val="auto"/>
        </w:rPr>
      </w:pPr>
      <w:r>
        <w:rPr>
          <w:rFonts w:ascii="Arial" w:cs="Arial" w:eastAsia="Arial" w:hAnsi="Arial"/>
          <w:sz w:val="14"/>
          <w:szCs w:val="14"/>
          <w:color w:val="auto"/>
        </w:rPr>
        <w:t>We are required to disclose changes made in our internal control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 over financial reporting pursuant to Section 404 of the Sarbanes-Oxley Act.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As a public company, we may incur significant additional expenses in the near term, which may negatively impact our financial performance and our ability to make distributions to our stockholders. This process also will result in a diversion of management’s time and attention. We cannot be certain as to the timing of completion of any evaluation, testing and remediation actions or the impact of the same on our operations, and we may not be able to ensure that the process is effective or that our internal controls over financial reporting are or will be effective in a timely manner. In the event that we are unable to maintain or achieve compliance with Section 404 of the Sarbanes-Oxley Act and related rules, the market price of our common stock may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status as an “emerging growth company” under the JOBS Act may make it more difficult to raise capital as and when we need it.</w:t>
      </w:r>
    </w:p>
    <w:p>
      <w:pPr>
        <w:spacing w:after="0" w:line="189" w:lineRule="exact"/>
        <w:rPr>
          <w:sz w:val="20"/>
          <w:szCs w:val="20"/>
          <w:color w:val="auto"/>
        </w:rPr>
      </w:pPr>
    </w:p>
    <w:p>
      <w:pPr>
        <w:ind w:right="40" w:firstLine="543"/>
        <w:spacing w:after="0" w:line="284" w:lineRule="auto"/>
        <w:rPr>
          <w:sz w:val="20"/>
          <w:szCs w:val="20"/>
          <w:color w:val="auto"/>
        </w:rPr>
      </w:pPr>
      <w:r>
        <w:rPr>
          <w:rFonts w:ascii="Arial" w:cs="Arial" w:eastAsia="Arial" w:hAnsi="Arial"/>
          <w:sz w:val="14"/>
          <w:szCs w:val="14"/>
          <w:color w:val="auto"/>
        </w:rPr>
        <w:t>Because of the exemptions from various reporting requirements provided to us as an “emerging growth company” under the JOBS Act and because we will have an extended transition period for complying with new or revised financial accounting standards, we may be less attractive to investors and it may be difficult for us to raise additional capital as and when we need it. Investors may be unable to compare our business with other companies in our industry if they believe that our financial accounting is not as transparent as other companies in our industry. If we are unable to raise additional capital as and when we need it, our financial condition and results of operations may be materially and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Pending legislation may allow us to incur additional leverage.</w:t>
      </w:r>
    </w:p>
    <w:p>
      <w:pPr>
        <w:spacing w:after="0" w:line="189" w:lineRule="exact"/>
        <w:rPr>
          <w:sz w:val="20"/>
          <w:szCs w:val="20"/>
          <w:color w:val="auto"/>
        </w:rPr>
      </w:pPr>
    </w:p>
    <w:p>
      <w:pPr>
        <w:ind w:right="20" w:firstLine="543"/>
        <w:spacing w:after="0" w:line="258" w:lineRule="auto"/>
        <w:rPr>
          <w:sz w:val="20"/>
          <w:szCs w:val="20"/>
          <w:color w:val="auto"/>
        </w:rPr>
      </w:pPr>
      <w:r>
        <w:rPr>
          <w:rFonts w:ascii="Arial" w:cs="Arial" w:eastAsia="Arial" w:hAnsi="Arial"/>
          <w:sz w:val="15"/>
          <w:szCs w:val="15"/>
          <w:color w:val="auto"/>
        </w:rPr>
        <w:t>Under the 1940 Act, a BDC generally will not be permitted to incur indebtedness unless immediately after such borrowing the BDC has an asset coverage for total borrowings of at least 200% (i.e., the amount of debt may not exceed 50% of the value of total assets). Legislation introduced in the U.S. House of Representatives in 2012, if passed, would modify this section of the 1940 Act and increase the amount of debt that BDCs may incur by modifying the percentage from 200% to 150%. In addition, recent legislation introduced in the U.S. Senate would modify SBA regulations in a manner that may permit us to incur additional SBA guaranteed-indebtness. As a result, we may be able to incur additional indebtedness in the future, and therefore your risk of an investment in us may increase.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62" w:right="21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i w:val="1"/>
          <w:iCs w:val="1"/>
          <w:color w:val="auto"/>
        </w:rPr>
        <w:t>Changes in laws or regulations governing our operations may adversely affect our business or cause us to alter our business strategy.</w:t>
      </w:r>
    </w:p>
    <w:p>
      <w:pPr>
        <w:spacing w:after="0" w:line="189" w:lineRule="exact"/>
        <w:rPr>
          <w:sz w:val="20"/>
          <w:szCs w:val="20"/>
          <w:color w:val="auto"/>
        </w:rPr>
      </w:pPr>
    </w:p>
    <w:p>
      <w:pPr>
        <w:ind w:right="60" w:firstLine="543"/>
        <w:spacing w:after="0" w:line="301" w:lineRule="auto"/>
        <w:rPr>
          <w:sz w:val="20"/>
          <w:szCs w:val="20"/>
          <w:color w:val="auto"/>
        </w:rPr>
      </w:pPr>
      <w:r>
        <w:rPr>
          <w:rFonts w:ascii="Arial" w:cs="Arial" w:eastAsia="Arial" w:hAnsi="Arial"/>
          <w:sz w:val="13"/>
          <w:szCs w:val="13"/>
          <w:color w:val="auto"/>
        </w:rPr>
        <w:t>We and our portfolio companies will be subject to applicable local, state and federal laws and regulations. New legislation may be enacted or new interpretations, rulings or regulations could be adopted, including those governing the types of investments we are permitted to make, any of which could harm us and our stockholders, potentially with retroactive effect. 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investment adviser’s investment team to other types of investments in which the investment team may have less expertise or little or no experience. Thus, any such changes, if they occur, could have a material adverse effect on our results of operations and the value of your investment. In addition, any change to the SBA’s current Debenture SBIC program could have a significant impact on our ability to obtain lower-cost financing and, therefore, our competitive advantage over other finance companies.</w:t>
      </w:r>
    </w:p>
    <w:p>
      <w:pPr>
        <w:spacing w:after="0" w:line="135" w:lineRule="exact"/>
        <w:rPr>
          <w:sz w:val="20"/>
          <w:szCs w:val="20"/>
          <w:color w:val="auto"/>
        </w:rPr>
      </w:pPr>
    </w:p>
    <w:p>
      <w:pPr>
        <w:ind w:right="120" w:firstLine="543"/>
        <w:spacing w:after="0" w:line="260" w:lineRule="auto"/>
        <w:rPr>
          <w:sz w:val="20"/>
          <w:szCs w:val="20"/>
          <w:color w:val="auto"/>
        </w:rPr>
      </w:pPr>
      <w:r>
        <w:rPr>
          <w:rFonts w:ascii="Arial" w:cs="Arial" w:eastAsia="Arial" w:hAnsi="Arial"/>
          <w:sz w:val="15"/>
          <w:szCs w:val="15"/>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Two of our wholly owned subsidiaries are licensed by the U.S. Small Business Administration, and as a result, we are subject to SBA regulations.</w:t>
      </w:r>
    </w:p>
    <w:p>
      <w:pPr>
        <w:spacing w:after="0" w:line="189" w:lineRule="exact"/>
        <w:rPr>
          <w:sz w:val="20"/>
          <w:szCs w:val="20"/>
          <w:color w:val="auto"/>
        </w:rPr>
      </w:pPr>
    </w:p>
    <w:p>
      <w:pPr>
        <w:ind w:right="100" w:firstLine="543"/>
        <w:spacing w:after="0" w:line="284" w:lineRule="auto"/>
        <w:rPr>
          <w:sz w:val="20"/>
          <w:szCs w:val="20"/>
          <w:color w:val="auto"/>
        </w:rPr>
      </w:pPr>
      <w:r>
        <w:rPr>
          <w:rFonts w:ascii="Arial" w:cs="Arial" w:eastAsia="Arial" w:hAnsi="Arial"/>
          <w:sz w:val="14"/>
          <w:szCs w:val="14"/>
          <w:color w:val="auto"/>
        </w:rPr>
        <w:t>Fund II and Fund III, which became our wholly owned subsidiaries after the completion of the Formation Transactions, are licensed to act as SBICs and are regulated by the SBA. As of December 31, 2013, Fund II and Fund III portfolio companies accounted for most of our aggregate portfolio. The SBIC licenses allow our SBIC subsidiaries to borrow funds by issuing SBA-guaranteed debentures, subject to the issuance of a capital commitment by the SBA and other customary procedures. The SBA regulations require, among other things, that a licensed SBIC be examined periodically and audited by an independent auditor to determine the SBIC’s compliance with the relevant SBA regulations.</w:t>
      </w:r>
    </w:p>
    <w:p>
      <w:pPr>
        <w:spacing w:after="0" w:line="143" w:lineRule="exact"/>
        <w:rPr>
          <w:sz w:val="20"/>
          <w:szCs w:val="20"/>
          <w:color w:val="auto"/>
        </w:rPr>
      </w:pPr>
    </w:p>
    <w:p>
      <w:pPr>
        <w:ind w:firstLine="543"/>
        <w:spacing w:after="0" w:line="255" w:lineRule="auto"/>
        <w:rPr>
          <w:sz w:val="20"/>
          <w:szCs w:val="20"/>
          <w:color w:val="auto"/>
        </w:rPr>
      </w:pPr>
      <w:r>
        <w:rPr>
          <w:rFonts w:ascii="Arial" w:cs="Arial" w:eastAsia="Arial" w:hAnsi="Arial"/>
          <w:sz w:val="15"/>
          <w:szCs w:val="15"/>
          <w:color w:val="auto"/>
        </w:rPr>
        <w:t>Under current SBA regulations, a licensed SBIC may provide capital to those entities that have a tangible net worth not exceeding $18.0 million and an average annual net income after federal income taxes not exceeding $6.0 million for the two most recent fiscal years. In addition, a licensed SBIC must devote 25.0% of its investment activity to those entities that have a tangible net worth not exceeding $6.0 million and an average annual net income after federal income taxes not exceeding $2.0 million for the two most recent fiscal years. The SBA regulations also provide alternative size standard criteria to determine eligibility, which depend on the industry in which the business is engaged and are based on factors such as the number of employees and gross sales. The SBA regulations permit licensed SBICs to make long term loans to small 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a few prohibited industries. Compliance with SBA requirements may cause a Legacy Fund to forego attractive investment opportunities that are not permitted under SBA regulations.</w:t>
      </w:r>
    </w:p>
    <w:p>
      <w:pPr>
        <w:spacing w:after="0" w:line="163" w:lineRule="exact"/>
        <w:rPr>
          <w:sz w:val="20"/>
          <w:szCs w:val="20"/>
          <w:color w:val="auto"/>
        </w:rPr>
      </w:pPr>
    </w:p>
    <w:p>
      <w:pPr>
        <w:ind w:right="20" w:firstLine="543"/>
        <w:spacing w:after="0" w:line="280" w:lineRule="auto"/>
        <w:rPr>
          <w:sz w:val="20"/>
          <w:szCs w:val="20"/>
          <w:color w:val="auto"/>
        </w:rPr>
      </w:pPr>
      <w:r>
        <w:rPr>
          <w:rFonts w:ascii="Arial" w:cs="Arial" w:eastAsia="Arial" w:hAnsi="Arial"/>
          <w:sz w:val="14"/>
          <w:szCs w:val="14"/>
          <w:color w:val="auto"/>
        </w:rPr>
        <w:t>The SBA also prohibits, without prior SBA approval, a “change of control” of an SBIC or transfers that would result in any person (or a group of persons acting in concert) owning 10.0% or more of a class of capital stock of a licensed SBIC. If Fund II or Fund III fails to comply with applicable SBA regulations, the SBA could, depending on the severity of the violation, limit or prohibit such Fund’s use of debentures, declare outstanding debentures immediately due and payable, and/ or limit such Fund from making new investments. Such actions by the SBA would, in turn, negatively affect us because Fund II and Fund III are our wholly owned subsidiaries. Each of Fund II and Fund III was in compliance with the terms of the SBA’s leverage requirements as of December 31, 2013 as a result of having sufficient capital as defined under the SBA regulations.</w:t>
      </w:r>
    </w:p>
    <w:p>
      <w:pPr>
        <w:spacing w:after="0" w:line="147"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b w:val="1"/>
          <w:bCs w:val="1"/>
          <w:i w:val="1"/>
          <w:iCs w:val="1"/>
          <w:color w:val="auto"/>
        </w:rPr>
        <w:t>Our wholly owned SBIC subsidiaries may be unable to make distributions to us that will enable us to meet or maintain RIC status, which could result in the imposition of a corporate-level tax.</w:t>
      </w:r>
    </w:p>
    <w:p>
      <w:pPr>
        <w:spacing w:after="0" w:line="146" w:lineRule="exact"/>
        <w:rPr>
          <w:sz w:val="20"/>
          <w:szCs w:val="20"/>
          <w:color w:val="auto"/>
        </w:rPr>
      </w:pPr>
    </w:p>
    <w:p>
      <w:pPr>
        <w:jc w:val="both"/>
        <w:ind w:right="40" w:firstLine="543"/>
        <w:spacing w:after="0" w:line="256" w:lineRule="auto"/>
        <w:rPr>
          <w:sz w:val="20"/>
          <w:szCs w:val="20"/>
          <w:color w:val="auto"/>
        </w:rPr>
      </w:pPr>
      <w:r>
        <w:rPr>
          <w:rFonts w:ascii="Arial" w:cs="Arial" w:eastAsia="Arial" w:hAnsi="Arial"/>
          <w:sz w:val="15"/>
          <w:szCs w:val="15"/>
          <w:color w:val="auto"/>
        </w:rPr>
        <w:t>In order for us to continue to qualify for RIC tax treatment and to minimize corporate-level taxes, we will be required to distribute substantially all of our net ordinary income and net capital gain income, including income from certain of our subsidiaries, which includes the income from our SBIC subsidiaries. We will be partially dependent on our SBIC subsidiaries for cash distributions to enable us to meet the RIC distribution requirements. Our SBIC subsidiaries may be limited by the SBA and SBA regulations from making certain distributions to us that may be necessary to maintain our status as a RIC. We may have to request a waiver of the SBA’s restrictions for our SBIC subsidiaries to make certain distributions to maintain our RIC status. We cannot assure you that the SBA will grant such waiver and if our SBIC subsidiaries are unable to obtain a waiver, compliance with the SBA regulations may result in loss of RIC tax treatment and a consequent imposition of a corporate-level tax on us.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37" w:name="page38"/>
    <w:bookmarkEnd w:id="37"/>
    <w:p>
      <w:pPr>
        <w:ind w:right="460"/>
        <w:spacing w:after="0" w:line="276" w:lineRule="auto"/>
        <w:rPr>
          <w:sz w:val="20"/>
          <w:szCs w:val="20"/>
          <w:color w:val="auto"/>
        </w:rPr>
      </w:pPr>
      <w:r>
        <w:rPr>
          <w:rFonts w:ascii="Arial" w:cs="Arial" w:eastAsia="Arial" w:hAnsi="Arial"/>
          <w:sz w:val="15"/>
          <w:szCs w:val="15"/>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146" w:lineRule="exact"/>
        <w:rPr>
          <w:sz w:val="20"/>
          <w:szCs w:val="20"/>
          <w:color w:val="auto"/>
        </w:rPr>
      </w:pPr>
    </w:p>
    <w:p>
      <w:pPr>
        <w:ind w:firstLine="543"/>
        <w:spacing w:after="0" w:line="299" w:lineRule="auto"/>
        <w:rPr>
          <w:sz w:val="20"/>
          <w:szCs w:val="20"/>
          <w:color w:val="auto"/>
        </w:rPr>
      </w:pPr>
      <w:r>
        <w:rPr>
          <w:rFonts w:ascii="Arial" w:cs="Arial" w:eastAsia="Arial" w:hAnsi="Arial"/>
          <w:sz w:val="13"/>
          <w:szCs w:val="13"/>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and other rules implemented by the SEC. Also, we are subject to changing rules and regulations of federal and state government as well as the stock exchange on which our common stock is listed. These entities, including the Public Company Accounting Oversight Board, the SEC and the NASDAQ Global Select Market, have issued a significant number of new and increasingly complex requirements and regulations over the last several years and continue to develop additional regulations and requirements in response to laws enacted by Congress. For example, on July 21, 2010, the Dodd-Frank Wall Street Reform and Protection Act, or the Dodd-Frank Act, was enacted. There are significant corporate governance and executive compensation-related provisions in the Dodd-Frank Act that require the SEC to adopt additional rules and regulations in these areas such as “say on pay” and proxy access. Our efforts to comply with these requirements may result in an increase in expenses and a diversion of management’s time from other business activities.</w:t>
      </w:r>
    </w:p>
    <w:p>
      <w:pPr>
        <w:spacing w:after="0" w:line="139" w:lineRule="exact"/>
        <w:rPr>
          <w:sz w:val="20"/>
          <w:szCs w:val="20"/>
          <w:color w:val="auto"/>
        </w:rPr>
      </w:pPr>
    </w:p>
    <w:p>
      <w:pPr>
        <w:ind w:right="40" w:firstLine="543"/>
        <w:spacing w:after="0" w:line="278" w:lineRule="auto"/>
        <w:rPr>
          <w:sz w:val="20"/>
          <w:szCs w:val="20"/>
          <w:color w:val="auto"/>
        </w:rPr>
      </w:pPr>
      <w:r>
        <w:rPr>
          <w:rFonts w:ascii="Arial" w:cs="Arial" w:eastAsia="Arial" w:hAnsi="Arial"/>
          <w:sz w:val="14"/>
          <w:szCs w:val="14"/>
          <w:color w:val="auto"/>
        </w:rPr>
        <w:t>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filed an application with the SEC requesting exemptive relief from certain provisions of the 1940 Act and the Exchange Act.</w:t>
      </w:r>
    </w:p>
    <w:p>
      <w:pPr>
        <w:spacing w:after="0" w:line="189" w:lineRule="exact"/>
        <w:rPr>
          <w:sz w:val="20"/>
          <w:szCs w:val="20"/>
          <w:color w:val="auto"/>
        </w:rPr>
      </w:pPr>
    </w:p>
    <w:p>
      <w:pPr>
        <w:ind w:right="40" w:firstLine="543"/>
        <w:spacing w:after="0" w:line="278" w:lineRule="auto"/>
        <w:rPr>
          <w:sz w:val="20"/>
          <w:szCs w:val="20"/>
          <w:color w:val="auto"/>
        </w:rPr>
      </w:pPr>
      <w:r>
        <w:rPr>
          <w:rFonts w:ascii="Arial" w:cs="Arial" w:eastAsia="Arial" w:hAnsi="Arial"/>
          <w:sz w:val="14"/>
          <w:szCs w:val="14"/>
          <w:color w:val="auto"/>
        </w:rPr>
        <w:t>We have filed an application with the SEC requesting an SEC order exempting us, Fund II and Fund III from certain provisions of the 1940 Act (including an exemptive order granting relief from the asset coverage requirements for certain indebtedness issued by Fund II and Fund III as SBICs) and from certain reporting requirements mandated by the Exchange Act with respect to Fund II and Fund III, which are co-registrants with us. While the SEC has granted exemptive relief in substantially similar circumstances in the past, no assurance can be given that an exemptive order will be granted. Delays and costs involved in obtaining necessary approvals may make certain transactions impracticable or impossible to consummate, and there is no assurance that the application for exemptive relief will be granted by the SEC. In addition, to the extent we obtain such exemptive relief, we will generally be permitted to incur a greater amount of leverage relative to our total assets and net asset value.</w:t>
      </w:r>
    </w:p>
    <w:p>
      <w:pPr>
        <w:spacing w:after="0" w:line="148" w:lineRule="exact"/>
        <w:rPr>
          <w:sz w:val="20"/>
          <w:szCs w:val="20"/>
          <w:color w:val="auto"/>
        </w:rPr>
      </w:pPr>
    </w:p>
    <w:p>
      <w:pPr>
        <w:ind w:right="240"/>
        <w:spacing w:after="0" w:line="276" w:lineRule="auto"/>
        <w:rPr>
          <w:sz w:val="20"/>
          <w:szCs w:val="20"/>
          <w:color w:val="auto"/>
        </w:rPr>
      </w:pPr>
      <w:r>
        <w:rPr>
          <w:rFonts w:ascii="Arial" w:cs="Arial" w:eastAsia="Arial" w:hAnsi="Arial"/>
          <w:sz w:val="15"/>
          <w:szCs w:val="15"/>
          <w:b w:val="1"/>
          <w:bCs w:val="1"/>
          <w:i w:val="1"/>
          <w:iCs w:val="1"/>
          <w:color w:val="auto"/>
        </w:rPr>
        <w:t>We are highly dependent on information systems and systems failures could significantly disrupt our business, which may, in turn, negatively affect the market price of our common stock and our ability to make distributions to our stockholders.</w:t>
      </w:r>
    </w:p>
    <w:p>
      <w:pPr>
        <w:spacing w:after="0" w:line="146" w:lineRule="exact"/>
        <w:rPr>
          <w:sz w:val="20"/>
          <w:szCs w:val="20"/>
          <w:color w:val="auto"/>
        </w:rPr>
      </w:pPr>
    </w:p>
    <w:p>
      <w:pPr>
        <w:ind w:right="40" w:firstLine="543"/>
        <w:spacing w:after="0" w:line="260" w:lineRule="auto"/>
        <w:rPr>
          <w:sz w:val="20"/>
          <w:szCs w:val="20"/>
          <w:color w:val="auto"/>
        </w:rPr>
      </w:pPr>
      <w:r>
        <w:rPr>
          <w:rFonts w:ascii="Arial" w:cs="Arial" w:eastAsia="Arial" w:hAnsi="Arial"/>
          <w:sz w:val="15"/>
          <w:szCs w:val="15"/>
          <w:color w:val="auto"/>
        </w:rPr>
        <w:t>Our business is highly dependent on the communications and information systems of Capitala Investment Advisors. Certain of these systems are provided to Capitala Investment Advisors by third-party service providers. Any failure or interruption of such systems, including as a result of the termination of an agreement with any such third-party service provider, could cause delays or other problems in our activities. This, in turn, could have a material adverse effect on our operating results and negatively affect the market price of our common stock and our ability to make distributions to our stockholders.</w:t>
      </w:r>
    </w:p>
    <w:p>
      <w:pPr>
        <w:spacing w:after="0" w:line="157" w:lineRule="exact"/>
        <w:rPr>
          <w:sz w:val="20"/>
          <w:szCs w:val="20"/>
          <w:color w:val="auto"/>
        </w:rPr>
      </w:pPr>
    </w:p>
    <w:p>
      <w:pPr>
        <w:ind w:right="180"/>
        <w:spacing w:after="0" w:line="276" w:lineRule="auto"/>
        <w:rPr>
          <w:sz w:val="20"/>
          <w:szCs w:val="20"/>
          <w:color w:val="auto"/>
        </w:rPr>
      </w:pPr>
      <w:r>
        <w:rPr>
          <w:rFonts w:ascii="Arial" w:cs="Arial" w:eastAsia="Arial" w:hAnsi="Arial"/>
          <w:sz w:val="15"/>
          <w:szCs w:val="15"/>
          <w:b w:val="1"/>
          <w:bCs w:val="1"/>
          <w:i w:val="1"/>
          <w:iCs w:val="1"/>
          <w:color w:val="auto"/>
        </w:rPr>
        <w:t>Terrorist attacks, acts of war or natural disasters may affect the market for our common stock, impact the businesses in which we invest and harm our business, operating results and financial condition.</w:t>
      </w:r>
    </w:p>
    <w:p>
      <w:pPr>
        <w:spacing w:after="0" w:line="146" w:lineRule="exact"/>
        <w:rPr>
          <w:sz w:val="20"/>
          <w:szCs w:val="20"/>
          <w:color w:val="auto"/>
        </w:rPr>
      </w:pPr>
    </w:p>
    <w:p>
      <w:pPr>
        <w:ind w:right="200" w:firstLine="543"/>
        <w:spacing w:after="0" w:line="312" w:lineRule="auto"/>
        <w:rPr>
          <w:sz w:val="20"/>
          <w:szCs w:val="20"/>
          <w:color w:val="auto"/>
        </w:rPr>
      </w:pPr>
      <w:r>
        <w:rPr>
          <w:rFonts w:ascii="Arial" w:cs="Arial" w:eastAsia="Arial" w:hAnsi="Arial"/>
          <w:sz w:val="13"/>
          <w:szCs w:val="13"/>
          <w:color w:val="auto"/>
        </w:rPr>
        <w:t>Terrorist acts, acts of war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128" w:lineRule="exact"/>
        <w:rPr>
          <w:sz w:val="20"/>
          <w:szCs w:val="20"/>
          <w:color w:val="auto"/>
        </w:rPr>
      </w:pPr>
    </w:p>
    <w:p>
      <w:pPr>
        <w:ind w:right="220"/>
        <w:spacing w:after="0" w:line="276" w:lineRule="auto"/>
        <w:rPr>
          <w:sz w:val="20"/>
          <w:szCs w:val="20"/>
          <w:color w:val="auto"/>
        </w:rPr>
      </w:pPr>
      <w:r>
        <w:rPr>
          <w:rFonts w:ascii="Arial" w:cs="Arial" w:eastAsia="Arial" w:hAnsi="Arial"/>
          <w:sz w:val="15"/>
          <w:szCs w:val="15"/>
          <w:b w:val="1"/>
          <w:bCs w:val="1"/>
          <w:i w:val="1"/>
          <w:iCs w:val="1"/>
          <w:color w:val="auto"/>
        </w:rPr>
        <w:t>A failure or the perceived risk of a failure to raise the statutory debt limit of the United States could have a material adverse effect on our business, financial condition and results of operations.</w:t>
      </w:r>
    </w:p>
    <w:p>
      <w:pPr>
        <w:spacing w:after="0" w:line="146" w:lineRule="exact"/>
        <w:rPr>
          <w:sz w:val="20"/>
          <w:szCs w:val="20"/>
          <w:color w:val="auto"/>
        </w:rPr>
      </w:pPr>
    </w:p>
    <w:p>
      <w:pPr>
        <w:ind w:right="40" w:firstLine="543"/>
        <w:spacing w:after="0" w:line="264" w:lineRule="auto"/>
        <w:rPr>
          <w:sz w:val="20"/>
          <w:szCs w:val="20"/>
          <w:color w:val="auto"/>
        </w:rPr>
      </w:pPr>
      <w:r>
        <w:rPr>
          <w:rFonts w:ascii="Arial" w:cs="Arial" w:eastAsia="Arial" w:hAnsi="Arial"/>
          <w:sz w:val="15"/>
          <w:szCs w:val="15"/>
          <w:color w:val="auto"/>
        </w:rPr>
        <w:t>In the future, the United States federal government may not be able to meet its debt payments unless the federal debt ceiling is raised. If legislation increasing the debt ceiling is not enacted, as needed, and the debt ceiling is reached, the federal government may stop or delay making payments on its obligations. A failure by Congress to raise the debt limit would increase the risk of default by the United States on its obligations, as well as the risk of other economic dislocations.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38" w:name="page39"/>
    <w:bookmarkEnd w:id="38"/>
    <w:p>
      <w:pPr>
        <w:ind w:left="10" w:right="20" w:firstLine="543"/>
        <w:spacing w:after="0" w:line="256" w:lineRule="auto"/>
        <w:rPr>
          <w:sz w:val="20"/>
          <w:szCs w:val="20"/>
          <w:color w:val="auto"/>
        </w:rPr>
      </w:pPr>
      <w:r>
        <w:rPr>
          <w:rFonts w:ascii="Arial" w:cs="Arial" w:eastAsia="Arial" w:hAnsi="Arial"/>
          <w:sz w:val="15"/>
          <w:szCs w:val="15"/>
          <w:color w:val="auto"/>
        </w:rPr>
        <w:t>If the U.S. government fails to complete its budget process or to provide for a continuing resolution before the expiration of the current continuing resolution, a federal government shutdown may result. Such a failure or the perceived risk of such a failure, consequently, could have a material adverse effect on the financial markets and economic conditions in the United States and throughout the world. It could also limit our ability and the ability of our portfolio companies to obtain financing, and it could have a material adverse effect on the valuation of our portfolio companies. Consequently, the continued uncertainty in the general economic environment, including the recent government shutdown and potential debt ceiling implications, as well in specific economies of several individual geographic markets in which our portfolio companies operate, could adversely affect our business, financial condition and results of operations.</w:t>
      </w:r>
    </w:p>
    <w:p>
      <w:pPr>
        <w:spacing w:after="0" w:line="163" w:lineRule="exact"/>
        <w:rPr>
          <w:sz w:val="20"/>
          <w:szCs w:val="20"/>
          <w:color w:val="auto"/>
        </w:rPr>
      </w:pPr>
    </w:p>
    <w:p>
      <w:pPr>
        <w:ind w:left="10" w:right="20"/>
        <w:spacing w:after="0" w:line="276" w:lineRule="auto"/>
        <w:rPr>
          <w:sz w:val="20"/>
          <w:szCs w:val="20"/>
          <w:color w:val="auto"/>
        </w:rPr>
      </w:pPr>
      <w:r>
        <w:rPr>
          <w:rFonts w:ascii="Arial" w:cs="Arial" w:eastAsia="Arial" w:hAnsi="Arial"/>
          <w:sz w:val="15"/>
          <w:szCs w:val="15"/>
          <w:b w:val="1"/>
          <w:bCs w:val="1"/>
          <w:i w:val="1"/>
          <w:iCs w:val="1"/>
          <w:color w:val="auto"/>
        </w:rPr>
        <w:t>To the extent original issue discount and PIK interest constitute a portion of our income, we will be exposed to typical risks associated with such income being required to be included in taxable and accounting income prior to receipt of cash representing such income.</w:t>
      </w:r>
    </w:p>
    <w:p>
      <w:pPr>
        <w:spacing w:after="0" w:line="146" w:lineRule="exact"/>
        <w:rPr>
          <w:sz w:val="20"/>
          <w:szCs w:val="20"/>
          <w:color w:val="auto"/>
        </w:rPr>
      </w:pPr>
    </w:p>
    <w:p>
      <w:pPr>
        <w:jc w:val="both"/>
        <w:ind w:left="10" w:right="120" w:firstLine="543"/>
        <w:spacing w:after="0" w:line="264" w:lineRule="auto"/>
        <w:rPr>
          <w:sz w:val="20"/>
          <w:szCs w:val="20"/>
          <w:color w:val="auto"/>
        </w:rPr>
      </w:pPr>
      <w:r>
        <w:rPr>
          <w:rFonts w:ascii="Arial" w:cs="Arial" w:eastAsia="Arial" w:hAnsi="Arial"/>
          <w:sz w:val="15"/>
          <w:szCs w:val="15"/>
          <w:color w:val="auto"/>
        </w:rPr>
        <w:t>Our investments may include original issue discount, or original issue discount (“OID”), instruments and contractual PIK, interest, which represents contractual interest added to a loan balance and due at the end of such loan’s term. To the extent OID or PIK interest constitute a portion of our income, we are exposed to typical risks associated with such income being required to be included in taxable and accounting income prior to receipt of cash, including the following:</w:t>
      </w:r>
    </w:p>
    <w:p>
      <w:pPr>
        <w:spacing w:after="0" w:line="155" w:lineRule="exact"/>
        <w:rPr>
          <w:sz w:val="20"/>
          <w:szCs w:val="20"/>
          <w:color w:val="auto"/>
        </w:rPr>
      </w:pPr>
    </w:p>
    <w:p>
      <w:pPr>
        <w:ind w:left="550" w:hanging="550"/>
        <w:spacing w:after="0"/>
        <w:tabs>
          <w:tab w:leader="none" w:pos="55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OID instruments may have higher yields, which reflect the payment deferral and credit risk associated with these instruments;</w:t>
      </w:r>
    </w:p>
    <w:p>
      <w:pPr>
        <w:spacing w:after="0" w:line="189" w:lineRule="exact"/>
        <w:rPr>
          <w:rFonts w:ascii="Arial" w:cs="Arial" w:eastAsia="Arial" w:hAnsi="Arial"/>
          <w:sz w:val="15"/>
          <w:szCs w:val="15"/>
          <w:color w:val="auto"/>
        </w:rPr>
      </w:pPr>
    </w:p>
    <w:p>
      <w:pPr>
        <w:ind w:left="550" w:hanging="550"/>
        <w:spacing w:after="0"/>
        <w:tabs>
          <w:tab w:leader="none" w:pos="55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OID accruals may create uncertainty about the source of our distributions to stockholders;</w:t>
      </w:r>
    </w:p>
    <w:p>
      <w:pPr>
        <w:spacing w:after="0" w:line="189" w:lineRule="exact"/>
        <w:rPr>
          <w:rFonts w:ascii="Arial" w:cs="Arial" w:eastAsia="Arial" w:hAnsi="Arial"/>
          <w:sz w:val="15"/>
          <w:szCs w:val="15"/>
          <w:color w:val="auto"/>
        </w:rPr>
      </w:pPr>
    </w:p>
    <w:p>
      <w:pPr>
        <w:ind w:left="550" w:hanging="550"/>
        <w:spacing w:after="0" w:line="276" w:lineRule="auto"/>
        <w:tabs>
          <w:tab w:leader="none" w:pos="55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OID and PIK instruments may have unreliable valuations because their continuing accruals require continuing judgments about the collectability of the deferred payments and the value of the collateral; and</w:t>
      </w:r>
    </w:p>
    <w:p>
      <w:pPr>
        <w:spacing w:after="0" w:line="146" w:lineRule="exact"/>
        <w:rPr>
          <w:rFonts w:ascii="Arial" w:cs="Arial" w:eastAsia="Arial" w:hAnsi="Arial"/>
          <w:sz w:val="15"/>
          <w:szCs w:val="15"/>
          <w:color w:val="auto"/>
        </w:rPr>
      </w:pPr>
    </w:p>
    <w:p>
      <w:pPr>
        <w:ind w:left="550" w:hanging="550"/>
        <w:spacing w:after="0"/>
        <w:tabs>
          <w:tab w:leader="none" w:pos="55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OID and PIK instruments may represent a higher credit risk than coupon loans.</w:t>
      </w:r>
    </w:p>
    <w:p>
      <w:pPr>
        <w:spacing w:after="0" w:line="189" w:lineRule="exact"/>
        <w:rPr>
          <w:sz w:val="20"/>
          <w:szCs w:val="20"/>
          <w:color w:val="auto"/>
        </w:rPr>
      </w:pPr>
    </w:p>
    <w:p>
      <w:pPr>
        <w:ind w:left="10" w:right="100"/>
        <w:spacing w:after="0" w:line="276" w:lineRule="auto"/>
        <w:rPr>
          <w:sz w:val="20"/>
          <w:szCs w:val="20"/>
          <w:color w:val="auto"/>
        </w:rPr>
      </w:pPr>
      <w:r>
        <w:rPr>
          <w:rFonts w:ascii="Arial" w:cs="Arial" w:eastAsia="Arial" w:hAnsi="Arial"/>
          <w:sz w:val="15"/>
          <w:szCs w:val="15"/>
          <w:b w:val="1"/>
          <w:bCs w:val="1"/>
          <w:i w:val="1"/>
          <w:iCs w:val="1"/>
          <w:color w:val="auto"/>
        </w:rPr>
        <w:t>We are an ‘‘emerging growth company’’ under the JOBS Act, and we cannot be certain if the reduced disclosure requirements applicable to emerging growth companies will make our securities less attractive to investors.</w:t>
      </w:r>
    </w:p>
    <w:p>
      <w:pPr>
        <w:spacing w:after="0" w:line="146" w:lineRule="exact"/>
        <w:rPr>
          <w:sz w:val="20"/>
          <w:szCs w:val="20"/>
          <w:color w:val="auto"/>
        </w:rPr>
      </w:pPr>
    </w:p>
    <w:p>
      <w:pPr>
        <w:ind w:left="10" w:right="60" w:firstLine="543"/>
        <w:spacing w:after="0" w:line="277" w:lineRule="auto"/>
        <w:rPr>
          <w:sz w:val="20"/>
          <w:szCs w:val="20"/>
          <w:color w:val="auto"/>
        </w:rPr>
      </w:pPr>
      <w:r>
        <w:rPr>
          <w:rFonts w:ascii="Arial" w:cs="Arial" w:eastAsia="Arial" w:hAnsi="Arial"/>
          <w:sz w:val="14"/>
          <w:szCs w:val="14"/>
          <w:color w:val="auto"/>
        </w:rPr>
        <w:t>We are and we will remain an ‘‘emerging growth company’’ as defined in the JOBS Act until the earlier of (a) the last day of the fiscal year (i) following the fifth anniversary of the completion of this offering, (ii) in which we have total annual gross revenue of at least $1.0 billion, or (iii) in which we are deemed to be a large accelerated filer, which means the market value of our common stock that is held by non-affiliates exceeds $700 million as of the end of the previous second fiscal quarter, and (b) the date on which we have issued more than $1.0 billion in non-convertible debt during the prior three-year period. For so long as we remain an ‘‘emerging growth company’’ we have chosen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We cannot predict if investors will find our securities less attractive because we will rely on some or all of these exemptions. If some investors find our securities less attractive as a result, there may be a less active and more volatile trading market for our securities.</w:t>
      </w:r>
    </w:p>
    <w:p>
      <w:pPr>
        <w:spacing w:after="0" w:line="147" w:lineRule="exact"/>
        <w:rPr>
          <w:sz w:val="20"/>
          <w:szCs w:val="20"/>
          <w:color w:val="auto"/>
        </w:rPr>
      </w:pPr>
    </w:p>
    <w:p>
      <w:pPr>
        <w:ind w:left="10" w:right="40" w:firstLine="543"/>
        <w:spacing w:after="0" w:line="258" w:lineRule="auto"/>
        <w:rPr>
          <w:sz w:val="20"/>
          <w:szCs w:val="20"/>
          <w:color w:val="auto"/>
        </w:rPr>
      </w:pPr>
      <w:r>
        <w:rPr>
          <w:rFonts w:ascii="Arial" w:cs="Arial" w:eastAsia="Arial" w:hAnsi="Arial"/>
          <w:sz w:val="15"/>
          <w:szCs w:val="15"/>
          <w:color w:val="auto"/>
        </w:rPr>
        <w:t>In addition, Section 107 of the JOBS Act also provides that an ‘‘emerging growth company’’ may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chosen to take advantage of the extended transition period for complying with new or revised accounting standards, which may make it more difficult for investors and securities analysts to evaluate us since our financial statements may not be comparable to companies that comply with public company effective dates and may result in less investor confidence.</w:t>
      </w:r>
    </w:p>
    <w:p>
      <w:pPr>
        <w:spacing w:after="0" w:line="159" w:lineRule="exact"/>
        <w:rPr>
          <w:sz w:val="20"/>
          <w:szCs w:val="20"/>
          <w:color w:val="auto"/>
        </w:rPr>
      </w:pPr>
    </w:p>
    <w:p>
      <w:pPr>
        <w:ind w:left="10" w:right="100"/>
        <w:spacing w:after="0" w:line="276" w:lineRule="auto"/>
        <w:rPr>
          <w:sz w:val="20"/>
          <w:szCs w:val="20"/>
          <w:color w:val="auto"/>
        </w:rPr>
      </w:pPr>
      <w:r>
        <w:rPr>
          <w:rFonts w:ascii="Arial" w:cs="Arial" w:eastAsia="Arial" w:hAnsi="Arial"/>
          <w:sz w:val="15"/>
          <w:szCs w:val="15"/>
          <w:b w:val="1"/>
          <w:bCs w:val="1"/>
          <w:i w:val="1"/>
          <w:iCs w:val="1"/>
          <w:color w:val="auto"/>
        </w:rPr>
        <w:t>If we cannot obtain additional capital because of either regulatory or market price constraints, we could be forced to curtail or cease our new lending and investment activities, our net asset value could decrease and our level of distributions and liquidity could be affected adversely.</w:t>
      </w:r>
    </w:p>
    <w:p>
      <w:pPr>
        <w:spacing w:after="0" w:line="146" w:lineRule="exact"/>
        <w:rPr>
          <w:sz w:val="20"/>
          <w:szCs w:val="20"/>
          <w:color w:val="auto"/>
        </w:rPr>
      </w:pPr>
    </w:p>
    <w:p>
      <w:pPr>
        <w:ind w:left="10" w:right="20" w:firstLine="543"/>
        <w:spacing w:after="0" w:line="260" w:lineRule="auto"/>
        <w:rPr>
          <w:sz w:val="20"/>
          <w:szCs w:val="20"/>
          <w:color w:val="auto"/>
        </w:rPr>
      </w:pPr>
      <w:r>
        <w:rPr>
          <w:rFonts w:ascii="Arial" w:cs="Arial" w:eastAsia="Arial" w:hAnsi="Arial"/>
          <w:sz w:val="15"/>
          <w:szCs w:val="15"/>
          <w:color w:val="auto"/>
        </w:rPr>
        <w:t>Our ability to secure additional financing and satisfy our financial obligations under indebtedness outstanding from time to time will depend upon our future operating performance, which is subject to the prevailing general economic and credit market conditions, including interest rate levels and the availability of credit generally, and financial, business and other factors, many of which are beyond our control. The prolonged continuation or worsening of current economic and capital market conditions could have a material adverse effect on our ability to secure financing on favorable terms, if at all.</w:t>
      </w:r>
    </w:p>
    <w:p>
      <w:pPr>
        <w:spacing w:after="0" w:line="157" w:lineRule="exact"/>
        <w:rPr>
          <w:sz w:val="20"/>
          <w:szCs w:val="20"/>
          <w:color w:val="auto"/>
        </w:rPr>
      </w:pPr>
    </w:p>
    <w:p>
      <w:pPr>
        <w:ind w:left="10" w:right="240" w:firstLine="543"/>
        <w:spacing w:after="0" w:line="276" w:lineRule="auto"/>
        <w:rPr>
          <w:sz w:val="20"/>
          <w:szCs w:val="20"/>
          <w:color w:val="auto"/>
        </w:rPr>
      </w:pPr>
      <w:r>
        <w:rPr>
          <w:rFonts w:ascii="Arial" w:cs="Arial" w:eastAsia="Arial" w:hAnsi="Arial"/>
          <w:sz w:val="15"/>
          <w:szCs w:val="15"/>
          <w:color w:val="auto"/>
        </w:rPr>
        <w:t>If we are unable to obtain additional debt capital, then our equity investors will not benefit from the potential for increased returns on equity resulting from leverage to the extent that our investment strategy is successful and we may be limited in our ability to make new commitments or fundings to our portfolio companies.</w:t>
      </w:r>
    </w:p>
    <w:p>
      <w:pPr>
        <w:spacing w:after="0" w:line="327"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6884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50"/>
          </w:cols>
          <w:pgMar w:left="230" w:top="762" w:right="219" w:bottom="1440" w:gutter="0" w:footer="0" w:header="0"/>
        </w:sectPr>
      </w:pPr>
    </w:p>
    <w:bookmarkStart w:id="39" w:name="page40"/>
    <w:bookmarkEnd w:id="39"/>
    <w:p>
      <w:pPr>
        <w:ind w:right="260"/>
        <w:spacing w:after="0" w:line="276" w:lineRule="auto"/>
        <w:rPr>
          <w:sz w:val="20"/>
          <w:szCs w:val="20"/>
          <w:color w:val="auto"/>
        </w:rPr>
      </w:pPr>
      <w:r>
        <w:rPr>
          <w:rFonts w:ascii="Arial" w:cs="Arial" w:eastAsia="Arial" w:hAnsi="Arial"/>
          <w:sz w:val="15"/>
          <w:szCs w:val="15"/>
          <w:b w:val="1"/>
          <w:bCs w:val="1"/>
          <w:i w:val="1"/>
          <w:iCs w:val="1"/>
          <w:color w:val="auto"/>
        </w:rPr>
        <w:t>Uncertainty about the financial stability of the United States and of several countries in the European Union (EU) could have a significant adverse effect on our business, results of operations and financial condition.</w:t>
      </w:r>
    </w:p>
    <w:p>
      <w:pPr>
        <w:spacing w:after="0" w:line="146" w:lineRule="exact"/>
        <w:rPr>
          <w:sz w:val="20"/>
          <w:szCs w:val="20"/>
          <w:color w:val="auto"/>
        </w:rPr>
      </w:pPr>
    </w:p>
    <w:p>
      <w:pPr>
        <w:ind w:right="40" w:firstLine="543"/>
        <w:spacing w:after="0" w:line="258" w:lineRule="auto"/>
        <w:rPr>
          <w:sz w:val="20"/>
          <w:szCs w:val="20"/>
          <w:color w:val="auto"/>
        </w:rPr>
      </w:pPr>
      <w:r>
        <w:rPr>
          <w:rFonts w:ascii="Arial" w:cs="Arial" w:eastAsia="Arial" w:hAnsi="Arial"/>
          <w:sz w:val="15"/>
          <w:szCs w:val="15"/>
          <w:color w:val="auto"/>
        </w:rPr>
        <w:t>Due to federal budget deficit concerns, S&amp;P downgraded the federal government’s credit rating from AAA to AA+ for the first time in history on August 5, 2011. Further, Moody’s and Fitch have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w:t>
      </w:r>
    </w:p>
    <w:p>
      <w:pPr>
        <w:spacing w:after="0" w:line="159" w:lineRule="exact"/>
        <w:rPr>
          <w:sz w:val="20"/>
          <w:szCs w:val="20"/>
          <w:color w:val="auto"/>
        </w:rPr>
      </w:pPr>
    </w:p>
    <w:p>
      <w:pPr>
        <w:ind w:firstLine="543"/>
        <w:spacing w:after="0" w:line="255" w:lineRule="auto"/>
        <w:rPr>
          <w:sz w:val="20"/>
          <w:szCs w:val="20"/>
          <w:color w:val="auto"/>
        </w:rPr>
      </w:pPr>
      <w:r>
        <w:rPr>
          <w:rFonts w:ascii="Arial" w:cs="Arial" w:eastAsia="Arial" w:hAnsi="Arial"/>
          <w:sz w:val="15"/>
          <w:szCs w:val="15"/>
          <w:color w:val="auto"/>
        </w:rPr>
        <w:t>In 2010, a financial crisis emerged in Europe, triggered by high budget deficits and rising direct and contingent sovereign debt in Greece, Ireland, Italy, Portugal and Spain, which created concerns about the ability of these nations to continue to service their sovereign debt obligations. Risks and ongoing concerns resulting from the debt crisis in Europe could have a detrimental impact on the global economic recovery, sovereign and non-sovereign debt in these countries and the financial condition of European financial institutions. Market and economic disruptions have affected, and may continue to affect, consumer confidence levels and spending, personal bankruptcy rates, levels of incurrence and default on consumer debt and home prices, among other factors. We cannot assure you that the market disruptions in Europe, including the increased cost of funding for certain governments and financial institutions, will not spread, and we cannot assure you that future assistance packages will be available, or if available, sufficient to stabilize the affected countries and markets in Europe or elsewhere. To the extent uncertainty regarding any economic recovery in Europe continues to negatively impact consumer confidence and consumer credit factors, our business and results of operations could be significantly and adversely affected.</w:t>
      </w:r>
    </w:p>
    <w:p>
      <w:pPr>
        <w:spacing w:after="0" w:line="163" w:lineRule="exact"/>
        <w:rPr>
          <w:sz w:val="20"/>
          <w:szCs w:val="20"/>
          <w:color w:val="auto"/>
        </w:rPr>
      </w:pPr>
    </w:p>
    <w:p>
      <w:pPr>
        <w:ind w:right="40" w:firstLine="543"/>
        <w:spacing w:after="0" w:line="256" w:lineRule="auto"/>
        <w:rPr>
          <w:sz w:val="20"/>
          <w:szCs w:val="20"/>
          <w:color w:val="auto"/>
        </w:rPr>
      </w:pPr>
      <w:r>
        <w:rPr>
          <w:rFonts w:ascii="Arial" w:cs="Arial" w:eastAsia="Arial" w:hAnsi="Arial"/>
          <w:sz w:val="15"/>
          <w:szCs w:val="15"/>
          <w:color w:val="auto"/>
        </w:rPr>
        <w:t>On December 18, 2013, the U.S. Federal Reserve announced that it would scale back its bond-buying program, or quantitative easing, which is designed to stimulate the economy and expand the Federal Reserve’s holdings of long-term securities until key economic indicators, such as the unemployment rate, show signs of improvement. The Federal Reserve signaled it would reduce its purchases of long-term Treasury bonds and would scale back on its purchases of mortgage-backed securities. It is unclear what effect, if any, the incremental reduction in the rate of the Federal Reserve’s monthly purchases will have on the value of our investments. However, it is possible that absent continued quantitative easing by the Federal Reserve, these developments, along with the European sovereign debt crisis, could cause interest rates and borrowing costs to rise, which may negatively impact our ability to access the debt markets on favorable terms.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investments are very risky and highly speculative.</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invest primarily in senior secured term loans, mezzanine debt and select equity investments issued by leveraged companies.</w:t>
      </w:r>
    </w:p>
    <w:p>
      <w:pPr>
        <w:spacing w:after="0" w:line="189" w:lineRule="exact"/>
        <w:rPr>
          <w:sz w:val="20"/>
          <w:szCs w:val="20"/>
          <w:color w:val="auto"/>
        </w:rPr>
      </w:pPr>
    </w:p>
    <w:p>
      <w:pPr>
        <w:ind w:firstLine="543"/>
        <w:spacing w:after="0" w:line="306" w:lineRule="auto"/>
        <w:rPr>
          <w:sz w:val="20"/>
          <w:szCs w:val="20"/>
          <w:color w:val="auto"/>
        </w:rPr>
      </w:pPr>
      <w:r>
        <w:rPr>
          <w:rFonts w:ascii="Arial" w:cs="Arial" w:eastAsia="Arial" w:hAnsi="Arial"/>
          <w:sz w:val="13"/>
          <w:szCs w:val="13"/>
          <w:b w:val="1"/>
          <w:bCs w:val="1"/>
          <w:i w:val="1"/>
          <w:iCs w:val="1"/>
          <w:color w:val="auto"/>
        </w:rPr>
        <w:t xml:space="preserve">Senior Secured Loans. </w:t>
      </w:r>
      <w:r>
        <w:rPr>
          <w:rFonts w:ascii="Arial" w:cs="Arial" w:eastAsia="Arial" w:hAnsi="Arial"/>
          <w:sz w:val="13"/>
          <w:szCs w:val="13"/>
          <w:color w:val="auto"/>
        </w:rPr>
        <w:t>There is a risk that the collateral securing our loans may decrease in value over time, may be difficult to sell in a timely manner, may be difficult to appraise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may fluctuate in value based upon the success of the business and market conditions, including as a result of the inability of the portfolio company to raise additional capital, and,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33" w:lineRule="exact"/>
        <w:rPr>
          <w:sz w:val="20"/>
          <w:szCs w:val="20"/>
          <w:color w:val="auto"/>
        </w:rPr>
      </w:pPr>
    </w:p>
    <w:p>
      <w:pPr>
        <w:ind w:right="60" w:firstLine="543"/>
        <w:spacing w:after="0" w:line="264" w:lineRule="auto"/>
        <w:rPr>
          <w:sz w:val="20"/>
          <w:szCs w:val="20"/>
          <w:color w:val="auto"/>
        </w:rPr>
      </w:pPr>
      <w:r>
        <w:rPr>
          <w:rFonts w:ascii="Arial" w:cs="Arial" w:eastAsia="Arial" w:hAnsi="Arial"/>
          <w:sz w:val="15"/>
          <w:szCs w:val="15"/>
          <w:b w:val="1"/>
          <w:bCs w:val="1"/>
          <w:i w:val="1"/>
          <w:iCs w:val="1"/>
          <w:color w:val="auto"/>
        </w:rPr>
        <w:t xml:space="preserve">Mezzanine Loans. </w:t>
      </w:r>
      <w:r>
        <w:rPr>
          <w:rFonts w:ascii="Arial" w:cs="Arial" w:eastAsia="Arial" w:hAnsi="Arial"/>
          <w:sz w:val="15"/>
          <w:szCs w:val="15"/>
          <w:color w:val="auto"/>
        </w:rPr>
        <w:t>Our mezzanine debt investments are generally subordinated to senior loans and may be unsecured. As such, other creditors may rank senior to us in the event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 insolvency, which could likely in many cases result in a substantial or complete loss on such investment in the case of such insolvency. This may result in an above average amount of risk and loss of principal.</w:t>
      </w:r>
    </w:p>
    <w:p>
      <w:pPr>
        <w:spacing w:after="0" w:line="155" w:lineRule="exact"/>
        <w:rPr>
          <w:sz w:val="20"/>
          <w:szCs w:val="20"/>
          <w:color w:val="auto"/>
        </w:rPr>
      </w:pPr>
    </w:p>
    <w:p>
      <w:pPr>
        <w:ind w:right="60" w:firstLine="543"/>
        <w:spacing w:after="0" w:line="280" w:lineRule="auto"/>
        <w:rPr>
          <w:sz w:val="20"/>
          <w:szCs w:val="20"/>
          <w:color w:val="auto"/>
        </w:rPr>
      </w:pPr>
      <w:r>
        <w:rPr>
          <w:rFonts w:ascii="Arial" w:cs="Arial" w:eastAsia="Arial" w:hAnsi="Arial"/>
          <w:sz w:val="14"/>
          <w:szCs w:val="14"/>
          <w:b w:val="1"/>
          <w:bCs w:val="1"/>
          <w:i w:val="1"/>
          <w:iCs w:val="1"/>
          <w:color w:val="auto"/>
        </w:rPr>
        <w:t xml:space="preserve">Equity Investments. </w:t>
      </w:r>
      <w:r>
        <w:rPr>
          <w:rFonts w:ascii="Arial" w:cs="Arial" w:eastAsia="Arial" w:hAnsi="Arial"/>
          <w:sz w:val="14"/>
          <w:szCs w:val="14"/>
          <w:color w:val="auto"/>
        </w:rPr>
        <w:t>When we invest in senior secured loans or mezzanine loans, we may acquire equity securities as well. In addition, we may invest directly in the equity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securities of portfolio companies.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The portfolio currently has several significant equity positions. Distributions, dispositions, or liquidity events of these investments may affect our results of operations and cause us to have to pay a special dividend relating to the realized gains from such investment in order to minimize to the greatest extent possible our federal income or excise tax liability.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40" w:name="page41"/>
    <w:bookmarkEnd w:id="40"/>
    <w:p>
      <w:pPr>
        <w:ind w:left="540"/>
        <w:spacing w:after="0"/>
        <w:rPr>
          <w:sz w:val="20"/>
          <w:szCs w:val="20"/>
          <w:color w:val="auto"/>
        </w:rPr>
      </w:pPr>
      <w:r>
        <w:rPr>
          <w:rFonts w:ascii="Arial" w:cs="Arial" w:eastAsia="Arial" w:hAnsi="Arial"/>
          <w:sz w:val="15"/>
          <w:szCs w:val="15"/>
          <w:color w:val="auto"/>
        </w:rPr>
        <w:t>In addition, investing in smaller and lower middle-market companies involves a number of significant risks, including:</w:t>
      </w:r>
    </w:p>
    <w:p>
      <w:pPr>
        <w:spacing w:after="0" w:line="189" w:lineRule="exact"/>
        <w:rPr>
          <w:sz w:val="20"/>
          <w:szCs w:val="20"/>
          <w:color w:val="auto"/>
        </w:rPr>
      </w:pPr>
    </w:p>
    <w:p>
      <w:pPr>
        <w:ind w:left="1180" w:hanging="364"/>
        <w:spacing w:after="0" w:line="356" w:lineRule="auto"/>
        <w:tabs>
          <w:tab w:leader="none" w:pos="11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99" w:lineRule="exact"/>
        <w:rPr>
          <w:rFonts w:ascii="Arial" w:cs="Arial" w:eastAsia="Arial" w:hAnsi="Arial"/>
          <w:sz w:val="13"/>
          <w:szCs w:val="13"/>
          <w:color w:val="auto"/>
        </w:rPr>
      </w:pPr>
    </w:p>
    <w:p>
      <w:pPr>
        <w:ind w:left="1180" w:right="260" w:hanging="364"/>
        <w:spacing w:after="0" w:line="276" w:lineRule="auto"/>
        <w:tabs>
          <w:tab w:leader="none" w:pos="11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they typically have shorter operating histories, narrower product lines and smaller market shares than larger businesses, which tend to render them more vulnerable to competitors’ actions and market conditions, as well as general economic downturns;</w:t>
      </w:r>
    </w:p>
    <w:p>
      <w:pPr>
        <w:spacing w:after="0" w:line="146" w:lineRule="exact"/>
        <w:rPr>
          <w:rFonts w:ascii="Arial" w:cs="Arial" w:eastAsia="Arial" w:hAnsi="Arial"/>
          <w:sz w:val="15"/>
          <w:szCs w:val="15"/>
          <w:color w:val="auto"/>
        </w:rPr>
      </w:pPr>
    </w:p>
    <w:p>
      <w:pPr>
        <w:ind w:left="1180" w:right="320" w:hanging="364"/>
        <w:spacing w:after="0" w:line="276" w:lineRule="auto"/>
        <w:tabs>
          <w:tab w:leader="none" w:pos="11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46" w:lineRule="exact"/>
        <w:rPr>
          <w:rFonts w:ascii="Arial" w:cs="Arial" w:eastAsia="Arial" w:hAnsi="Arial"/>
          <w:sz w:val="15"/>
          <w:szCs w:val="15"/>
          <w:color w:val="auto"/>
        </w:rPr>
      </w:pPr>
    </w:p>
    <w:p>
      <w:pPr>
        <w:ind w:left="1180" w:right="20" w:hanging="364"/>
        <w:spacing w:after="0" w:line="356" w:lineRule="auto"/>
        <w:tabs>
          <w:tab w:leader="none" w:pos="11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99" w:lineRule="exact"/>
        <w:rPr>
          <w:rFonts w:ascii="Arial" w:cs="Arial" w:eastAsia="Arial" w:hAnsi="Arial"/>
          <w:sz w:val="13"/>
          <w:szCs w:val="13"/>
          <w:color w:val="auto"/>
        </w:rPr>
      </w:pPr>
    </w:p>
    <w:p>
      <w:pPr>
        <w:ind w:left="1180" w:right="80" w:hanging="364"/>
        <w:spacing w:after="0" w:line="276" w:lineRule="auto"/>
        <w:tabs>
          <w:tab w:leader="none" w:pos="11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they may have difficulty accessing the capital markets to meet future capital needs, which may limit their ability to grow or to repay their outstanding indebtedness upon maturity; and</w:t>
      </w:r>
    </w:p>
    <w:p>
      <w:pPr>
        <w:spacing w:after="0" w:line="146" w:lineRule="exact"/>
        <w:rPr>
          <w:rFonts w:ascii="Arial" w:cs="Arial" w:eastAsia="Arial" w:hAnsi="Arial"/>
          <w:sz w:val="15"/>
          <w:szCs w:val="15"/>
          <w:color w:val="auto"/>
        </w:rPr>
      </w:pPr>
    </w:p>
    <w:p>
      <w:pPr>
        <w:ind w:left="1180" w:right="100" w:hanging="364"/>
        <w:spacing w:after="0" w:line="276" w:lineRule="auto"/>
        <w:tabs>
          <w:tab w:leader="none" w:pos="11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executive officers, directors and our investment adviser may, in the ordinary course of business, be named as defendants in litigation arising from our investments in the portfolio companies.</w:t>
      </w:r>
    </w:p>
    <w:p>
      <w:pPr>
        <w:spacing w:after="0" w:line="146" w:lineRule="exact"/>
        <w:rPr>
          <w:sz w:val="20"/>
          <w:szCs w:val="20"/>
          <w:color w:val="auto"/>
        </w:rPr>
      </w:pPr>
    </w:p>
    <w:p>
      <w:pPr>
        <w:ind w:right="40"/>
        <w:spacing w:after="0" w:line="356" w:lineRule="auto"/>
        <w:rPr>
          <w:sz w:val="20"/>
          <w:szCs w:val="20"/>
          <w:color w:val="auto"/>
        </w:rPr>
      </w:pPr>
      <w:r>
        <w:rPr>
          <w:rFonts w:ascii="Arial" w:cs="Arial" w:eastAsia="Arial" w:hAnsi="Arial"/>
          <w:sz w:val="13"/>
          <w:szCs w:val="13"/>
          <w:b w:val="1"/>
          <w:bCs w:val="1"/>
          <w:i w:val="1"/>
          <w:iCs w:val="1"/>
          <w:color w:val="auto"/>
        </w:rPr>
        <w:t>An investment strategy focused primarily on smaller privately held companies involves a high degree of risk and presents certain challenges, including the lack of available information about these companies, a dependence on the talents and efforts of only a few key portfolio company personnel and a greater vulnerability to economic downturns.</w:t>
      </w:r>
    </w:p>
    <w:p>
      <w:pPr>
        <w:spacing w:after="0" w:line="99" w:lineRule="exact"/>
        <w:rPr>
          <w:sz w:val="20"/>
          <w:szCs w:val="20"/>
          <w:color w:val="auto"/>
        </w:rPr>
      </w:pPr>
    </w:p>
    <w:p>
      <w:pPr>
        <w:ind w:right="40" w:firstLine="543"/>
        <w:spacing w:after="0" w:line="274" w:lineRule="auto"/>
        <w:rPr>
          <w:sz w:val="20"/>
          <w:szCs w:val="20"/>
          <w:color w:val="auto"/>
        </w:rPr>
      </w:pPr>
      <w:r>
        <w:rPr>
          <w:rFonts w:ascii="Arial" w:cs="Arial" w:eastAsia="Arial" w:hAnsi="Arial"/>
          <w:sz w:val="14"/>
          <w:szCs w:val="14"/>
          <w:color w:val="auto"/>
        </w:rPr>
        <w:t>Our portfolio consists primarily of debt and equity investments in smaller privately owned venture capital- backed companies. Investing in venture capital-backed companies involves a number of significant risks. Typically, the debt in which we will invest is not initially rated by any rating agency; however, we believe that if such investments were rated, they would be rated below investment grade. Below investment grade securities, which are often referred to as “high yield” or “junk,” have predominantly speculative characteristics with respect to the issuer’s capacity to pay interest and repay principal. Compared to larger publicly owned companies, these venture capital-backed companies may be in a weaker financial position and experience wider variations in their operating results, which may make them more vulnerable to economic downturns. Typically, these companies need more capital to compete; however, their access to capital is limited and their cost of capital is often higher than that of their competitors. Our portfolio companies often face intense competition from larger companies with greater financial, technical and marketing resources and their success typically depends on the managerial talents and efforts of an individual or a small group of persons. Therefore, any loss of its key employees could affect a portfolio company’s ability to compete effectively and harm its financial condition. Further, some of these companies conduct business in regulated industries that are susceptible to regulatory changes. These factors could impair the cash flow of our portfolio companies and result in other events, such as bankruptcy. These events could limit a portfolio company’s ability to repay its obligations to us, which may have an adverse effect on the return on, or the recovery of, our investment in these businesses. Deterioration in a borrower’s financial condition and prospects may be accompanied by deterioration in the value of the loan’s collateral.</w:t>
      </w:r>
    </w:p>
    <w:p>
      <w:pPr>
        <w:spacing w:after="0" w:line="150" w:lineRule="exact"/>
        <w:rPr>
          <w:sz w:val="20"/>
          <w:szCs w:val="20"/>
          <w:color w:val="auto"/>
        </w:rPr>
      </w:pPr>
    </w:p>
    <w:p>
      <w:pPr>
        <w:ind w:right="20" w:firstLine="543"/>
        <w:spacing w:after="0" w:line="284" w:lineRule="auto"/>
        <w:rPr>
          <w:sz w:val="20"/>
          <w:szCs w:val="20"/>
          <w:color w:val="auto"/>
        </w:rPr>
      </w:pPr>
      <w:r>
        <w:rPr>
          <w:rFonts w:ascii="Arial" w:cs="Arial" w:eastAsia="Arial" w:hAnsi="Arial"/>
          <w:sz w:val="14"/>
          <w:szCs w:val="14"/>
          <w:color w:val="auto"/>
        </w:rPr>
        <w:t>Generally, little public information exists about these companies, and we are required to rely on the ability of our investment adviser’s investment team to obtain adequate information to evaluate the potential returns from investing in these companies. If we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adversely affect our investment returns as compared to companies investing primarily in the securities of public companies.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Many of our loans are not fully amortizing and if a borrower cannot repay or refinance such loans at maturity, our results will suffer.</w:t>
      </w:r>
    </w:p>
    <w:p>
      <w:pPr>
        <w:spacing w:after="0" w:line="189" w:lineRule="exact"/>
        <w:rPr>
          <w:sz w:val="20"/>
          <w:szCs w:val="20"/>
          <w:color w:val="auto"/>
        </w:rPr>
      </w:pPr>
    </w:p>
    <w:p>
      <w:pPr>
        <w:ind w:right="40" w:firstLine="543"/>
        <w:spacing w:after="0" w:line="280" w:lineRule="auto"/>
        <w:rPr>
          <w:sz w:val="20"/>
          <w:szCs w:val="20"/>
          <w:color w:val="auto"/>
        </w:rPr>
      </w:pPr>
      <w:r>
        <w:rPr>
          <w:rFonts w:ascii="Arial" w:cs="Arial" w:eastAsia="Arial" w:hAnsi="Arial"/>
          <w:sz w:val="14"/>
          <w:szCs w:val="14"/>
          <w:color w:val="auto"/>
        </w:rPr>
        <w:t>Most of the loans in which we invest are not structured to fully amortize during their lifetime. Accordingly, a significant portion of the principal amount of such a loan may be due at maturity. As of December 31, 2013, all debt instruments in our portfolio, on a fair value basis, will not fully amortize prior to maturity. In order to create liquidity to pay the final principal payment, borrowers typically must raise additional capital. If they are unable to raise sufficient funds to repay us or we have not elected to enter into a new loan agreement providing for an extended maturity, the loan will go into default, which will require us to foreclose on the borrower’s assets, even if the loan was otherwise performing prior to maturity. This will deprive Capitala Finance from immediately obtaining full recovery on the loan and prevent or delay the reinvestment of the loan proceeds in other, more profitable investments.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62" w:right="21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i w:val="1"/>
          <w:iCs w:val="1"/>
          <w:color w:val="auto"/>
        </w:rPr>
        <w:t>Our investments in leveraged portfolio companies may be risky, and you could lose all or part of your investment.</w:t>
      </w:r>
    </w:p>
    <w:p>
      <w:pPr>
        <w:spacing w:after="0" w:line="189" w:lineRule="exact"/>
        <w:rPr>
          <w:sz w:val="20"/>
          <w:szCs w:val="20"/>
          <w:color w:val="auto"/>
        </w:rPr>
      </w:pPr>
    </w:p>
    <w:p>
      <w:pPr>
        <w:ind w:right="160" w:firstLine="543"/>
        <w:spacing w:after="0" w:line="284" w:lineRule="auto"/>
        <w:rPr>
          <w:sz w:val="20"/>
          <w:szCs w:val="20"/>
          <w:color w:val="auto"/>
        </w:rPr>
      </w:pPr>
      <w:r>
        <w:rPr>
          <w:rFonts w:ascii="Arial" w:cs="Arial" w:eastAsia="Arial" w:hAnsi="Arial"/>
          <w:sz w:val="14"/>
          <w:szCs w:val="14"/>
          <w:color w:val="auto"/>
        </w:rPr>
        <w:t>Investment in leveraged companies involves a number of significant risks. Leveraged companies in which we invest may have limited financial resources and may be unable to meet their obligations under their loans and debt securities that we hold. Such developments may be accompanied by a deterioration in the value of any collateral and a reduction in the likelihood of our realizing any guarantees that we may have obtained in connection with our investment. Smaller leveraged companies also may have less predictable operating results and may require substantial additional capital to support their operations, finance their expansion or maintain their competitive position.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may incur debt that ranks equally with, or senior to, our investments in such companies.</w:t>
      </w:r>
    </w:p>
    <w:p>
      <w:pPr>
        <w:spacing w:after="0" w:line="189" w:lineRule="exact"/>
        <w:rPr>
          <w:sz w:val="20"/>
          <w:szCs w:val="20"/>
          <w:color w:val="auto"/>
        </w:rPr>
      </w:pPr>
    </w:p>
    <w:p>
      <w:pPr>
        <w:ind w:right="20" w:firstLine="543"/>
        <w:spacing w:after="0" w:line="303" w:lineRule="auto"/>
        <w:rPr>
          <w:sz w:val="20"/>
          <w:szCs w:val="20"/>
          <w:color w:val="auto"/>
        </w:rPr>
      </w:pPr>
      <w:r>
        <w:rPr>
          <w:rFonts w:ascii="Arial" w:cs="Arial" w:eastAsia="Arial" w:hAnsi="Arial"/>
          <w:sz w:val="13"/>
          <w:szCs w:val="13"/>
          <w:color w:val="auto"/>
        </w:rPr>
        <w:t>Our portfolio companies may have, or may be permitted to incur, other debt that ranks equally with, or in some cases senior to, the debt in which we invest. By their terms, such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sufficient remaining assets to repay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34"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46" w:lineRule="exact"/>
        <w:rPr>
          <w:sz w:val="20"/>
          <w:szCs w:val="20"/>
          <w:color w:val="auto"/>
        </w:rPr>
      </w:pPr>
    </w:p>
    <w:p>
      <w:pPr>
        <w:ind w:right="60" w:firstLine="543"/>
        <w:spacing w:after="0" w:line="275" w:lineRule="auto"/>
        <w:rPr>
          <w:sz w:val="20"/>
          <w:szCs w:val="20"/>
          <w:color w:val="auto"/>
        </w:rPr>
      </w:pPr>
      <w:r>
        <w:rPr>
          <w:rFonts w:ascii="Arial" w:cs="Arial" w:eastAsia="Arial" w:hAnsi="Arial"/>
          <w:sz w:val="14"/>
          <w:szCs w:val="14"/>
          <w:color w:val="auto"/>
        </w:rPr>
        <w:t>Certain loans that we make are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 any collateral in the event of bankruptcy or other default. In many such cases, the senior lender requires us to enter into an “intercreditor agreement” prior to permitting the portfolio company to borrow from us. Typically the intercreditor agreements we are requested to execute expressly subordinate our debt instruments to those held by the senior lender and further provide that the senior lender shall control: (i) the commencement of foreclosure or other proceedings to liquidate and collect on the collateral; (ii) the nature, timing and conduct of foreclosure or other collection proceedings; (iii) the amendment of any collateral document; (iv) the release of the security interests in respect of any collateral; and (v) the waiver of defaults under any security agreement. Because of the control we may cede to senior lenders under intercreditor agreements we may enter, we may be unable to realize the proceeds of any collateral securing some of our loans.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make subordinated investments, the obligors or the portfolio companies may not generate sufficient cash flow to service their debt obligations to us.</w:t>
      </w:r>
    </w:p>
    <w:p>
      <w:pPr>
        <w:spacing w:after="0" w:line="189" w:lineRule="exact"/>
        <w:rPr>
          <w:sz w:val="20"/>
          <w:szCs w:val="20"/>
          <w:color w:val="auto"/>
        </w:rPr>
      </w:pPr>
    </w:p>
    <w:p>
      <w:pPr>
        <w:ind w:firstLine="543"/>
        <w:spacing w:after="0" w:line="260" w:lineRule="auto"/>
        <w:rPr>
          <w:sz w:val="20"/>
          <w:szCs w:val="20"/>
          <w:color w:val="auto"/>
        </w:rPr>
      </w:pPr>
      <w:r>
        <w:rPr>
          <w:rFonts w:ascii="Arial" w:cs="Arial" w:eastAsia="Arial" w:hAnsi="Arial"/>
          <w:sz w:val="15"/>
          <w:szCs w:val="15"/>
          <w:color w:val="auto"/>
        </w:rPr>
        <w:t>We have made, and may make, subordinated investments that rank below other obligations of the obligor in right of payment. Subordinated investments are subject to greater risk of default than senior obligations as a result of adverse changes in the financial condition of the obligor or economic conditions in general. If we make a subordinated investment in a portfolio company, the portfolio company may be highly leveraged, and its relatively high debt-to-equity ratio may create increased risks that its operations might not generate sufficient cash flow to service all of its debt obligations.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disposition of our investments may result in contingent liabilities.</w:t>
      </w:r>
    </w:p>
    <w:p>
      <w:pPr>
        <w:spacing w:after="0" w:line="189" w:lineRule="exact"/>
        <w:rPr>
          <w:sz w:val="20"/>
          <w:szCs w:val="20"/>
          <w:color w:val="auto"/>
        </w:rPr>
      </w:pPr>
    </w:p>
    <w:p>
      <w:pPr>
        <w:ind w:right="60" w:firstLine="543"/>
        <w:spacing w:after="0" w:line="284" w:lineRule="auto"/>
        <w:rPr>
          <w:sz w:val="20"/>
          <w:szCs w:val="20"/>
          <w:color w:val="auto"/>
        </w:rPr>
      </w:pPr>
      <w:r>
        <w:rPr>
          <w:rFonts w:ascii="Arial" w:cs="Arial" w:eastAsia="Arial" w:hAnsi="Arial"/>
          <w:sz w:val="14"/>
          <w:szCs w:val="14"/>
          <w:color w:val="auto"/>
        </w:rPr>
        <w:t>Substantially all of our investments involve loans and private securities. In connection with the disposition of an investment in loans and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potential liabilities. These arrangements may result in contingent liabilities that ultimately result in funding obligations that we must satisfy through our return of distributions previously made to us.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62" w:right="219" w:bottom="1440" w:gutter="0" w:footer="0" w:header="0"/>
        </w:sectPr>
      </w:pPr>
    </w:p>
    <w:bookmarkStart w:id="42" w:name="page43"/>
    <w:bookmarkEnd w:id="42"/>
    <w:p>
      <w:pPr>
        <w:ind w:left="10"/>
        <w:spacing w:after="0"/>
        <w:rPr>
          <w:sz w:val="20"/>
          <w:szCs w:val="20"/>
          <w:color w:val="auto"/>
        </w:rPr>
      </w:pPr>
      <w:r>
        <w:rPr>
          <w:rFonts w:ascii="Arial" w:cs="Arial" w:eastAsia="Arial" w:hAnsi="Arial"/>
          <w:sz w:val="15"/>
          <w:szCs w:val="15"/>
          <w:b w:val="1"/>
          <w:bCs w:val="1"/>
          <w:i w:val="1"/>
          <w:iCs w:val="1"/>
          <w:color w:val="auto"/>
        </w:rPr>
        <w:t>There may be circumstances where our debt investments could be subordinated to claims of other creditors or we could be subject to lender liability claims.</w:t>
      </w:r>
    </w:p>
    <w:p>
      <w:pPr>
        <w:spacing w:after="0" w:line="189" w:lineRule="exact"/>
        <w:rPr>
          <w:sz w:val="20"/>
          <w:szCs w:val="20"/>
          <w:color w:val="auto"/>
        </w:rPr>
      </w:pPr>
    </w:p>
    <w:p>
      <w:pPr>
        <w:ind w:left="10" w:firstLine="543"/>
        <w:spacing w:after="0" w:line="273" w:lineRule="auto"/>
        <w:rPr>
          <w:sz w:val="20"/>
          <w:szCs w:val="20"/>
          <w:color w:val="auto"/>
        </w:rPr>
      </w:pPr>
      <w:r>
        <w:rPr>
          <w:rFonts w:ascii="Arial" w:cs="Arial" w:eastAsia="Arial" w:hAnsi="Arial"/>
          <w:sz w:val="14"/>
          <w:szCs w:val="14"/>
          <w:color w:val="auto"/>
        </w:rPr>
        <w:t>Even though we may have structured most of our investments as secured loans, if one of our portfolio companies were to go bankrupt, depending on the facts and circumstances, and based upon principles of equitable subordination as defined by existing case law, a bankruptcy court could subordinate all or a portion of our claim to that of other creditors and transfer any lien securing such subordinated claim to the bankruptcy estate. The principles of equitable subordination defined by case law have generally indicated that a claim may be subordinated only if its holder is guilty of misconduct or where the senior loan is re-characterized as an equity investment and the senior lender has actually provided significant managerial assistance to the bankrupt debtor.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 or actions to compel and collect payments from the borrower outside the ordinary course of business. Such risk of equitable subordination may be potentially heightened with respect to various portfolio investments that we may be deemed to control. If we were deemed to have the ability to control or otherwise exercise influence over the business and affairs of one or more of our portfolio companies resulting in economic hardship to other creditors of that company, this control or influence may constitute grounds for equitable subordination and a court may treat one or more of our loans as if it were unsecured or common equity in the portfolio company. In that case, if the portfolio company were to liquidate, we would be entitled to repayment of our loan on a pro-rata basis with other unsecured debt or, if the effect of subordination was to place us at the level of common equity, then on an equal basis with other holders of the portfolio company’s common equity only after all of its obligations relating to its debt and preferred securities had been satisfied. See also “—Because we expect that we will not hold controlling equity interests in most of our portfolio companies, we may not be in a position to exercise control over our portfolio companies or to prevent decisions by management of our portfolio companies that could decrease the value of our investments.”</w:t>
      </w:r>
    </w:p>
    <w:p>
      <w:pPr>
        <w:spacing w:after="0" w:line="151"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Economic recessions could impair our portfolio companies and harm our operating results.</w:t>
      </w:r>
    </w:p>
    <w:p>
      <w:pPr>
        <w:spacing w:after="0" w:line="189" w:lineRule="exact"/>
        <w:rPr>
          <w:sz w:val="20"/>
          <w:szCs w:val="20"/>
          <w:color w:val="auto"/>
        </w:rPr>
      </w:pPr>
    </w:p>
    <w:p>
      <w:pPr>
        <w:ind w:left="10" w:right="260" w:firstLine="543"/>
        <w:spacing w:after="0" w:line="291" w:lineRule="auto"/>
        <w:rPr>
          <w:sz w:val="20"/>
          <w:szCs w:val="20"/>
          <w:color w:val="auto"/>
        </w:rPr>
      </w:pPr>
      <w:r>
        <w:rPr>
          <w:rFonts w:ascii="Arial" w:cs="Arial" w:eastAsia="Arial" w:hAnsi="Arial"/>
          <w:sz w:val="14"/>
          <w:szCs w:val="14"/>
          <w:color w:val="auto"/>
        </w:rPr>
        <w:t>Certain of our portfolio companies may be susceptible to an economic downturn and may be unable to repay our loans during this period. Therefore, assets may become non-performing and the value of our portfolio may decrease during this period. The adverse economic conditions also may decrease the value of collateral securing some of our loans and the value of our equity investments. A recession could lead to financial losses in our portfolio and a decrease in our revenues, net income and the value of our assets.</w:t>
      </w:r>
    </w:p>
    <w:p>
      <w:pPr>
        <w:spacing w:after="0" w:line="138" w:lineRule="exact"/>
        <w:rPr>
          <w:sz w:val="20"/>
          <w:szCs w:val="20"/>
          <w:color w:val="auto"/>
        </w:rPr>
      </w:pPr>
    </w:p>
    <w:p>
      <w:pPr>
        <w:ind w:left="10" w:right="320" w:firstLine="543"/>
        <w:spacing w:after="0" w:line="264" w:lineRule="auto"/>
        <w:rPr>
          <w:sz w:val="20"/>
          <w:szCs w:val="20"/>
          <w:color w:val="auto"/>
        </w:rPr>
      </w:pPr>
      <w:r>
        <w:rPr>
          <w:rFonts w:ascii="Arial" w:cs="Arial" w:eastAsia="Arial" w:hAnsi="Arial"/>
          <w:sz w:val="15"/>
          <w:szCs w:val="15"/>
          <w:color w:val="auto"/>
        </w:rPr>
        <w:t>Adverse economic conditions also may decrease the value of collateral securing some of our loans and the value of our equity investments at fair value. Unfavorable economic conditions also could increase our funding costs, limit our access to the capital markets or result in a decision by lenders not to extend credit to us. These events could prevent us from increasing investments and harm our operating results.</w:t>
      </w:r>
    </w:p>
    <w:p>
      <w:pPr>
        <w:spacing w:after="0" w:line="155" w:lineRule="exact"/>
        <w:rPr>
          <w:sz w:val="20"/>
          <w:szCs w:val="20"/>
          <w:color w:val="auto"/>
        </w:rPr>
      </w:pPr>
    </w:p>
    <w:p>
      <w:pPr>
        <w:ind w:left="10" w:right="20" w:firstLine="543"/>
        <w:spacing w:after="0" w:line="280" w:lineRule="auto"/>
        <w:rPr>
          <w:sz w:val="20"/>
          <w:szCs w:val="20"/>
          <w:color w:val="auto"/>
        </w:rPr>
      </w:pPr>
      <w:r>
        <w:rPr>
          <w:rFonts w:ascii="Arial" w:cs="Arial" w:eastAsia="Arial" w:hAnsi="Arial"/>
          <w:sz w:val="14"/>
          <w:szCs w:val="14"/>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actually provided significant managerial assistance to that portfolio company, a bankruptcy court might re-characterize our debt holdings and subordinate all or a portion of our claim to that of other creditors.</w:t>
      </w:r>
    </w:p>
    <w:p>
      <w:pPr>
        <w:spacing w:after="0" w:line="147" w:lineRule="exact"/>
        <w:rPr>
          <w:sz w:val="20"/>
          <w:szCs w:val="20"/>
          <w:color w:val="auto"/>
        </w:rPr>
      </w:pPr>
    </w:p>
    <w:p>
      <w:pPr>
        <w:ind w:left="10" w:right="100" w:firstLine="543"/>
        <w:spacing w:after="0" w:line="291" w:lineRule="auto"/>
        <w:rPr>
          <w:sz w:val="20"/>
          <w:szCs w:val="20"/>
          <w:color w:val="auto"/>
        </w:rPr>
      </w:pPr>
      <w:r>
        <w:rPr>
          <w:rFonts w:ascii="Arial" w:cs="Arial" w:eastAsia="Arial" w:hAnsi="Arial"/>
          <w:sz w:val="14"/>
          <w:szCs w:val="14"/>
          <w:color w:val="auto"/>
        </w:rPr>
        <w:t>These portfolio companies may face intense competition, including competition from companies with greater financial resources, more extensive research and development, manufacturing, marketing and service capabilities and greater number of qualified and experienced managerial and technical personnel. They may need additional financing which they are unable to secure and which we are unable or unwilling to provide, or they may be subject to adverse developments unrelated to the technologies they acquire.</w:t>
      </w:r>
    </w:p>
    <w:p>
      <w:pPr>
        <w:spacing w:after="0" w:line="138"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The lack of liquidity in our investments may adversely affect our business.</w:t>
      </w:r>
    </w:p>
    <w:p>
      <w:pPr>
        <w:spacing w:after="0" w:line="189" w:lineRule="exact"/>
        <w:rPr>
          <w:sz w:val="20"/>
          <w:szCs w:val="20"/>
          <w:color w:val="auto"/>
        </w:rPr>
      </w:pPr>
    </w:p>
    <w:p>
      <w:pPr>
        <w:ind w:left="10" w:right="320" w:firstLine="543"/>
        <w:spacing w:after="0" w:line="280" w:lineRule="auto"/>
        <w:rPr>
          <w:sz w:val="20"/>
          <w:szCs w:val="20"/>
          <w:color w:val="auto"/>
        </w:rPr>
      </w:pPr>
      <w:r>
        <w:rPr>
          <w:rFonts w:ascii="Arial" w:cs="Arial" w:eastAsia="Arial" w:hAnsi="Arial"/>
          <w:sz w:val="14"/>
          <w:szCs w:val="14"/>
          <w:color w:val="auto"/>
        </w:rPr>
        <w:t>We generally invest in companies whose securities are not publicly traded, and whose securities will be subject to legal and other restrictions on resale or will otherwise be less liquid than publicly traded securities. There is no established trading market for the securities in which we invest.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Further, we may face other restrictions on our ability to liquidate an investment in a portfolio company to the extent that we have material non-public information regarding such portfolio company.</w:t>
      </w:r>
    </w:p>
    <w:p>
      <w:pPr>
        <w:spacing w:after="0" w:line="147"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Our failure to make follow-on investments in our portfolio companies could impair the value of our portfolio.</w:t>
      </w:r>
    </w:p>
    <w:p>
      <w:pPr>
        <w:spacing w:after="0" w:line="189" w:lineRule="exact"/>
        <w:rPr>
          <w:sz w:val="20"/>
          <w:szCs w:val="20"/>
          <w:color w:val="auto"/>
        </w:rPr>
      </w:pPr>
    </w:p>
    <w:p>
      <w:pPr>
        <w:ind w:left="10" w:right="400" w:firstLine="543"/>
        <w:spacing w:after="0" w:line="298" w:lineRule="auto"/>
        <w:rPr>
          <w:sz w:val="20"/>
          <w:szCs w:val="20"/>
          <w:color w:val="auto"/>
        </w:rPr>
      </w:pPr>
      <w:r>
        <w:rPr>
          <w:rFonts w:ascii="Arial" w:cs="Arial" w:eastAsia="Arial" w:hAnsi="Arial"/>
          <w:sz w:val="13"/>
          <w:szCs w:val="13"/>
          <w:color w:val="auto"/>
        </w:rPr>
        <w:t>Following an initial investment in a portfolio company, we may make additional investments in that portfolio company as “follow-on” investments, in order to: (i) increase or maintain in whole or in part our equity ownership percentage; (ii) exercise warrants, options or convertible securities that were acquired in the original or a subsequent financing; or</w:t>
      </w:r>
    </w:p>
    <w:p>
      <w:pPr>
        <w:ind w:left="10" w:right="40" w:hanging="10"/>
        <w:spacing w:after="0" w:line="253" w:lineRule="auto"/>
        <w:tabs>
          <w:tab w:leader="none" w:pos="273" w:val="left"/>
        </w:tabs>
        <w:numPr>
          <w:ilvl w:val="0"/>
          <w:numId w:val="46"/>
        </w:numPr>
        <w:rPr>
          <w:rFonts w:ascii="Arial" w:cs="Arial" w:eastAsia="Arial" w:hAnsi="Arial"/>
          <w:sz w:val="15"/>
          <w:szCs w:val="15"/>
          <w:color w:val="auto"/>
        </w:rPr>
      </w:pPr>
      <w:r>
        <w:rPr>
          <w:rFonts w:ascii="Arial" w:cs="Arial" w:eastAsia="Arial" w:hAnsi="Arial"/>
          <w:sz w:val="15"/>
          <w:szCs w:val="15"/>
          <w:color w:val="auto"/>
        </w:rPr>
        <w:t>attempt to preserve or enhance the value of our investment. We may elect not to make follow-on investments or otherwise lack sufficient funds to make those investments. 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 on investment would affect our qualification as a RIC. For example, we may be prohibited under the 1940 Act from making follow-on investments in our portfolio companies that we may be deemed to “control” or in which affiliates of investment adviser are also invested.</w:t>
      </w:r>
    </w:p>
    <w:p>
      <w:pPr>
        <w:spacing w:after="0" w:line="347"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6884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30"/>
          </w:cols>
          <w:pgMar w:left="230" w:top="762" w:right="239" w:bottom="1440" w:gutter="0" w:footer="0" w:header="0"/>
        </w:sectPr>
      </w:pPr>
    </w:p>
    <w:bookmarkStart w:id="43" w:name="page44"/>
    <w:bookmarkEnd w:id="43"/>
    <w:p>
      <w:pPr>
        <w:ind w:right="100"/>
        <w:spacing w:after="0" w:line="276" w:lineRule="auto"/>
        <w:rPr>
          <w:sz w:val="20"/>
          <w:szCs w:val="20"/>
          <w:color w:val="auto"/>
        </w:rPr>
      </w:pPr>
      <w:r>
        <w:rPr>
          <w:rFonts w:ascii="Arial" w:cs="Arial" w:eastAsia="Arial" w:hAnsi="Arial"/>
          <w:sz w:val="15"/>
          <w:szCs w:val="15"/>
          <w:b w:val="1"/>
          <w:bCs w:val="1"/>
          <w:i w:val="1"/>
          <w:iCs w:val="1"/>
          <w:color w:val="auto"/>
        </w:rPr>
        <w:t>Our ability to enter into new transactions with our affiliates, and to restructure or exit our investments in portfolio companies that we are deemed to “control” under the 1940 Act, will be restricted by the 1940 Act, which may limit the scope of investment opportunities available to us.</w:t>
      </w:r>
    </w:p>
    <w:p>
      <w:pPr>
        <w:spacing w:after="0" w:line="146" w:lineRule="exact"/>
        <w:rPr>
          <w:sz w:val="20"/>
          <w:szCs w:val="20"/>
          <w:color w:val="auto"/>
        </w:rPr>
      </w:pPr>
    </w:p>
    <w:p>
      <w:pPr>
        <w:ind w:right="20" w:firstLine="543"/>
        <w:spacing w:after="0" w:line="276" w:lineRule="auto"/>
        <w:rPr>
          <w:sz w:val="20"/>
          <w:szCs w:val="20"/>
          <w:color w:val="auto"/>
        </w:rPr>
      </w:pPr>
      <w:r>
        <w:rPr>
          <w:rFonts w:ascii="Arial" w:cs="Arial" w:eastAsia="Arial" w:hAnsi="Arial"/>
          <w:sz w:val="14"/>
          <w:szCs w:val="14"/>
          <w:color w:val="auto"/>
        </w:rPr>
        <w:t>We are prohibited under the 1940 Act from participating in certain transactions with our affiliates without the prior approval of our independent directors and, in some cases, the SEC. Any person that owns, directly or indirectly, 5% or more of our outstanding voting securities will be our affiliate for purposes of the 1940 Act and we are generally prohibited from buying or selling any security from or to such affiliate without the prior approval of our independent directors. The 1940 Act also prohibits certain ‘‘joint’’ transactions with certain of our affiliates, which could include concurrent investments in the same company, without prior approval of our independent directors and, in some cases, the SEC. We are prohibited from buying or selling any security from or to any person that controls us or who owns more than 25% of our voting securities or certain of that person’s affiliates, or entering into prohibited joint transactions with such persons, absent the prior approval of the SEC. As a result of these restrictions, we may be prohibited from buying or selling any security (other than any security of which we are the issuer) from or to any company that is advised or managed by our investment adviser or its affiliates without the prior approval of the SEC, which may limit the scope of investment opportunities that would otherwise be available to us.</w:t>
      </w:r>
    </w:p>
    <w:p>
      <w:pPr>
        <w:spacing w:after="0" w:line="148" w:lineRule="exact"/>
        <w:rPr>
          <w:sz w:val="20"/>
          <w:szCs w:val="20"/>
          <w:color w:val="auto"/>
        </w:rPr>
      </w:pPr>
    </w:p>
    <w:p>
      <w:pPr>
        <w:ind w:right="20" w:firstLine="543"/>
        <w:spacing w:after="0" w:line="303" w:lineRule="auto"/>
        <w:rPr>
          <w:sz w:val="20"/>
          <w:szCs w:val="20"/>
          <w:color w:val="auto"/>
        </w:rPr>
      </w:pPr>
      <w:r>
        <w:rPr>
          <w:rFonts w:ascii="Arial" w:cs="Arial" w:eastAsia="Arial" w:hAnsi="Arial"/>
          <w:sz w:val="13"/>
          <w:szCs w:val="13"/>
          <w:color w:val="auto"/>
        </w:rPr>
        <w:t>In the future, we may co-invest with investment funds, accounts and vehicles managed by our investment adviser or its affiliates when doing so is consistent with our investment strategy as well as applicable law and SEC staff interpretations. We generally will only be permitted to co-invest with such investment funds, accounts and vehicles where the only term that is negotiated is price. However, we and our investment adviser intend to file an exemptive application with the SEC to permit greater flexibility to negotiate the terms of co-investments with investment funds, accounts and investment vehicles managed by our investment adviser or its affiliates in a manner consistent with our investment objective, positions, policies, strategies and restrictions as well as regulatory requirements and other pertinent factors. If we file this exemptive application, there can be no assurance that we will receive exemptive relief from the SEC to permit us to co-invest with investment funds, accounts and investment vehicles managed by our investment adviser or its affiliates where terms other than price are negotiated.</w:t>
      </w:r>
    </w:p>
    <w:p>
      <w:pPr>
        <w:spacing w:after="0" w:line="134" w:lineRule="exact"/>
        <w:rPr>
          <w:sz w:val="20"/>
          <w:szCs w:val="20"/>
          <w:color w:val="auto"/>
        </w:rPr>
      </w:pPr>
    </w:p>
    <w:p>
      <w:pPr>
        <w:ind w:right="40" w:firstLine="543"/>
        <w:spacing w:after="0" w:line="280" w:lineRule="auto"/>
        <w:rPr>
          <w:sz w:val="20"/>
          <w:szCs w:val="20"/>
          <w:color w:val="auto"/>
        </w:rPr>
      </w:pPr>
      <w:r>
        <w:rPr>
          <w:rFonts w:ascii="Arial" w:cs="Arial" w:eastAsia="Arial" w:hAnsi="Arial"/>
          <w:sz w:val="14"/>
          <w:szCs w:val="14"/>
          <w:color w:val="auto"/>
        </w:rPr>
        <w:t>In addition, within our portfolio there are investments that may be deemed to be “controlled” investment under the 1940 Act. To the extent that our investments in such portfolio companies need to be restructured or that we choose to exit these investments in the future, our ability to do so may be limited if such restructuring or exit also involves the affiliates of our investment adviser because such a transaction could be considered a joint transaction prohibited by the 1940 Act in the absence of our receipt of relief from the SEC in connection with such transaction. For example, if an affiliate of our investment adviser were required to approve a restructuring of an investment in the portfolio and the affiliate of our investment adviser was deemed to be our affiliate, such a restructuring transaction may constitute a prohibited joint transaction under the 1940 Act.</w:t>
      </w:r>
    </w:p>
    <w:p>
      <w:pPr>
        <w:spacing w:after="0" w:line="147"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b w:val="1"/>
          <w:bCs w:val="1"/>
          <w:i w:val="1"/>
          <w:iCs w:val="1"/>
          <w:color w:val="auto"/>
        </w:rPr>
        <w:t>Our portfolio may lack diversification among portfolio companies, which may subject us to a risk of significant loss if one or more of these companies defaults on its obligations under any of its debt instruments.</w:t>
      </w:r>
    </w:p>
    <w:p>
      <w:pPr>
        <w:spacing w:after="0" w:line="146" w:lineRule="exact"/>
        <w:rPr>
          <w:sz w:val="20"/>
          <w:szCs w:val="20"/>
          <w:color w:val="auto"/>
        </w:rPr>
      </w:pPr>
    </w:p>
    <w:p>
      <w:pPr>
        <w:ind w:right="180" w:firstLine="543"/>
        <w:spacing w:after="0" w:line="258" w:lineRule="auto"/>
        <w:rPr>
          <w:sz w:val="20"/>
          <w:szCs w:val="20"/>
          <w:color w:val="auto"/>
        </w:rPr>
      </w:pPr>
      <w:r>
        <w:rPr>
          <w:rFonts w:ascii="Arial" w:cs="Arial" w:eastAsia="Arial" w:hAnsi="Arial"/>
          <w:sz w:val="15"/>
          <w:szCs w:val="15"/>
          <w:color w:val="auto"/>
        </w:rPr>
        <w:t>Our portfolio may be concentrated in a limited number of portfolio companies. Beyond the asset diversification requirements associated with our qualification as a RIC under the Code, we do not have fixed guidelines for diversification, and our investments may be concentrated in relatively few companies. As our portfolio is less diversified than the portfolios of some larger funds, we are more susceptible to failure if a single loan fails. The disposition or liquidity of a significant investment may also adversely impact our net asset value and our results of operations. Similarly, the aggregate returns we realize may be significantly adversely affected if a small number of investments perform poorly or if we need to write down the value of any one investment.</w:t>
      </w:r>
    </w:p>
    <w:p>
      <w:pPr>
        <w:spacing w:after="0" w:line="159" w:lineRule="exact"/>
        <w:rPr>
          <w:sz w:val="20"/>
          <w:szCs w:val="20"/>
          <w:color w:val="auto"/>
        </w:rPr>
      </w:pPr>
    </w:p>
    <w:p>
      <w:pPr>
        <w:ind w:right="180"/>
        <w:spacing w:after="0" w:line="276" w:lineRule="auto"/>
        <w:rPr>
          <w:sz w:val="20"/>
          <w:szCs w:val="20"/>
          <w:color w:val="auto"/>
        </w:rPr>
      </w:pPr>
      <w:r>
        <w:rPr>
          <w:rFonts w:ascii="Arial" w:cs="Arial" w:eastAsia="Arial" w:hAnsi="Arial"/>
          <w:sz w:val="15"/>
          <w:szCs w:val="15"/>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146" w:lineRule="exact"/>
        <w:rPr>
          <w:sz w:val="20"/>
          <w:szCs w:val="20"/>
          <w:color w:val="auto"/>
        </w:rPr>
      </w:pPr>
    </w:p>
    <w:p>
      <w:pPr>
        <w:ind w:firstLine="543"/>
        <w:spacing w:after="0" w:line="280" w:lineRule="auto"/>
        <w:rPr>
          <w:sz w:val="20"/>
          <w:szCs w:val="20"/>
          <w:color w:val="auto"/>
        </w:rPr>
      </w:pPr>
      <w:r>
        <w:rPr>
          <w:rFonts w:ascii="Arial" w:cs="Arial" w:eastAsia="Arial" w:hAnsi="Arial"/>
          <w:sz w:val="14"/>
          <w:szCs w:val="14"/>
          <w:color w:val="auto"/>
        </w:rPr>
        <w:t>We are classified as a non-diversified investment company within the meaning of the 1940 Act, which means that we are not limited by the 1940 Act with respect to the proportion of our assets that we may invest in securities of a single issuer. Beyond the asset diversification requirements associated with our qualification as a RIC under the Code, we do not have fixed guidelines for diversification. To the extent that we assume large positions in the securities of a small number of issuers or our investments are concentrated in relatively few industries,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44" w:name="page45"/>
    <w:bookmarkEnd w:id="44"/>
    <w:p>
      <w:pPr>
        <w:ind w:right="80"/>
        <w:spacing w:after="0" w:line="276" w:lineRule="auto"/>
        <w:rPr>
          <w:sz w:val="20"/>
          <w:szCs w:val="20"/>
          <w:color w:val="auto"/>
        </w:rPr>
      </w:pPr>
      <w:r>
        <w:rPr>
          <w:rFonts w:ascii="Arial" w:cs="Arial" w:eastAsia="Arial" w:hAnsi="Arial"/>
          <w:sz w:val="15"/>
          <w:szCs w:val="15"/>
          <w:b w:val="1"/>
          <w:bCs w:val="1"/>
          <w:i w:val="1"/>
          <w:iCs w:val="1"/>
          <w:color w:val="auto"/>
        </w:rPr>
        <w:t>Our portfolio may be concentrated in a limited number of industries, which may subject us to a risk of significant loss if there is a downturn in a particular industry in which a number of our investments are concentrated.</w:t>
      </w:r>
    </w:p>
    <w:p>
      <w:pPr>
        <w:spacing w:after="0" w:line="146" w:lineRule="exact"/>
        <w:rPr>
          <w:sz w:val="20"/>
          <w:szCs w:val="20"/>
          <w:color w:val="auto"/>
        </w:rPr>
      </w:pPr>
    </w:p>
    <w:p>
      <w:pPr>
        <w:ind w:firstLine="543"/>
        <w:spacing w:after="0" w:line="291" w:lineRule="auto"/>
        <w:rPr>
          <w:sz w:val="20"/>
          <w:szCs w:val="20"/>
          <w:color w:val="auto"/>
        </w:rPr>
      </w:pPr>
      <w:r>
        <w:rPr>
          <w:rFonts w:ascii="Arial" w:cs="Arial" w:eastAsia="Arial" w:hAnsi="Arial"/>
          <w:sz w:val="14"/>
          <w:szCs w:val="14"/>
          <w:color w:val="auto"/>
        </w:rPr>
        <w:t>Our portfolio may be concentrated in a limited number of industries. A downturn in any particular industry in which we are invested could significantly impact the aggregate returns we realize. If an industry in which we have significant investments suffers from adverse business or economic conditions, as these industries have to varying degrees, a material portion of our investment portfolio could be affected adversely, which, in turn, could adversely affect our financial position and results of operations.</w:t>
      </w:r>
    </w:p>
    <w:p>
      <w:pPr>
        <w:spacing w:after="0" w:line="138" w:lineRule="exact"/>
        <w:rPr>
          <w:sz w:val="20"/>
          <w:szCs w:val="20"/>
          <w:color w:val="auto"/>
        </w:rPr>
      </w:pPr>
    </w:p>
    <w:p>
      <w:pPr>
        <w:ind w:right="420"/>
        <w:spacing w:after="0" w:line="276" w:lineRule="auto"/>
        <w:rPr>
          <w:sz w:val="20"/>
          <w:szCs w:val="20"/>
          <w:color w:val="auto"/>
        </w:rPr>
      </w:pPr>
      <w:r>
        <w:rPr>
          <w:rFonts w:ascii="Arial" w:cs="Arial" w:eastAsia="Arial" w:hAnsi="Arial"/>
          <w:sz w:val="15"/>
          <w:szCs w:val="15"/>
          <w:b w:val="1"/>
          <w:bCs w:val="1"/>
          <w:i w:val="1"/>
          <w:iCs w:val="1"/>
          <w:color w:val="auto"/>
        </w:rPr>
        <w:t>Because we will not hold controlling equity interests in most of our portfolio companies, we may not be in a position to exercise control over our portfolio companies or to prevent decisions by management of our portfolio companies that could decrease the value of our investments.</w:t>
      </w:r>
    </w:p>
    <w:p>
      <w:pPr>
        <w:spacing w:after="0" w:line="146" w:lineRule="exact"/>
        <w:rPr>
          <w:sz w:val="20"/>
          <w:szCs w:val="20"/>
          <w:color w:val="auto"/>
        </w:rPr>
      </w:pPr>
    </w:p>
    <w:p>
      <w:pPr>
        <w:ind w:right="40" w:firstLine="543"/>
        <w:spacing w:after="0" w:line="258" w:lineRule="auto"/>
        <w:rPr>
          <w:sz w:val="20"/>
          <w:szCs w:val="20"/>
          <w:color w:val="auto"/>
        </w:rPr>
      </w:pPr>
      <w:r>
        <w:rPr>
          <w:rFonts w:ascii="Arial" w:cs="Arial" w:eastAsia="Arial" w:hAnsi="Arial"/>
          <w:sz w:val="15"/>
          <w:szCs w:val="15"/>
          <w:color w:val="auto"/>
        </w:rPr>
        <w:t>We currently hold controlling equity positions in seven portfolio companies. Although we may do so in the future, we expect that we will not hold controlling equity positions in most of our portfolio companies. If we do not hold a controlling equity position in a portfolio company, we are subject to the risk that the portfolio company may make business decisions with which we disagree, and that the management and/or stockholders of the portfolio company may take risks or otherwise act in ways that are adverse to our interests. Due to the lack of liquidity of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Defaults by our portfolio companies will harm our operating results.</w:t>
      </w:r>
    </w:p>
    <w:p>
      <w:pPr>
        <w:spacing w:after="0" w:line="189" w:lineRule="exact"/>
        <w:rPr>
          <w:sz w:val="20"/>
          <w:szCs w:val="20"/>
          <w:color w:val="auto"/>
        </w:rPr>
      </w:pPr>
    </w:p>
    <w:p>
      <w:pPr>
        <w:ind w:right="120" w:firstLine="738"/>
        <w:spacing w:after="0" w:line="303"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Any extension or restructuring of our loans could adversely affect our cash flows. In addition, if one of our portfolio companies were to go bankrupt, even though we may have structured our interest as senior debt, depending on the facts and circumstances, including the extent to which we actually provided managerial assistance to that portfolio company, a bankruptcy court might recharacterize our debt holding and subordinate all or a portion of our claim to that of other creditors. If any of these occur, it could materially and adversely affect our operating results and cash flows.</w:t>
      </w:r>
    </w:p>
    <w:p>
      <w:pPr>
        <w:spacing w:after="0" w:line="134" w:lineRule="exact"/>
        <w:rPr>
          <w:sz w:val="20"/>
          <w:szCs w:val="20"/>
          <w:color w:val="auto"/>
        </w:rPr>
      </w:pPr>
    </w:p>
    <w:p>
      <w:pPr>
        <w:ind w:right="360"/>
        <w:spacing w:after="0" w:line="313" w:lineRule="auto"/>
        <w:rPr>
          <w:sz w:val="20"/>
          <w:szCs w:val="20"/>
          <w:color w:val="auto"/>
        </w:rPr>
      </w:pPr>
      <w:r>
        <w:rPr>
          <w:rFonts w:ascii="Arial" w:cs="Arial" w:eastAsia="Arial" w:hAnsi="Arial"/>
          <w:sz w:val="14"/>
          <w:szCs w:val="14"/>
          <w:b w:val="1"/>
          <w:bCs w:val="1"/>
          <w:i w:val="1"/>
          <w:iCs w:val="1"/>
          <w:color w:val="auto"/>
        </w:rPr>
        <w:t>If our portfolio companies are unable to protect their proprietary, technological and other intellectual property rights, our business and prospects could be harmed, and if portfolio companies are required to devote significant resources to protecting their intellectual property rights, the value of our investment could be reduced.</w:t>
      </w:r>
    </w:p>
    <w:p>
      <w:pPr>
        <w:spacing w:after="0" w:line="123" w:lineRule="exact"/>
        <w:rPr>
          <w:sz w:val="20"/>
          <w:szCs w:val="20"/>
          <w:color w:val="auto"/>
        </w:rPr>
      </w:pPr>
    </w:p>
    <w:p>
      <w:pPr>
        <w:ind w:right="60" w:firstLine="543"/>
        <w:spacing w:after="0" w:line="254" w:lineRule="auto"/>
        <w:rPr>
          <w:sz w:val="20"/>
          <w:szCs w:val="20"/>
          <w:color w:val="auto"/>
        </w:rPr>
      </w:pPr>
      <w:r>
        <w:rPr>
          <w:rFonts w:ascii="Arial" w:cs="Arial" w:eastAsia="Arial" w:hAnsi="Arial"/>
          <w:sz w:val="15"/>
          <w:szCs w:val="15"/>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that may be available in a downside scenario to repay our loans. Our portfolio companies will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third-party’s patent or other proprietary rights, it could be required to pay damages to the third-party, alter its products or processes, obtain a license from the third-party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unrealized losses we experience on our loan portfolio may be an indication of future realized losses, which could reduce our income available for distribution.</w:t>
      </w:r>
    </w:p>
    <w:p>
      <w:pPr>
        <w:spacing w:after="0" w:line="201" w:lineRule="exact"/>
        <w:rPr>
          <w:sz w:val="20"/>
          <w:szCs w:val="20"/>
          <w:color w:val="auto"/>
        </w:rPr>
      </w:pPr>
    </w:p>
    <w:p>
      <w:pPr>
        <w:ind w:right="100" w:firstLine="543"/>
        <w:spacing w:after="0" w:line="260" w:lineRule="auto"/>
        <w:rPr>
          <w:sz w:val="20"/>
          <w:szCs w:val="20"/>
          <w:color w:val="auto"/>
        </w:rPr>
      </w:pPr>
      <w:r>
        <w:rPr>
          <w:rFonts w:ascii="Arial" w:cs="Arial" w:eastAsia="Arial" w:hAnsi="Arial"/>
          <w:sz w:val="15"/>
          <w:szCs w:val="15"/>
          <w:color w:val="auto"/>
        </w:rPr>
        <w:t>As a BDC, we are required to carry our investments at market value or, if no market value is ascertainable, at the fair value as determined in good faith by our Board of Directors. Decreases in the market values or fair values of our investments will be recorded as unrealized depreciation. Any unrealized losses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Prepayments of our debt investments by our portfolio companies could adversely impact our results of operations and reduce our return on equity.</w:t>
      </w:r>
    </w:p>
    <w:p>
      <w:pPr>
        <w:spacing w:after="0" w:line="189" w:lineRule="exact"/>
        <w:rPr>
          <w:sz w:val="20"/>
          <w:szCs w:val="20"/>
          <w:color w:val="auto"/>
        </w:rPr>
      </w:pPr>
    </w:p>
    <w:p>
      <w:pPr>
        <w:ind w:right="120" w:firstLine="543"/>
        <w:spacing w:after="0" w:line="280" w:lineRule="auto"/>
        <w:rPr>
          <w:sz w:val="20"/>
          <w:szCs w:val="20"/>
          <w:color w:val="auto"/>
        </w:rPr>
      </w:pPr>
      <w:r>
        <w:rPr>
          <w:rFonts w:ascii="Arial" w:cs="Arial" w:eastAsia="Arial" w:hAnsi="Arial"/>
          <w:sz w:val="14"/>
          <w:szCs w:val="14"/>
          <w:color w:val="auto"/>
        </w:rPr>
        <w:t>We are subject to the risk that the investments we make in our portfolio companies may be repaid prior to maturity. When this occurs, we will generally reinvest these proceeds in temporary investments or repay any revolving credit facility, depending on expected future investment in new portfolio companies. Temporary investments will typically have substantially lower yields than the debt being prepaid and we could experience significant delays in reinvesting these amounts. Any future investment in a new portfolio company may also be at lower yields than the debt that was repaid. As a result, our results of operations could be materially adversely affected if one or more of our portfolio companies elect to prepay amounts owed to us. Additionally, prepayments could negatively impact our return on equity, which could result in a decline in the market price of our common stock.</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62" w:right="219" w:bottom="1440" w:gutter="0" w:footer="0" w:header="0"/>
        </w:sectPr>
      </w:pPr>
    </w:p>
    <w:bookmarkStart w:id="45" w:name="page46"/>
    <w:bookmarkEnd w:id="45"/>
    <w:p>
      <w:pPr>
        <w:spacing w:after="0"/>
        <w:rPr>
          <w:sz w:val="20"/>
          <w:szCs w:val="20"/>
          <w:color w:val="auto"/>
        </w:rPr>
      </w:pPr>
      <w:r>
        <w:rPr>
          <w:rFonts w:ascii="Arial" w:cs="Arial" w:eastAsia="Arial" w:hAnsi="Arial"/>
          <w:sz w:val="15"/>
          <w:szCs w:val="15"/>
          <w:b w:val="1"/>
          <w:bCs w:val="1"/>
          <w:i w:val="1"/>
          <w:iCs w:val="1"/>
          <w:color w:val="auto"/>
        </w:rPr>
        <w:t>We may not realize gains from our equity investments.</w:t>
      </w:r>
    </w:p>
    <w:p>
      <w:pPr>
        <w:spacing w:after="0" w:line="189" w:lineRule="exact"/>
        <w:rPr>
          <w:sz w:val="20"/>
          <w:szCs w:val="20"/>
          <w:color w:val="auto"/>
        </w:rPr>
      </w:pPr>
    </w:p>
    <w:p>
      <w:pPr>
        <w:ind w:firstLine="543"/>
        <w:spacing w:after="0" w:line="276" w:lineRule="auto"/>
        <w:rPr>
          <w:sz w:val="20"/>
          <w:szCs w:val="20"/>
          <w:color w:val="auto"/>
        </w:rPr>
      </w:pPr>
      <w:r>
        <w:rPr>
          <w:rFonts w:ascii="Arial" w:cs="Arial" w:eastAsia="Arial" w:hAnsi="Arial"/>
          <w:sz w:val="14"/>
          <w:szCs w:val="14"/>
          <w:color w:val="auto"/>
        </w:rPr>
        <w:t>Certain investments that we may make include warrants or other equity securities.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 In addition, we may from time to time make non-control, equity investments in portfolio companies.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will often seek puts or similar rights to give us the right to sell our equity securities back to the portfolio company issuer. We may be unable to exercise these put rights for the consideration provided in our investment documents if the issuer is in financial distress.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expose ourselves to risks if we engage in hedging transactions.</w:t>
      </w:r>
    </w:p>
    <w:p>
      <w:pPr>
        <w:spacing w:after="0" w:line="189" w:lineRule="exact"/>
        <w:rPr>
          <w:sz w:val="20"/>
          <w:szCs w:val="20"/>
          <w:color w:val="auto"/>
        </w:rPr>
      </w:pPr>
    </w:p>
    <w:p>
      <w:pPr>
        <w:ind w:right="40" w:firstLine="543"/>
        <w:spacing w:after="0" w:line="274"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To the extent we engage in hedging transactions, we also face the risk that counterparties to the derivatives instruments we hold may default, which may expose us to unexpected losses from positions where we believed that our risk had been appropriately hedged.</w:t>
      </w:r>
    </w:p>
    <w:p>
      <w:pPr>
        <w:spacing w:after="0" w:line="150"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b w:val="1"/>
          <w:bCs w:val="1"/>
          <w:i w:val="1"/>
          <w:iCs w:val="1"/>
          <w:color w:val="auto"/>
        </w:rPr>
        <w:t>Our Board of Directors is authorized to reclassify any unissued shares of common stock into one or more classes of preferred stock, which could convey special rights and privileges to its owners.</w:t>
      </w:r>
    </w:p>
    <w:p>
      <w:pPr>
        <w:spacing w:after="0" w:line="146" w:lineRule="exact"/>
        <w:rPr>
          <w:sz w:val="20"/>
          <w:szCs w:val="20"/>
          <w:color w:val="auto"/>
        </w:rPr>
      </w:pPr>
    </w:p>
    <w:p>
      <w:pPr>
        <w:ind w:right="20" w:firstLine="543"/>
        <w:spacing w:after="0" w:line="274" w:lineRule="auto"/>
        <w:rPr>
          <w:sz w:val="20"/>
          <w:szCs w:val="20"/>
          <w:color w:val="auto"/>
        </w:rPr>
      </w:pPr>
      <w:r>
        <w:rPr>
          <w:rFonts w:ascii="Arial" w:cs="Arial" w:eastAsia="Arial" w:hAnsi="Arial"/>
          <w:sz w:val="14"/>
          <w:szCs w:val="14"/>
          <w:color w:val="auto"/>
        </w:rPr>
        <w:t>Under Maryland General Corporation Law and our charter, our Board of Directors is authorized to classify and reclassify any authorized but unissued shares of stock into one or more classes of stock, including preferred stock. Prior to issuance of shares of each class or series, our Board of Directors will be required by Maryland law and our charter to set the terms, preferences, conversion or other rights, voting powers, restrictions, limitations as to dividends or other distributions, qualifications and terms or conditions of redemption for each class or series. Thus, our Board of Directors could authorize the issuance of shares of preferred stock with terms and conditions that could have the effect of delaying, deferring or preventing a transaction or a change in control that might involve a premium price for holders of our common stock or otherwise be in their best interest. The cost of any such reclassification would be borne by our common stockholders. Certain matters under the 1940 Act require the separate vote of the holders of any issued and outstanding preferred stock. For example, holders of preferred stock would vote separately from the holders of common stock on a proposal to cease operations as a BDC. In addition, the 1940 Act provides that holders of preferred stock are entitled to vote separately from holders of common stock to elect two preferred stock directors. We currently have no plans to issue preferred stock. The issuance of preferred shares convertible into shares of common stock may also reduce the net income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your investment in our common stock.</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212" w:lineRule="exact"/>
        <w:rPr>
          <w:sz w:val="20"/>
          <w:szCs w:val="20"/>
          <w:color w:val="auto"/>
        </w:rPr>
      </w:pPr>
    </w:p>
    <w:p>
      <w:pPr>
        <w:ind w:firstLine="543"/>
        <w:spacing w:after="0" w:line="254" w:lineRule="auto"/>
        <w:rPr>
          <w:sz w:val="20"/>
          <w:szCs w:val="20"/>
          <w:color w:val="auto"/>
        </w:rPr>
      </w:pPr>
      <w:r>
        <w:rPr>
          <w:rFonts w:ascii="Arial" w:cs="Arial" w:eastAsia="Arial" w:hAnsi="Arial"/>
          <w:sz w:val="15"/>
          <w:szCs w:val="15"/>
          <w:color w:val="auto"/>
        </w:rPr>
        <w:t>The Maryland General Corporation Law and our charter and bylaws contain provisions that may discourage, delay or make more difficult a change in control of Capitala Finance or the removal of our directors. We are subject to the Maryland Business Combination Act, subject to any applicable requirements of the 1940 Act. Our Board of Directors has adopted a resolution exempting from the Business Combination Act any business combination between us and any other person, subject to prior approval of such business combination by our Board of Directors, including approval by a majority of our independent directors. If the resolution exempting business combinations is repealed or our Board of Directors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stock by any person. If we amend our bylaws to repeal the exemption from the Control Share Acquisition Act, the Control Share Acquisition Act also may make it more difficult for a third-party to obtain control of us and increase the difficulty of consummating such a transaction. It is the position of the Staff of the SEC’s Division of Investment Management that if a BDC fails to opt-out of the Maryland Control Shares Acquisition Act, it acts in a manner inconsistent with section 18(i) of the 1940 Act.</w:t>
      </w:r>
    </w:p>
    <w:p>
      <w:pPr>
        <w:spacing w:after="0" w:line="167" w:lineRule="exact"/>
        <w:rPr>
          <w:sz w:val="20"/>
          <w:szCs w:val="20"/>
          <w:color w:val="auto"/>
        </w:rPr>
      </w:pPr>
    </w:p>
    <w:p>
      <w:pPr>
        <w:ind w:right="20" w:firstLine="543"/>
        <w:spacing w:after="0" w:line="312" w:lineRule="auto"/>
        <w:rPr>
          <w:sz w:val="20"/>
          <w:szCs w:val="20"/>
          <w:color w:val="auto"/>
        </w:rPr>
      </w:pPr>
      <w:r>
        <w:rPr>
          <w:rFonts w:ascii="Arial" w:cs="Arial" w:eastAsia="Arial" w:hAnsi="Arial"/>
          <w:sz w:val="13"/>
          <w:szCs w:val="13"/>
          <w:color w:val="auto"/>
        </w:rPr>
        <w:t>We have also adopted measures that may make it difficult for a third-party to obtain control of us, including provisions of our charter classifying our Board of Directors in three classes serving staggered three-year terms, and authorizing our Board of Directors to classify or reclassify shares of our stock in one or more classes or series, to cause the issuance of additional shares of our stock, to amend our charter without stockholder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28" w:lineRule="exact"/>
        <w:rPr>
          <w:sz w:val="20"/>
          <w:szCs w:val="20"/>
          <w:color w:val="auto"/>
        </w:rPr>
      </w:pPr>
    </w:p>
    <w:p>
      <w:pPr>
        <w:ind w:right="20" w:firstLine="543"/>
        <w:spacing w:after="0" w:line="258" w:lineRule="auto"/>
        <w:rPr>
          <w:sz w:val="20"/>
          <w:szCs w:val="20"/>
          <w:color w:val="auto"/>
        </w:rPr>
      </w:pPr>
      <w:r>
        <w:rPr>
          <w:rFonts w:ascii="Arial" w:cs="Arial" w:eastAsia="Arial" w:hAnsi="Arial"/>
          <w:sz w:val="15"/>
          <w:szCs w:val="15"/>
          <w:color w:val="auto"/>
        </w:rPr>
        <w:t>The foregoing provisions are expected to discourage certain coercive takeover practices and inadequate takeover bids and to encourage persons seeking to acquire control of us to negotiate first with our Board of Directors. However, these provisions may deprive a shareholder of the opportunity to sell such shareholder’s shares at a premium to a potential acquirer. We believe that the benefits of these provisions outweigh the potential disadvantages of discouraging any such acquisition proposals because, among other things, the negotiation of such proposals may improve their terms. Our Board of Directors has considered both the positive and negative effects of the foregoing provisions and determined that they are in the best interest of our shareholders.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health and performance of our portfolio companies could be adversely affected by political and economic conditions in the countries in which they conduct business.</w:t>
      </w:r>
    </w:p>
    <w:p>
      <w:pPr>
        <w:spacing w:after="0" w:line="201" w:lineRule="exact"/>
        <w:rPr>
          <w:sz w:val="20"/>
          <w:szCs w:val="20"/>
          <w:color w:val="auto"/>
        </w:rPr>
      </w:pPr>
    </w:p>
    <w:p>
      <w:pPr>
        <w:ind w:firstLine="543"/>
        <w:spacing w:after="0" w:line="256" w:lineRule="auto"/>
        <w:rPr>
          <w:sz w:val="20"/>
          <w:szCs w:val="20"/>
          <w:color w:val="auto"/>
        </w:rPr>
      </w:pPr>
      <w:r>
        <w:rPr>
          <w:rFonts w:ascii="Arial" w:cs="Arial" w:eastAsia="Arial" w:hAnsi="Arial"/>
          <w:sz w:val="15"/>
          <w:szCs w:val="15"/>
          <w:color w:val="auto"/>
        </w:rPr>
        <w:t>Some of the products of our portfolio companies are developed, manufactured, assembled, tested or marketed outside the United States. Any conflict or uncertainty in these countries, including due to natural disasters, public health concerns, political unrest or safety concerns, could harm their business, financial condition and results of operations. In addition, if the government of any country in which their products are developed, manufactured or sold sets technical or regulatory standards for products developed or manufactured in or imported into their country that are not widely shared, it may lead some of their customers to suspend imports of their products into that country, require manufacturers or developers in that country to manufacture or develop products with different technical or regulatory standards and disrupt cross-border manufacturing, marketing or business relationships which, in each case, could harm their businesses.</w:t>
      </w:r>
    </w:p>
    <w:p>
      <w:pPr>
        <w:spacing w:after="0" w:line="163" w:lineRule="exact"/>
        <w:rPr>
          <w:sz w:val="20"/>
          <w:szCs w:val="20"/>
          <w:color w:val="auto"/>
        </w:rPr>
      </w:pPr>
    </w:p>
    <w:p>
      <w:pPr>
        <w:ind w:right="460"/>
        <w:spacing w:after="0" w:line="276" w:lineRule="auto"/>
        <w:rPr>
          <w:sz w:val="20"/>
          <w:szCs w:val="20"/>
          <w:color w:val="auto"/>
        </w:rPr>
      </w:pPr>
      <w:r>
        <w:rPr>
          <w:rFonts w:ascii="Arial" w:cs="Arial" w:eastAsia="Arial" w:hAnsi="Arial"/>
          <w:sz w:val="15"/>
          <w:szCs w:val="15"/>
          <w:b w:val="1"/>
          <w:bCs w:val="1"/>
          <w:i w:val="1"/>
          <w:iCs w:val="1"/>
          <w:color w:val="auto"/>
        </w:rPr>
        <w:t>Our equity ownership in a portfolio company may represent a control investment. Our ability to exit a control investment in a timely manner could result in a realized loss on the investment.</w:t>
      </w:r>
    </w:p>
    <w:p>
      <w:pPr>
        <w:spacing w:after="0" w:line="146" w:lineRule="exact"/>
        <w:rPr>
          <w:sz w:val="20"/>
          <w:szCs w:val="20"/>
          <w:color w:val="auto"/>
        </w:rPr>
      </w:pPr>
    </w:p>
    <w:p>
      <w:pPr>
        <w:ind w:right="160" w:firstLine="543"/>
        <w:spacing w:after="0" w:line="284" w:lineRule="auto"/>
        <w:rPr>
          <w:sz w:val="20"/>
          <w:szCs w:val="20"/>
          <w:color w:val="auto"/>
        </w:rPr>
      </w:pPr>
      <w:r>
        <w:rPr>
          <w:rFonts w:ascii="Arial" w:cs="Arial" w:eastAsia="Arial" w:hAnsi="Arial"/>
          <w:sz w:val="14"/>
          <w:szCs w:val="14"/>
          <w:color w:val="auto"/>
        </w:rPr>
        <w:t>If we obtain a control investment in a portfolio company our ability to divest ourselves from a debt or equity investment could be restricted due to illiquidity in a private stock, limited trading volume on a public company’s stock, inside information on a company’s performance, insider blackout periods, or other factors that could prohibit us from disposing of the investment as we would if it were not a control investment. Additionally, we may choose not to take certain actions to protect a debt investment in a control investment portfolio company. As a result, we could experience a decrease in the value of our portfolio company holdings and potentially incur a realized loss on the investment.</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assets securing the loans that we make decrease in value, then we may lack sufficient collateral to cover losses.</w:t>
      </w:r>
    </w:p>
    <w:p>
      <w:pPr>
        <w:spacing w:after="0" w:line="189" w:lineRule="exact"/>
        <w:rPr>
          <w:sz w:val="20"/>
          <w:szCs w:val="20"/>
          <w:color w:val="auto"/>
        </w:rPr>
      </w:pPr>
    </w:p>
    <w:p>
      <w:pPr>
        <w:ind w:right="120" w:firstLine="543"/>
        <w:spacing w:after="0" w:line="276" w:lineRule="auto"/>
        <w:rPr>
          <w:sz w:val="20"/>
          <w:szCs w:val="20"/>
          <w:color w:val="auto"/>
        </w:rPr>
      </w:pPr>
      <w:r>
        <w:rPr>
          <w:rFonts w:ascii="Arial" w:cs="Arial" w:eastAsia="Arial" w:hAnsi="Arial"/>
          <w:sz w:val="15"/>
          <w:szCs w:val="15"/>
          <w:color w:val="auto"/>
        </w:rPr>
        <w:t>To attempt to mitigate credit risks, we will typically take a security interest in the available assets of our portfolio companies. There is no assurance that we will obtain or properly perfect our liens.</w:t>
      </w:r>
    </w:p>
    <w:p>
      <w:pPr>
        <w:spacing w:after="0" w:line="146" w:lineRule="exact"/>
        <w:rPr>
          <w:sz w:val="20"/>
          <w:szCs w:val="20"/>
          <w:color w:val="auto"/>
        </w:rPr>
      </w:pPr>
    </w:p>
    <w:p>
      <w:pPr>
        <w:ind w:firstLine="543"/>
        <w:spacing w:after="0" w:line="260" w:lineRule="auto"/>
        <w:rPr>
          <w:sz w:val="20"/>
          <w:szCs w:val="20"/>
          <w:color w:val="auto"/>
        </w:rPr>
      </w:pPr>
      <w:r>
        <w:rPr>
          <w:rFonts w:ascii="Arial" w:cs="Arial" w:eastAsia="Arial" w:hAnsi="Arial"/>
          <w:sz w:val="15"/>
          <w:szCs w:val="15"/>
          <w:color w:val="auto"/>
        </w:rPr>
        <w:t>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a portfolio company to raise additional capital. In some circumstances, our lien could be subordinated to claims of other creditors. Consequently, the fact that a loan is secured does not guarantee that we will receive principal and interest payments according to the loan’s terms, or that we will be able to collect on the loan should we be forced to enforce our remedies.</w:t>
      </w:r>
    </w:p>
    <w:p>
      <w:pPr>
        <w:spacing w:after="0" w:line="157" w:lineRule="exact"/>
        <w:rPr>
          <w:sz w:val="20"/>
          <w:szCs w:val="20"/>
          <w:color w:val="auto"/>
        </w:rPr>
      </w:pPr>
    </w:p>
    <w:p>
      <w:pPr>
        <w:ind w:firstLine="543"/>
        <w:spacing w:after="0" w:line="258" w:lineRule="auto"/>
        <w:rPr>
          <w:sz w:val="20"/>
          <w:szCs w:val="20"/>
          <w:color w:val="auto"/>
        </w:rPr>
      </w:pPr>
      <w:r>
        <w:rPr>
          <w:rFonts w:ascii="Arial" w:cs="Arial" w:eastAsia="Arial" w:hAnsi="Arial"/>
          <w:sz w:val="15"/>
          <w:szCs w:val="15"/>
          <w:color w:val="auto"/>
        </w:rPr>
        <w:t>In addition, because we may invest in technology-related companies, a substantial portion of the assets securing our investment may be in the form of intellectual property, if any, inventory and equipment and, to a lesser extent, cash and accounts receivable. Intellectual property, if any, that is securing our loan could lose value if, among other things, the company’s rights to the intellectual property are challenged or if the company’s license to the intellectual property is revoked or expires, the technology fails to achieve its intended results or a new technology makes the intellectual property functionally obsolete. Inventory may not be adequate to secure our loan if our valuation of the inventory at the time that we made the loan was not accurate or if there is a reduction in the demand for the inventory.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47" w:name="page48"/>
    <w:bookmarkEnd w:id="47"/>
    <w:p>
      <w:pPr>
        <w:ind w:right="160" w:firstLine="543"/>
        <w:spacing w:after="0" w:line="264" w:lineRule="auto"/>
        <w:rPr>
          <w:sz w:val="20"/>
          <w:szCs w:val="20"/>
          <w:color w:val="auto"/>
        </w:rPr>
      </w:pPr>
      <w:r>
        <w:rPr>
          <w:rFonts w:ascii="Arial" w:cs="Arial" w:eastAsia="Arial" w:hAnsi="Arial"/>
          <w:sz w:val="15"/>
          <w:szCs w:val="15"/>
          <w:color w:val="auto"/>
        </w:rPr>
        <w:t>Similarly, any equipment securing our loan may not provide us with the anticipated security if there are changes in technology or advances in new equipment that render the particular equipment obsolete or of limited value, or if the company fails to adequately maintain or repair the equipment. Any one or more of the preceding factors could materially impair our ability to recover principal in a foreclosure.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effect of global climate change may impact the operations of our portfolio companies.</w:t>
      </w:r>
    </w:p>
    <w:p>
      <w:pPr>
        <w:spacing w:after="0" w:line="189" w:lineRule="exact"/>
        <w:rPr>
          <w:sz w:val="20"/>
          <w:szCs w:val="20"/>
          <w:color w:val="auto"/>
        </w:rPr>
      </w:pPr>
    </w:p>
    <w:p>
      <w:pPr>
        <w:ind w:right="40" w:firstLine="543"/>
        <w:spacing w:after="0" w:line="277" w:lineRule="auto"/>
        <w:rPr>
          <w:sz w:val="20"/>
          <w:szCs w:val="20"/>
          <w:color w:val="auto"/>
        </w:rPr>
      </w:pPr>
      <w:r>
        <w:rPr>
          <w:rFonts w:ascii="Arial" w:cs="Arial" w:eastAsia="Arial" w:hAnsi="Arial"/>
          <w:sz w:val="14"/>
          <w:szCs w:val="14"/>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 Energy companies could also be affected by the potential for lawsuits against or taxes or other regulatory costs imposed on greenhouse gas emitters, based on links drawn between greenhouse gas emissions and climate change.</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choose to waive or defer enforcement of covenants in the debt securities held in our portfolio, which may cause us to lose all or part of our investment in these companies.</w:t>
      </w:r>
    </w:p>
    <w:p>
      <w:pPr>
        <w:spacing w:after="0" w:line="212" w:lineRule="exact"/>
        <w:rPr>
          <w:sz w:val="20"/>
          <w:szCs w:val="20"/>
          <w:color w:val="auto"/>
        </w:rPr>
      </w:pPr>
    </w:p>
    <w:p>
      <w:pPr>
        <w:ind w:right="60" w:firstLine="543"/>
        <w:spacing w:after="0" w:line="278" w:lineRule="auto"/>
        <w:rPr>
          <w:sz w:val="20"/>
          <w:szCs w:val="20"/>
          <w:color w:val="auto"/>
        </w:rPr>
      </w:pPr>
      <w:r>
        <w:rPr>
          <w:rFonts w:ascii="Arial" w:cs="Arial" w:eastAsia="Arial" w:hAnsi="Arial"/>
          <w:sz w:val="14"/>
          <w:szCs w:val="14"/>
          <w:color w:val="auto"/>
        </w:rPr>
        <w:t>We structure the debt investments in our portfolio companies to include business and financial covenants placing affirmative and negative obligations on the operation of the company’s business and its financial condition. However, from time to time we may elect to waive breaches of these covenants, including our right to payment, or waive or defer enforcement of remedies, such as acceleration of obligations or foreclosure on collateral, depending upon the financial condition and prospects of the particular portfolio company. These actions may reduce the likelihood of our receiving the full amount of future payments of interest or principal and be accompanied by a deterioration in the value of the underlying collateral as many of these companies may have limited financial resources, may be unable to meet future obligations and may go bankrupt. This could negatively impact our ability to pay dividends, could adversely affect our results of operation and financial condition and cause the loss of all or part of your investment.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investments may be in portfolio companies which may have limited operating histories and financial resources.</w:t>
      </w:r>
    </w:p>
    <w:p>
      <w:pPr>
        <w:spacing w:after="0" w:line="189" w:lineRule="exact"/>
        <w:rPr>
          <w:sz w:val="20"/>
          <w:szCs w:val="20"/>
          <w:color w:val="auto"/>
        </w:rPr>
      </w:pPr>
    </w:p>
    <w:p>
      <w:pPr>
        <w:ind w:firstLine="543"/>
        <w:spacing w:after="0" w:line="276" w:lineRule="auto"/>
        <w:rPr>
          <w:sz w:val="20"/>
          <w:szCs w:val="20"/>
          <w:color w:val="auto"/>
        </w:rPr>
      </w:pPr>
      <w:r>
        <w:rPr>
          <w:rFonts w:ascii="Arial" w:cs="Arial" w:eastAsia="Arial" w:hAnsi="Arial"/>
          <w:sz w:val="14"/>
          <w:szCs w:val="14"/>
          <w:color w:val="auto"/>
        </w:rPr>
        <w:t>We expect that our portfolio will continue to consist of investments that may have relatively limited operating histories. These companies may be particularly vulnerable to U.S. and foreign economic downturns such as the current recession and European financial crisis may have more limited access to capital and higher funding costs, may have a weaker financial position and may need more capital to expand or compete. These businesses also may experience substantial variations in operating results. They may face intense competition, including from companies with greater financial, technical and marketing resources. Furthermore, some of these companies do business in regulated industries and could be affected by changes in government regulation. Accordingly, these factors could impair their cash flow or result in other events, such as bankruptcy, which could limit their ability to repay their obligations to us, and may adversely affect the return on, or the recovery of, our investment in these companies. We cannot assure you that any of our investments in our portfolio companies will be successful. Our portfolio companies compete with larger, more established companies with greater access to, and resources for, further development in these new technologies. We may lose our entire investment in any or all of our portfolio companies.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our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Shares of closed-end investment companies, including BDCs, may trade at a discount to their NAV.</w:t>
      </w:r>
    </w:p>
    <w:p>
      <w:pPr>
        <w:spacing w:after="0" w:line="189" w:lineRule="exact"/>
        <w:rPr>
          <w:sz w:val="20"/>
          <w:szCs w:val="20"/>
          <w:color w:val="auto"/>
        </w:rPr>
      </w:pPr>
    </w:p>
    <w:p>
      <w:pPr>
        <w:ind w:right="180" w:firstLine="543"/>
        <w:spacing w:after="0" w:line="276" w:lineRule="auto"/>
        <w:rPr>
          <w:sz w:val="20"/>
          <w:szCs w:val="20"/>
          <w:color w:val="auto"/>
        </w:rPr>
      </w:pPr>
      <w:r>
        <w:rPr>
          <w:rFonts w:ascii="Arial" w:cs="Arial" w:eastAsia="Arial" w:hAnsi="Arial"/>
          <w:sz w:val="15"/>
          <w:szCs w:val="15"/>
          <w:color w:val="auto"/>
        </w:rPr>
        <w:t>Shares of closed-end investment companies, including BDCs, may trade at a discount to their NAV. This characteristic of closed-end investment companies and BDCs is separate and distinct from the risk that our NAV per share may decline. We cannot predict whether our common stock will trade at, above or below NAV.</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Investing in our common stock may involve an above average degree of risk.</w:t>
      </w:r>
    </w:p>
    <w:p>
      <w:pPr>
        <w:spacing w:after="0" w:line="189" w:lineRule="exact"/>
        <w:rPr>
          <w:sz w:val="20"/>
          <w:szCs w:val="20"/>
          <w:color w:val="auto"/>
        </w:rPr>
      </w:pPr>
    </w:p>
    <w:p>
      <w:pPr>
        <w:ind w:right="80" w:firstLine="543"/>
        <w:spacing w:after="0" w:line="356" w:lineRule="auto"/>
        <w:rPr>
          <w:sz w:val="20"/>
          <w:szCs w:val="20"/>
          <w:color w:val="auto"/>
        </w:rPr>
      </w:pPr>
      <w:r>
        <w:rPr>
          <w:rFonts w:ascii="Arial" w:cs="Arial" w:eastAsia="Arial" w:hAnsi="Arial"/>
          <w:sz w:val="13"/>
          <w:szCs w:val="13"/>
          <w:color w:val="auto"/>
        </w:rPr>
        <w:t>The investments we make in accordance with our investment objective may result in a higher amount of risk than alternative investment options and a higher risk of volatility or loss of principal. Our investments in portfolio companies involve higher levels of risk, and therefore, an investment in our shares may not be suitable for someone with lower risk tolerance.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48" w:name="page49"/>
    <w:bookmarkEnd w:id="48"/>
    <w:p>
      <w:pPr>
        <w:spacing w:after="0"/>
        <w:rPr>
          <w:sz w:val="20"/>
          <w:szCs w:val="20"/>
          <w:color w:val="auto"/>
        </w:rPr>
      </w:pPr>
      <w:r>
        <w:rPr>
          <w:rFonts w:ascii="Arial" w:cs="Arial" w:eastAsia="Arial" w:hAnsi="Arial"/>
          <w:sz w:val="15"/>
          <w:szCs w:val="15"/>
          <w:b w:val="1"/>
          <w:bCs w:val="1"/>
          <w:i w:val="1"/>
          <w:iCs w:val="1"/>
          <w:color w:val="auto"/>
        </w:rPr>
        <w:t>Our shares of common stock have a limited trading history and we cannot assure you that the market price of shares of our common stock will not decline.</w:t>
      </w:r>
    </w:p>
    <w:p>
      <w:pPr>
        <w:spacing w:after="0" w:line="189" w:lineRule="exact"/>
        <w:rPr>
          <w:sz w:val="20"/>
          <w:szCs w:val="20"/>
          <w:color w:val="auto"/>
        </w:rPr>
      </w:pPr>
    </w:p>
    <w:p>
      <w:pPr>
        <w:jc w:val="both"/>
        <w:ind w:right="40" w:firstLine="543"/>
        <w:spacing w:after="0" w:line="312" w:lineRule="auto"/>
        <w:rPr>
          <w:sz w:val="20"/>
          <w:szCs w:val="20"/>
          <w:color w:val="auto"/>
        </w:rPr>
      </w:pPr>
      <w:r>
        <w:rPr>
          <w:rFonts w:ascii="Arial" w:cs="Arial" w:eastAsia="Arial" w:hAnsi="Arial"/>
          <w:sz w:val="13"/>
          <w:szCs w:val="13"/>
          <w:color w:val="auto"/>
        </w:rPr>
        <w:t>Our shares of common stock have a limited trading history and we cannot assure you that a public trading market will be sustained for such shares. We cannot predict the prices at which our common stock will trade. We cannot assure you that the market price of shares of our common stock will not decline at any time. In addition, our common stock has traded below its net asset value since our inception and if our common stock continues to trade below its net asset value, we will generally not be able to sell additional shares of our common stock to the public at its market price without first obtaining the approval of our stockholders (including our unaffiliated stockholders) and our independent directors for such issuance.</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common stockholders will bear the expenses associated with our borrowings, and the holders of our debt securities will have certain rights senior to our common stockholders.</w:t>
      </w:r>
    </w:p>
    <w:p>
      <w:pPr>
        <w:spacing w:after="0" w:line="212" w:lineRule="exact"/>
        <w:rPr>
          <w:sz w:val="20"/>
          <w:szCs w:val="20"/>
          <w:color w:val="auto"/>
        </w:rPr>
      </w:pPr>
    </w:p>
    <w:p>
      <w:pPr>
        <w:ind w:right="180" w:firstLine="543"/>
        <w:spacing w:after="0" w:line="260" w:lineRule="auto"/>
        <w:rPr>
          <w:sz w:val="20"/>
          <w:szCs w:val="20"/>
          <w:color w:val="auto"/>
        </w:rPr>
      </w:pPr>
      <w:r>
        <w:rPr>
          <w:rFonts w:ascii="Arial" w:cs="Arial" w:eastAsia="Arial" w:hAnsi="Arial"/>
          <w:sz w:val="15"/>
          <w:szCs w:val="15"/>
          <w:color w:val="auto"/>
        </w:rPr>
        <w:t>If in the future we issue debt securities, all of the costs of offering and servicing such debt, including interest thereon, will be borne by our common stockholders. The interests of the holders of any debt we may issue will not necessarily be aligned with the interests of our common stockholders. In particular, the rights of holders of our debt to receive interest or principal repayment will be senior to those of our common stockholders. In addition, we may grant a lender a security interest in a significant portion or all of our assets, even if the total amount we may borrow from such lender is less than the amount of such lender’s security interest in our assets.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common stock may fluctuate significantly.</w:t>
      </w:r>
    </w:p>
    <w:p>
      <w:pPr>
        <w:spacing w:after="0" w:line="189" w:lineRule="exact"/>
        <w:rPr>
          <w:sz w:val="20"/>
          <w:szCs w:val="20"/>
          <w:color w:val="auto"/>
        </w:rPr>
      </w:pPr>
    </w:p>
    <w:p>
      <w:pPr>
        <w:ind w:firstLine="543"/>
        <w:spacing w:after="0" w:line="276" w:lineRule="auto"/>
        <w:rPr>
          <w:sz w:val="20"/>
          <w:szCs w:val="20"/>
          <w:color w:val="auto"/>
        </w:rPr>
      </w:pPr>
      <w:r>
        <w:rPr>
          <w:rFonts w:ascii="Arial" w:cs="Arial" w:eastAsia="Arial" w:hAnsi="Arial"/>
          <w:sz w:val="15"/>
          <w:szCs w:val="15"/>
          <w:color w:val="auto"/>
        </w:rPr>
        <w:t>The market price and liquidity of the expected market for shares of our common stock may be significantly affected by numerous factors, some of which are beyond our control and may not be directly related to our operating performance. These factors include:</w:t>
      </w:r>
    </w:p>
    <w:p>
      <w:pPr>
        <w:spacing w:after="0" w:line="146" w:lineRule="exact"/>
        <w:rPr>
          <w:sz w:val="20"/>
          <w:szCs w:val="20"/>
          <w:color w:val="auto"/>
        </w:rPr>
      </w:pPr>
    </w:p>
    <w:p>
      <w:pPr>
        <w:ind w:left="1380" w:hanging="586"/>
        <w:spacing w:after="0"/>
        <w:tabs>
          <w:tab w:leader="none" w:pos="1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price and volume fluctuations in the overall stock market from time to time;</w:t>
      </w:r>
    </w:p>
    <w:p>
      <w:pPr>
        <w:spacing w:after="0" w:line="189" w:lineRule="exact"/>
        <w:rPr>
          <w:rFonts w:ascii="Arial" w:cs="Arial" w:eastAsia="Arial" w:hAnsi="Arial"/>
          <w:sz w:val="15"/>
          <w:szCs w:val="15"/>
          <w:color w:val="auto"/>
        </w:rPr>
      </w:pPr>
    </w:p>
    <w:p>
      <w:pPr>
        <w:ind w:left="1380" w:hanging="586"/>
        <w:spacing w:after="0"/>
        <w:tabs>
          <w:tab w:leader="none" w:pos="1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investor demand for our shares;</w:t>
      </w:r>
    </w:p>
    <w:p>
      <w:pPr>
        <w:spacing w:after="0" w:line="189" w:lineRule="exact"/>
        <w:rPr>
          <w:rFonts w:ascii="Arial" w:cs="Arial" w:eastAsia="Arial" w:hAnsi="Arial"/>
          <w:sz w:val="15"/>
          <w:szCs w:val="15"/>
          <w:color w:val="auto"/>
        </w:rPr>
      </w:pPr>
    </w:p>
    <w:p>
      <w:pPr>
        <w:ind w:left="1380" w:right="600" w:hanging="586"/>
        <w:spacing w:after="0" w:line="276" w:lineRule="auto"/>
        <w:tabs>
          <w:tab w:leader="none" w:pos="1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146" w:lineRule="exact"/>
        <w:rPr>
          <w:rFonts w:ascii="Arial" w:cs="Arial" w:eastAsia="Arial" w:hAnsi="Arial"/>
          <w:sz w:val="15"/>
          <w:szCs w:val="15"/>
          <w:color w:val="auto"/>
        </w:rPr>
      </w:pPr>
    </w:p>
    <w:p>
      <w:pPr>
        <w:ind w:left="1380" w:hanging="586"/>
        <w:spacing w:after="0"/>
        <w:tabs>
          <w:tab w:leader="none" w:pos="1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changes in regulatory policies or tax guidelines with respect to RICs, BDCs or SBICs;</w:t>
      </w:r>
    </w:p>
    <w:p>
      <w:pPr>
        <w:spacing w:after="0" w:line="189" w:lineRule="exact"/>
        <w:rPr>
          <w:rFonts w:ascii="Arial" w:cs="Arial" w:eastAsia="Arial" w:hAnsi="Arial"/>
          <w:sz w:val="15"/>
          <w:szCs w:val="15"/>
          <w:color w:val="auto"/>
        </w:rPr>
      </w:pPr>
    </w:p>
    <w:p>
      <w:pPr>
        <w:ind w:left="1380" w:hanging="586"/>
        <w:spacing w:after="0"/>
        <w:tabs>
          <w:tab w:leader="none" w:pos="1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failure to qualify as a RIC, or the loss of RIC status;</w:t>
      </w:r>
    </w:p>
    <w:p>
      <w:pPr>
        <w:spacing w:after="0" w:line="189" w:lineRule="exact"/>
        <w:rPr>
          <w:rFonts w:ascii="Arial" w:cs="Arial" w:eastAsia="Arial" w:hAnsi="Arial"/>
          <w:sz w:val="15"/>
          <w:szCs w:val="15"/>
          <w:color w:val="auto"/>
        </w:rPr>
      </w:pPr>
    </w:p>
    <w:p>
      <w:pPr>
        <w:ind w:left="1380" w:hanging="586"/>
        <w:spacing w:after="0"/>
        <w:tabs>
          <w:tab w:leader="none" w:pos="1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any shortfall in revenue or net income or any increase in losses from levels expected by investors or securities analysts;</w:t>
      </w:r>
    </w:p>
    <w:p>
      <w:pPr>
        <w:spacing w:after="0" w:line="189" w:lineRule="exact"/>
        <w:rPr>
          <w:rFonts w:ascii="Arial" w:cs="Arial" w:eastAsia="Arial" w:hAnsi="Arial"/>
          <w:sz w:val="15"/>
          <w:szCs w:val="15"/>
          <w:color w:val="auto"/>
        </w:rPr>
      </w:pPr>
    </w:p>
    <w:p>
      <w:pPr>
        <w:ind w:left="1380" w:hanging="586"/>
        <w:spacing w:after="0"/>
        <w:tabs>
          <w:tab w:leader="none" w:pos="1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changes, or perceived changes, in the value of our portfolio investments;</w:t>
      </w:r>
    </w:p>
    <w:p>
      <w:pPr>
        <w:spacing w:after="0" w:line="189" w:lineRule="exact"/>
        <w:rPr>
          <w:rFonts w:ascii="Arial" w:cs="Arial" w:eastAsia="Arial" w:hAnsi="Arial"/>
          <w:sz w:val="15"/>
          <w:szCs w:val="15"/>
          <w:color w:val="auto"/>
        </w:rPr>
      </w:pPr>
    </w:p>
    <w:p>
      <w:pPr>
        <w:ind w:left="1380" w:hanging="586"/>
        <w:spacing w:after="0"/>
        <w:tabs>
          <w:tab w:leader="none" w:pos="1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departures of Capitala Investment Advisors’ key personnel;</w:t>
      </w:r>
    </w:p>
    <w:p>
      <w:pPr>
        <w:spacing w:after="0" w:line="189" w:lineRule="exact"/>
        <w:rPr>
          <w:rFonts w:ascii="Arial" w:cs="Arial" w:eastAsia="Arial" w:hAnsi="Arial"/>
          <w:sz w:val="15"/>
          <w:szCs w:val="15"/>
          <w:color w:val="auto"/>
        </w:rPr>
      </w:pPr>
    </w:p>
    <w:p>
      <w:pPr>
        <w:ind w:left="1380" w:hanging="586"/>
        <w:spacing w:after="0"/>
        <w:tabs>
          <w:tab w:leader="none" w:pos="1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operating performance of companies comparable to us; or</w:t>
      </w:r>
    </w:p>
    <w:p>
      <w:pPr>
        <w:spacing w:after="0" w:line="189" w:lineRule="exact"/>
        <w:rPr>
          <w:rFonts w:ascii="Arial" w:cs="Arial" w:eastAsia="Arial" w:hAnsi="Arial"/>
          <w:sz w:val="15"/>
          <w:szCs w:val="15"/>
          <w:color w:val="auto"/>
        </w:rPr>
      </w:pPr>
    </w:p>
    <w:p>
      <w:pPr>
        <w:ind w:left="1380" w:hanging="586"/>
        <w:spacing w:after="0"/>
        <w:tabs>
          <w:tab w:leader="none" w:pos="1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general economic conditions and trends and other external factors.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Sales of substantial amounts of our common stock in the public market may have an adverse effect on the market price of our common stock.</w:t>
      </w:r>
    </w:p>
    <w:p>
      <w:pPr>
        <w:spacing w:after="0" w:line="189" w:lineRule="exact"/>
        <w:rPr>
          <w:sz w:val="20"/>
          <w:szCs w:val="20"/>
          <w:color w:val="auto"/>
        </w:rPr>
      </w:pPr>
    </w:p>
    <w:p>
      <w:pPr>
        <w:ind w:right="160" w:firstLine="543"/>
        <w:spacing w:after="0" w:line="313" w:lineRule="auto"/>
        <w:rPr>
          <w:sz w:val="20"/>
          <w:szCs w:val="20"/>
          <w:color w:val="auto"/>
        </w:rPr>
      </w:pPr>
      <w:r>
        <w:rPr>
          <w:rFonts w:ascii="Arial" w:cs="Arial" w:eastAsia="Arial" w:hAnsi="Arial"/>
          <w:sz w:val="14"/>
          <w:szCs w:val="14"/>
          <w:color w:val="auto"/>
        </w:rPr>
        <w:t>Sales of substantial amounts of our common stock, or the availability of such common stock for sale, could adversely affect the prevailing market prices for our common stock. If this occurs and continues for a sustained period of time, it could impair our ability to raise additional capital through the sale of securities should we desire to do so.</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stockholders will experience dilution in their ownership percentage if they opt out of our dividend reinvestment plan.</w:t>
      </w:r>
    </w:p>
    <w:p>
      <w:pPr>
        <w:spacing w:after="0" w:line="189" w:lineRule="exact"/>
        <w:rPr>
          <w:sz w:val="20"/>
          <w:szCs w:val="20"/>
          <w:color w:val="auto"/>
        </w:rPr>
      </w:pPr>
    </w:p>
    <w:p>
      <w:pPr>
        <w:ind w:right="340" w:firstLine="543"/>
        <w:spacing w:after="0" w:line="313" w:lineRule="auto"/>
        <w:rPr>
          <w:sz w:val="20"/>
          <w:szCs w:val="20"/>
          <w:color w:val="auto"/>
        </w:rPr>
      </w:pPr>
      <w:r>
        <w:rPr>
          <w:rFonts w:ascii="Arial" w:cs="Arial" w:eastAsia="Arial" w:hAnsi="Arial"/>
          <w:sz w:val="14"/>
          <w:szCs w:val="14"/>
          <w:color w:val="auto"/>
        </w:rPr>
        <w:t>All dividends declared in cash payable to stockholders that are participants in our dividend reinvestment plan are automatically reinvested in shares of our common stock. As a result, our stockholders that opt out of our dividend reinvestment plan will experience dilution in their ownership percentage of our common stock over time.</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49" w:name="page50"/>
    <w:bookmarkEnd w:id="49"/>
    <w:p>
      <w:pPr>
        <w:spacing w:after="0"/>
        <w:rPr>
          <w:sz w:val="20"/>
          <w:szCs w:val="20"/>
          <w:color w:val="auto"/>
        </w:rPr>
      </w:pPr>
      <w:r>
        <w:rPr>
          <w:rFonts w:ascii="Arial" w:cs="Arial" w:eastAsia="Arial" w:hAnsi="Arial"/>
          <w:sz w:val="15"/>
          <w:szCs w:val="15"/>
          <w:b w:val="1"/>
          <w:bCs w:val="1"/>
          <w:color w:val="auto"/>
        </w:rPr>
        <w:t>ITEM 1B. UNRESOLVED STAFF COMMENTS</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PROPERTIES</w:t>
      </w:r>
    </w:p>
    <w:p>
      <w:pPr>
        <w:spacing w:after="0" w:line="193" w:lineRule="exact"/>
        <w:rPr>
          <w:sz w:val="20"/>
          <w:szCs w:val="20"/>
          <w:color w:val="auto"/>
        </w:rPr>
      </w:pPr>
    </w:p>
    <w:p>
      <w:pPr>
        <w:ind w:right="140" w:firstLine="543"/>
        <w:spacing w:after="0" w:line="276" w:lineRule="auto"/>
        <w:rPr>
          <w:sz w:val="20"/>
          <w:szCs w:val="20"/>
          <w:color w:val="auto"/>
        </w:rPr>
      </w:pPr>
      <w:r>
        <w:rPr>
          <w:rFonts w:ascii="Arial" w:cs="Arial" w:eastAsia="Arial" w:hAnsi="Arial"/>
          <w:sz w:val="15"/>
          <w:szCs w:val="15"/>
          <w:color w:val="auto"/>
        </w:rPr>
        <w:t>Our executive offices are located at 4201 Congress Street, Suite 360, Charlotte, North Carolina 28209, and are provided by our administrator in accordance with the terms of the Administration Agreement. We believe that our office facilities are suitable and adequate for our business as it is contemplated to be conducted.</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LEGAL PROCEEDINGS</w:t>
      </w:r>
    </w:p>
    <w:p>
      <w:pPr>
        <w:spacing w:after="0" w:line="193" w:lineRule="exact"/>
        <w:rPr>
          <w:sz w:val="20"/>
          <w:szCs w:val="20"/>
          <w:color w:val="auto"/>
        </w:rPr>
      </w:pPr>
    </w:p>
    <w:p>
      <w:pPr>
        <w:ind w:firstLine="543"/>
        <w:spacing w:after="0" w:line="312" w:lineRule="auto"/>
        <w:rPr>
          <w:sz w:val="20"/>
          <w:szCs w:val="20"/>
          <w:color w:val="auto"/>
        </w:rPr>
      </w:pPr>
      <w:r>
        <w:rPr>
          <w:rFonts w:ascii="Arial" w:cs="Arial" w:eastAsia="Arial" w:hAnsi="Arial"/>
          <w:sz w:val="13"/>
          <w:szCs w:val="13"/>
          <w:color w:val="auto"/>
        </w:rPr>
        <w:t>None of us, our subsidiaries, our investment adviser or administrator, is currently subject to any material legal proceedings, nor, to our knowledge, is any material legal proceeding threatened against us, or against our investment adviser or administrator. From time to time, we, our subsidiaries,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MINE SAFETY DISCLOSURES</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 applicable.</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340"/>
          </w:cols>
          <w:pgMar w:left="240" w:top="939" w:right="319" w:bottom="1440" w:gutter="0" w:footer="0" w:header="0"/>
        </w:sectPr>
      </w:pPr>
    </w:p>
    <w:bookmarkStart w:id="50" w:name="page51"/>
    <w:bookmarkEnd w:id="50"/>
    <w:p>
      <w:pPr>
        <w:jc w:val="center"/>
        <w:spacing w:after="0"/>
        <w:rPr>
          <w:sz w:val="20"/>
          <w:szCs w:val="20"/>
          <w:color w:val="auto"/>
        </w:rPr>
      </w:pPr>
      <w:r>
        <w:rPr>
          <w:rFonts w:ascii="Arial" w:cs="Arial" w:eastAsia="Arial" w:hAnsi="Arial"/>
          <w:sz w:val="15"/>
          <w:szCs w:val="15"/>
          <w:b w:val="1"/>
          <w:bCs w:val="1"/>
          <w:color w:val="auto"/>
        </w:rPr>
        <w:t>PART II</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PRICE RANGE OF COMMON STOCK</w:t>
      </w:r>
    </w:p>
    <w:p>
      <w:pPr>
        <w:spacing w:after="0" w:line="193" w:lineRule="exact"/>
        <w:rPr>
          <w:sz w:val="20"/>
          <w:szCs w:val="20"/>
          <w:color w:val="auto"/>
        </w:rPr>
      </w:pPr>
    </w:p>
    <w:p>
      <w:pPr>
        <w:ind w:left="20" w:right="240" w:firstLine="543"/>
        <w:spacing w:after="0" w:line="264" w:lineRule="auto"/>
        <w:rPr>
          <w:sz w:val="20"/>
          <w:szCs w:val="20"/>
          <w:color w:val="auto"/>
        </w:rPr>
      </w:pPr>
      <w:r>
        <w:rPr>
          <w:rFonts w:ascii="Arial" w:cs="Arial" w:eastAsia="Arial" w:hAnsi="Arial"/>
          <w:sz w:val="15"/>
          <w:szCs w:val="15"/>
          <w:color w:val="auto"/>
        </w:rPr>
        <w:t>Our common stock is traded on the NASDAQ Global Select Market under the symbol ‘‘CPTA.’’ The following table sets forth, for each fiscal quarter since our initial public offering on September 25, 2013, the range of high and low intraday sales prices of our common stock as reported on the NASDAQ Global Select Market, the premium (discount) of sales price to our net asset value (NAV) and the distributions declared by us for each fiscal quarter.</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3"/>
          </w:tcPr>
          <w:p>
            <w:pPr>
              <w:jc w:val="center"/>
              <w:ind w:right="325"/>
              <w:spacing w:after="0"/>
              <w:rPr>
                <w:sz w:val="20"/>
                <w:szCs w:val="20"/>
                <w:color w:val="auto"/>
              </w:rPr>
            </w:pPr>
            <w:r>
              <w:rPr>
                <w:rFonts w:ascii="Arial" w:cs="Arial" w:eastAsia="Arial" w:hAnsi="Arial"/>
                <w:sz w:val="15"/>
                <w:szCs w:val="15"/>
                <w:b w:val="1"/>
                <w:bCs w:val="1"/>
                <w:color w:val="auto"/>
                <w:w w:val="93"/>
              </w:rPr>
              <w:t>Premium</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3"/>
          </w:tcPr>
          <w:p>
            <w:pPr>
              <w:jc w:val="center"/>
              <w:ind w:right="305"/>
              <w:spacing w:after="0"/>
              <w:rPr>
                <w:sz w:val="20"/>
                <w:szCs w:val="20"/>
                <w:color w:val="auto"/>
              </w:rPr>
            </w:pPr>
            <w:r>
              <w:rPr>
                <w:rFonts w:ascii="Arial" w:cs="Arial" w:eastAsia="Arial" w:hAnsi="Arial"/>
                <w:sz w:val="15"/>
                <w:szCs w:val="15"/>
                <w:b w:val="1"/>
                <w:bCs w:val="1"/>
                <w:color w:val="auto"/>
                <w:w w:val="93"/>
              </w:rPr>
              <w:t>or</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3"/>
              </w:rPr>
              <w:t>Premium or</w:t>
            </w:r>
          </w:p>
        </w:tc>
        <w:tc>
          <w:tcPr>
            <w:tcW w:w="2000" w:type="dxa"/>
            <w:vAlign w:val="bottom"/>
            <w:gridSpan w:val="3"/>
          </w:tcPr>
          <w:p>
            <w:pPr>
              <w:jc w:val="center"/>
              <w:ind w:right="325"/>
              <w:spacing w:after="0"/>
              <w:rPr>
                <w:sz w:val="20"/>
                <w:szCs w:val="20"/>
                <w:color w:val="auto"/>
              </w:rPr>
            </w:pPr>
            <w:r>
              <w:rPr>
                <w:rFonts w:ascii="Arial" w:cs="Arial" w:eastAsia="Arial" w:hAnsi="Arial"/>
                <w:sz w:val="15"/>
                <w:szCs w:val="15"/>
                <w:b w:val="1"/>
                <w:bCs w:val="1"/>
                <w:color w:val="auto"/>
                <w:w w:val="90"/>
              </w:rPr>
              <w:t>(Discount) of</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(Discount) of High</w:t>
            </w:r>
          </w:p>
        </w:tc>
        <w:tc>
          <w:tcPr>
            <w:tcW w:w="2000" w:type="dxa"/>
            <w:vAlign w:val="bottom"/>
            <w:gridSpan w:val="3"/>
          </w:tcPr>
          <w:p>
            <w:pPr>
              <w:jc w:val="center"/>
              <w:ind w:right="325"/>
              <w:spacing w:after="0"/>
              <w:rPr>
                <w:sz w:val="20"/>
                <w:szCs w:val="20"/>
                <w:color w:val="auto"/>
              </w:rPr>
            </w:pPr>
            <w:r>
              <w:rPr>
                <w:rFonts w:ascii="Arial" w:cs="Arial" w:eastAsia="Arial" w:hAnsi="Arial"/>
                <w:sz w:val="15"/>
                <w:szCs w:val="15"/>
                <w:b w:val="1"/>
                <w:bCs w:val="1"/>
                <w:color w:val="auto"/>
                <w:w w:val="87"/>
              </w:rPr>
              <w:t>Low Sales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Sales Price to</w:t>
            </w:r>
          </w:p>
        </w:tc>
        <w:tc>
          <w:tcPr>
            <w:tcW w:w="2000" w:type="dxa"/>
            <w:vAlign w:val="bottom"/>
            <w:gridSpan w:val="3"/>
          </w:tcPr>
          <w:p>
            <w:pPr>
              <w:jc w:val="center"/>
              <w:ind w:right="305"/>
              <w:spacing w:after="0"/>
              <w:rPr>
                <w:sz w:val="20"/>
                <w:szCs w:val="20"/>
                <w:color w:val="auto"/>
              </w:rPr>
            </w:pPr>
            <w:r>
              <w:rPr>
                <w:rFonts w:ascii="Arial" w:cs="Arial" w:eastAsia="Arial" w:hAnsi="Arial"/>
                <w:sz w:val="15"/>
                <w:szCs w:val="15"/>
                <w:b w:val="1"/>
                <w:bCs w:val="1"/>
                <w:color w:val="auto"/>
                <w:w w:val="90"/>
              </w:rPr>
              <w:t>Price to</w:t>
            </w:r>
          </w:p>
        </w:tc>
        <w:tc>
          <w:tcPr>
            <w:tcW w:w="122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Declared</w:t>
            </w:r>
          </w:p>
        </w:tc>
      </w:tr>
      <w:tr>
        <w:trPr>
          <w:trHeight w:val="228"/>
        </w:trPr>
        <w:tc>
          <w:tcPr>
            <w:tcW w:w="25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Fiscal 2013</w:t>
            </w:r>
          </w:p>
        </w:tc>
        <w:tc>
          <w:tcPr>
            <w:tcW w:w="120" w:type="dxa"/>
            <w:vAlign w:val="bottom"/>
            <w:tcBorders>
              <w:bottom w:val="single" w:sz="8" w:color="CCFF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rPr>
              <w:t>NAV(1)</w:t>
            </w:r>
          </w:p>
        </w:tc>
        <w:tc>
          <w:tcPr>
            <w:tcW w:w="12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High</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Low</w:t>
            </w:r>
          </w:p>
        </w:tc>
        <w:tc>
          <w:tcPr>
            <w:tcW w:w="220" w:type="dxa"/>
            <w:vAlign w:val="bottom"/>
            <w:tcBorders>
              <w:bottom w:val="single" w:sz="8" w:color="CCFFCC"/>
            </w:tcBorders>
          </w:tcPr>
          <w:p>
            <w:pPr>
              <w:spacing w:after="0"/>
              <w:rPr>
                <w:sz w:val="19"/>
                <w:szCs w:val="19"/>
                <w:color w:val="auto"/>
              </w:rPr>
            </w:pPr>
          </w:p>
        </w:tc>
        <w:tc>
          <w:tcPr>
            <w:tcW w:w="1600" w:type="dxa"/>
            <w:vAlign w:val="bottom"/>
            <w:tcBorders>
              <w:bottom w:val="single" w:sz="8" w:color="auto"/>
            </w:tcBorders>
          </w:tcPr>
          <w:p>
            <w:pPr>
              <w:jc w:val="center"/>
              <w:spacing w:after="0" w:line="227" w:lineRule="exact"/>
              <w:rPr>
                <w:sz w:val="20"/>
                <w:szCs w:val="20"/>
                <w:color w:val="auto"/>
              </w:rPr>
            </w:pPr>
            <w:r>
              <w:rPr>
                <w:rFonts w:ascii="Arial" w:cs="Arial" w:eastAsia="Arial" w:hAnsi="Arial"/>
                <w:sz w:val="26"/>
                <w:szCs w:val="26"/>
                <w:b w:val="1"/>
                <w:bCs w:val="1"/>
                <w:color w:val="auto"/>
                <w:w w:val="87"/>
                <w:vertAlign w:val="subscript"/>
              </w:rPr>
              <w:t>NAV</w:t>
            </w:r>
            <w:r>
              <w:rPr>
                <w:rFonts w:ascii="Arial" w:cs="Arial" w:eastAsia="Arial" w:hAnsi="Arial"/>
                <w:sz w:val="12"/>
                <w:szCs w:val="12"/>
                <w:b w:val="1"/>
                <w:bCs w:val="1"/>
                <w:color w:val="auto"/>
                <w:w w:val="87"/>
              </w:rPr>
              <w:t xml:space="preserve"> (3)</w:t>
            </w:r>
          </w:p>
        </w:tc>
        <w:tc>
          <w:tcPr>
            <w:tcW w:w="240" w:type="dxa"/>
            <w:vAlign w:val="bottom"/>
            <w:tcBorders>
              <w:bottom w:val="single" w:sz="8" w:color="CCFFCC"/>
            </w:tcBorders>
          </w:tcPr>
          <w:p>
            <w:pPr>
              <w:spacing w:after="0"/>
              <w:rPr>
                <w:sz w:val="19"/>
                <w:szCs w:val="19"/>
                <w:color w:val="auto"/>
              </w:rPr>
            </w:pPr>
          </w:p>
        </w:tc>
        <w:tc>
          <w:tcPr>
            <w:tcW w:w="1600" w:type="dxa"/>
            <w:vAlign w:val="bottom"/>
            <w:tcBorders>
              <w:bottom w:val="single" w:sz="8" w:color="auto"/>
            </w:tcBorders>
          </w:tcPr>
          <w:p>
            <w:pPr>
              <w:jc w:val="center"/>
              <w:spacing w:after="0" w:line="227" w:lineRule="exact"/>
              <w:rPr>
                <w:sz w:val="20"/>
                <w:szCs w:val="20"/>
                <w:color w:val="auto"/>
              </w:rPr>
            </w:pPr>
            <w:r>
              <w:rPr>
                <w:rFonts w:ascii="Arial" w:cs="Arial" w:eastAsia="Arial" w:hAnsi="Arial"/>
                <w:sz w:val="26"/>
                <w:szCs w:val="26"/>
                <w:b w:val="1"/>
                <w:bCs w:val="1"/>
                <w:color w:val="auto"/>
                <w:w w:val="87"/>
                <w:vertAlign w:val="subscript"/>
              </w:rPr>
              <w:t>NAV</w:t>
            </w:r>
            <w:r>
              <w:rPr>
                <w:rFonts w:ascii="Arial" w:cs="Arial" w:eastAsia="Arial" w:hAnsi="Arial"/>
                <w:sz w:val="12"/>
                <w:szCs w:val="12"/>
                <w:b w:val="1"/>
                <w:bCs w:val="1"/>
                <w:color w:val="auto"/>
                <w:w w:val="87"/>
              </w:rPr>
              <w:t xml:space="preserve"> (3)</w:t>
            </w:r>
          </w:p>
        </w:tc>
        <w:tc>
          <w:tcPr>
            <w:tcW w:w="240" w:type="dxa"/>
            <w:vAlign w:val="bottom"/>
            <w:tcBorders>
              <w:bottom w:val="single" w:sz="8" w:color="CCFFC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5"/>
              <w:spacing w:after="0" w:line="228" w:lineRule="exact"/>
              <w:rPr>
                <w:sz w:val="20"/>
                <w:szCs w:val="20"/>
                <w:color w:val="auto"/>
              </w:rPr>
            </w:pPr>
            <w:r>
              <w:rPr>
                <w:rFonts w:ascii="Arial" w:cs="Arial" w:eastAsia="Arial" w:hAnsi="Arial"/>
                <w:sz w:val="15"/>
                <w:szCs w:val="15"/>
                <w:b w:val="1"/>
                <w:bCs w:val="1"/>
                <w:color w:val="auto"/>
                <w:w w:val="91"/>
              </w:rPr>
              <w:t xml:space="preserve">Dividends </w:t>
            </w:r>
            <w:r>
              <w:rPr>
                <w:rFonts w:ascii="Arial" w:cs="Arial" w:eastAsia="Arial" w:hAnsi="Arial"/>
                <w:sz w:val="25"/>
                <w:szCs w:val="25"/>
                <w:b w:val="1"/>
                <w:bCs w:val="1"/>
                <w:color w:val="auto"/>
                <w:w w:val="91"/>
                <w:vertAlign w:val="superscript"/>
              </w:rPr>
              <w:t>(4)</w:t>
            </w:r>
          </w:p>
        </w:tc>
        <w:tc>
          <w:tcPr>
            <w:tcW w:w="120" w:type="dxa"/>
            <w:vAlign w:val="bottom"/>
            <w:tcBorders>
              <w:bottom w:val="single" w:sz="8" w:color="CCFFCC"/>
            </w:tcBorders>
          </w:tcPr>
          <w:p>
            <w:pPr>
              <w:spacing w:after="0"/>
              <w:rPr>
                <w:sz w:val="19"/>
                <w:szCs w:val="19"/>
                <w:color w:val="auto"/>
              </w:rPr>
            </w:pPr>
          </w:p>
        </w:tc>
      </w:tr>
      <w:tr>
        <w:trPr>
          <w:trHeight w:val="172"/>
        </w:trPr>
        <w:tc>
          <w:tcPr>
            <w:tcW w:w="2520" w:type="dxa"/>
            <w:vAlign w:val="bottom"/>
            <w:shd w:val="clear" w:color="auto" w:fill="CCFFCC"/>
          </w:tcPr>
          <w:p>
            <w:pPr>
              <w:spacing w:after="0"/>
              <w:rPr>
                <w:sz w:val="20"/>
                <w:szCs w:val="20"/>
                <w:color w:val="auto"/>
              </w:rPr>
            </w:pPr>
            <w:r>
              <w:rPr>
                <w:rFonts w:ascii="Arial" w:cs="Arial" w:eastAsia="Arial" w:hAnsi="Arial"/>
                <w:sz w:val="15"/>
                <w:szCs w:val="15"/>
                <w:color w:val="auto"/>
              </w:rPr>
              <w:t>Fourth Quarter</w:t>
            </w:r>
          </w:p>
        </w:tc>
        <w:tc>
          <w:tcPr>
            <w:tcW w:w="120" w:type="dxa"/>
            <w:vAlign w:val="bottom"/>
            <w:shd w:val="clear" w:color="auto" w:fill="CCFFCC"/>
          </w:tcPr>
          <w:p>
            <w:pPr>
              <w:spacing w:after="0"/>
              <w:rPr>
                <w:sz w:val="14"/>
                <w:szCs w:val="14"/>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20.71</w:t>
            </w: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jc w:val="right"/>
              <w:ind w:right="538"/>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FFCC"/>
          </w:tcPr>
          <w:p>
            <w:pPr>
              <w:jc w:val="right"/>
              <w:spacing w:after="0"/>
              <w:rPr>
                <w:sz w:val="20"/>
                <w:szCs w:val="20"/>
                <w:color w:val="auto"/>
              </w:rPr>
            </w:pPr>
            <w:r>
              <w:rPr>
                <w:rFonts w:ascii="Arial" w:cs="Arial" w:eastAsia="Arial" w:hAnsi="Arial"/>
                <w:sz w:val="15"/>
                <w:szCs w:val="15"/>
                <w:color w:val="auto"/>
                <w:w w:val="90"/>
              </w:rPr>
              <w:t>20.20</w:t>
            </w:r>
          </w:p>
        </w:tc>
        <w:tc>
          <w:tcPr>
            <w:tcW w:w="220" w:type="dxa"/>
            <w:vAlign w:val="bottom"/>
            <w:shd w:val="clear" w:color="auto" w:fill="CCFFCC"/>
          </w:tcPr>
          <w:p>
            <w:pPr>
              <w:spacing w:after="0"/>
              <w:rPr>
                <w:sz w:val="14"/>
                <w:szCs w:val="14"/>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17.91</w:t>
            </w:r>
          </w:p>
        </w:tc>
        <w:tc>
          <w:tcPr>
            <w:tcW w:w="220" w:type="dxa"/>
            <w:vAlign w:val="bottom"/>
            <w:shd w:val="clear" w:color="auto" w:fill="CCFFCC"/>
          </w:tcPr>
          <w:p>
            <w:pPr>
              <w:spacing w:after="0"/>
              <w:rPr>
                <w:sz w:val="14"/>
                <w:szCs w:val="14"/>
                <w:color w:val="auto"/>
              </w:rPr>
            </w:pPr>
          </w:p>
        </w:tc>
        <w:tc>
          <w:tcPr>
            <w:tcW w:w="18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(2.5)%</w:t>
            </w:r>
          </w:p>
        </w:tc>
        <w:tc>
          <w:tcPr>
            <w:tcW w:w="18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(13.5)%</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0.47</w:t>
            </w:r>
          </w:p>
        </w:tc>
        <w:tc>
          <w:tcPr>
            <w:tcW w:w="120" w:type="dxa"/>
            <w:vAlign w:val="bottom"/>
            <w:shd w:val="clear" w:color="auto" w:fill="CCFFCC"/>
          </w:tcPr>
          <w:p>
            <w:pPr>
              <w:spacing w:after="0"/>
              <w:rPr>
                <w:sz w:val="14"/>
                <w:szCs w:val="14"/>
                <w:color w:val="auto"/>
              </w:rPr>
            </w:pPr>
          </w:p>
        </w:tc>
      </w:tr>
      <w:tr>
        <w:trPr>
          <w:trHeight w:val="326"/>
        </w:trPr>
        <w:tc>
          <w:tcPr>
            <w:tcW w:w="2640" w:type="dxa"/>
            <w:vAlign w:val="bottom"/>
            <w:gridSpan w:val="2"/>
          </w:tcPr>
          <w:p>
            <w:pPr>
              <w:spacing w:after="0"/>
              <w:rPr>
                <w:sz w:val="20"/>
                <w:szCs w:val="20"/>
                <w:color w:val="auto"/>
              </w:rPr>
            </w:pPr>
            <w:r>
              <w:rPr>
                <w:rFonts w:ascii="Arial" w:cs="Arial" w:eastAsia="Arial" w:hAnsi="Arial"/>
                <w:sz w:val="15"/>
                <w:szCs w:val="15"/>
                <w:color w:val="auto"/>
              </w:rPr>
              <w:t xml:space="preserve">Third Quarter </w:t>
            </w:r>
            <w:r>
              <w:rPr>
                <w:rFonts w:ascii="Arial" w:cs="Arial" w:eastAsia="Arial" w:hAnsi="Arial"/>
                <w:sz w:val="25"/>
                <w:szCs w:val="25"/>
                <w:color w:val="auto"/>
                <w:vertAlign w:val="superscript"/>
              </w:rPr>
              <w:t>(2)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20.79</w:t>
            </w:r>
          </w:p>
        </w:tc>
        <w:tc>
          <w:tcPr>
            <w:tcW w:w="780" w:type="dxa"/>
            <w:vAlign w:val="bottom"/>
            <w:gridSpan w:val="2"/>
          </w:tcPr>
          <w:p>
            <w:pPr>
              <w:jc w:val="right"/>
              <w:ind w:right="538"/>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w w:val="90"/>
              </w:rPr>
              <w:t>19.32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18.41</w:t>
            </w:r>
          </w:p>
        </w:tc>
        <w:tc>
          <w:tcPr>
            <w:tcW w:w="1840" w:type="dxa"/>
            <w:vAlign w:val="bottom"/>
            <w:gridSpan w:val="2"/>
          </w:tcPr>
          <w:p>
            <w:pPr>
              <w:jc w:val="right"/>
              <w:ind w:right="120"/>
              <w:spacing w:after="0"/>
              <w:rPr>
                <w:sz w:val="20"/>
                <w:szCs w:val="20"/>
                <w:color w:val="auto"/>
              </w:rPr>
            </w:pPr>
            <w:r>
              <w:rPr>
                <w:rFonts w:ascii="Arial" w:cs="Arial" w:eastAsia="Arial" w:hAnsi="Arial"/>
                <w:sz w:val="15"/>
                <w:szCs w:val="15"/>
                <w:color w:val="auto"/>
              </w:rPr>
              <w:t>(7.1)%</w:t>
            </w:r>
          </w:p>
        </w:tc>
        <w:tc>
          <w:tcPr>
            <w:tcW w:w="1840" w:type="dxa"/>
            <w:vAlign w:val="bottom"/>
            <w:gridSpan w:val="2"/>
          </w:tcPr>
          <w:p>
            <w:pPr>
              <w:jc w:val="right"/>
              <w:ind w:right="120"/>
              <w:spacing w:after="0"/>
              <w:rPr>
                <w:sz w:val="20"/>
                <w:szCs w:val="20"/>
                <w:color w:val="auto"/>
              </w:rPr>
            </w:pPr>
            <w:r>
              <w:rPr>
                <w:rFonts w:ascii="Arial" w:cs="Arial" w:eastAsia="Arial" w:hAnsi="Arial"/>
                <w:sz w:val="15"/>
                <w:szCs w:val="15"/>
                <w:color w:val="auto"/>
              </w:rPr>
              <w:t>(11.4)%</w:t>
            </w:r>
          </w:p>
        </w:tc>
        <w:tc>
          <w:tcPr>
            <w:tcW w:w="16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bl>
    <w:p>
      <w:pPr>
        <w:spacing w:after="0" w:line="59" w:lineRule="exact"/>
        <w:rPr>
          <w:sz w:val="20"/>
          <w:szCs w:val="20"/>
          <w:color w:val="auto"/>
        </w:rPr>
      </w:pPr>
    </w:p>
    <w:p>
      <w:pPr>
        <w:ind w:left="380" w:right="140" w:hanging="370"/>
        <w:spacing w:after="0" w:line="193" w:lineRule="auto"/>
        <w:tabs>
          <w:tab w:leader="none" w:pos="380" w:val="left"/>
        </w:tabs>
        <w:numPr>
          <w:ilvl w:val="0"/>
          <w:numId w:val="48"/>
        </w:numPr>
        <w:rPr>
          <w:rFonts w:ascii="Arial" w:cs="Arial" w:eastAsia="Arial" w:hAnsi="Arial"/>
          <w:sz w:val="25"/>
          <w:szCs w:val="25"/>
          <w:color w:val="auto"/>
          <w:vertAlign w:val="superscript"/>
        </w:rPr>
      </w:pPr>
      <w:r>
        <w:rPr>
          <w:rFonts w:ascii="Arial" w:cs="Arial" w:eastAsia="Arial" w:hAnsi="Arial"/>
          <w:sz w:val="15"/>
          <w:szCs w:val="15"/>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spacing w:after="0" w:line="75" w:lineRule="exact"/>
        <w:rPr>
          <w:rFonts w:ascii="Arial" w:cs="Arial" w:eastAsia="Arial" w:hAnsi="Arial"/>
          <w:sz w:val="25"/>
          <w:szCs w:val="25"/>
          <w:color w:val="auto"/>
          <w:vertAlign w:val="superscript"/>
        </w:rPr>
      </w:pPr>
    </w:p>
    <w:p>
      <w:pPr>
        <w:ind w:left="380" w:hanging="370"/>
        <w:spacing w:after="0"/>
        <w:tabs>
          <w:tab w:leader="none" w:pos="380" w:val="left"/>
        </w:tabs>
        <w:numPr>
          <w:ilvl w:val="0"/>
          <w:numId w:val="48"/>
        </w:numPr>
        <w:rPr>
          <w:rFonts w:ascii="Arial" w:cs="Arial" w:eastAsia="Arial" w:hAnsi="Arial"/>
          <w:sz w:val="25"/>
          <w:szCs w:val="25"/>
          <w:color w:val="auto"/>
          <w:vertAlign w:val="superscript"/>
        </w:rPr>
      </w:pPr>
      <w:r>
        <w:rPr>
          <w:rFonts w:ascii="Arial" w:cs="Arial" w:eastAsia="Arial" w:hAnsi="Arial"/>
          <w:sz w:val="15"/>
          <w:szCs w:val="15"/>
          <w:color w:val="auto"/>
        </w:rPr>
        <w:t>From September 25, 2013 to September 30, 2013.</w:t>
      </w:r>
    </w:p>
    <w:p>
      <w:pPr>
        <w:spacing w:after="0" w:line="137" w:lineRule="exact"/>
        <w:rPr>
          <w:rFonts w:ascii="Arial" w:cs="Arial" w:eastAsia="Arial" w:hAnsi="Arial"/>
          <w:sz w:val="25"/>
          <w:szCs w:val="25"/>
          <w:color w:val="auto"/>
          <w:vertAlign w:val="superscript"/>
        </w:rPr>
      </w:pPr>
    </w:p>
    <w:p>
      <w:pPr>
        <w:ind w:left="380" w:hanging="370"/>
        <w:spacing w:after="0" w:line="187" w:lineRule="auto"/>
        <w:tabs>
          <w:tab w:leader="none" w:pos="380" w:val="left"/>
        </w:tabs>
        <w:numPr>
          <w:ilvl w:val="0"/>
          <w:numId w:val="48"/>
        </w:numPr>
        <w:rPr>
          <w:rFonts w:ascii="Arial" w:cs="Arial" w:eastAsia="Arial" w:hAnsi="Arial"/>
          <w:sz w:val="25"/>
          <w:szCs w:val="25"/>
          <w:color w:val="auto"/>
          <w:vertAlign w:val="superscript"/>
        </w:rPr>
      </w:pPr>
      <w:r>
        <w:rPr>
          <w:rFonts w:ascii="Arial" w:cs="Arial" w:eastAsia="Arial" w:hAnsi="Arial"/>
          <w:sz w:val="15"/>
          <w:szCs w:val="15"/>
          <w:color w:val="auto"/>
        </w:rPr>
        <w:t>Calculated as of the respective high or low intraday sales price divided by the quarter end NAV and subtracting 1.</w:t>
      </w:r>
    </w:p>
    <w:p>
      <w:pPr>
        <w:spacing w:after="0" w:line="137" w:lineRule="exact"/>
        <w:rPr>
          <w:rFonts w:ascii="Arial" w:cs="Arial" w:eastAsia="Arial" w:hAnsi="Arial"/>
          <w:sz w:val="25"/>
          <w:szCs w:val="25"/>
          <w:color w:val="auto"/>
          <w:vertAlign w:val="superscript"/>
        </w:rPr>
      </w:pPr>
    </w:p>
    <w:p>
      <w:pPr>
        <w:ind w:left="380" w:hanging="370"/>
        <w:spacing w:after="0" w:line="187" w:lineRule="auto"/>
        <w:tabs>
          <w:tab w:leader="none" w:pos="380" w:val="left"/>
        </w:tabs>
        <w:numPr>
          <w:ilvl w:val="0"/>
          <w:numId w:val="48"/>
        </w:numPr>
        <w:rPr>
          <w:rFonts w:ascii="Arial" w:cs="Arial" w:eastAsia="Arial" w:hAnsi="Arial"/>
          <w:sz w:val="25"/>
          <w:szCs w:val="25"/>
          <w:color w:val="auto"/>
          <w:vertAlign w:val="superscript"/>
        </w:rPr>
      </w:pPr>
      <w:r>
        <w:rPr>
          <w:rFonts w:ascii="Arial" w:cs="Arial" w:eastAsia="Arial" w:hAnsi="Arial"/>
          <w:sz w:val="15"/>
          <w:szCs w:val="15"/>
          <w:color w:val="auto"/>
        </w:rPr>
        <w:t>Represents the dividend paid or to be paid in the specified quarter.</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HOLDERS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last reported price for our common stock on March 27, 2014 was $19.27 per share. As of March 27, 2014, there were 217 holders of record of our common stock.</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DIVIDENDS</w:t>
      </w:r>
    </w:p>
    <w:p>
      <w:pPr>
        <w:spacing w:after="0" w:line="193" w:lineRule="exact"/>
        <w:rPr>
          <w:sz w:val="20"/>
          <w:szCs w:val="20"/>
          <w:color w:val="auto"/>
        </w:rPr>
      </w:pPr>
    </w:p>
    <w:p>
      <w:pPr>
        <w:ind w:left="20" w:right="20" w:firstLine="543"/>
        <w:spacing w:after="0" w:line="255" w:lineRule="auto"/>
        <w:rPr>
          <w:sz w:val="20"/>
          <w:szCs w:val="20"/>
          <w:color w:val="auto"/>
        </w:rPr>
      </w:pPr>
      <w:r>
        <w:rPr>
          <w:rFonts w:ascii="Arial" w:cs="Arial" w:eastAsia="Arial" w:hAnsi="Arial"/>
          <w:sz w:val="15"/>
          <w:szCs w:val="15"/>
          <w:color w:val="auto"/>
        </w:rPr>
        <w:t>In order to qualify as a RIC and to avoid U.S. federal corporate level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To the extent that we have income available, we intend to make quarterly distributions to our stockholders for the first four full quarters subsequent to our IPO and then make monthly distributions thereafter. Our monthly stockholder distributions, if any, will be determined by our Board of Directors on a quarterly basis. Any distribution to our stockholders will be declared out of assets legally available for distribution.</w:t>
      </w:r>
    </w:p>
    <w:p>
      <w:pPr>
        <w:spacing w:after="0" w:line="165" w:lineRule="exact"/>
        <w:rPr>
          <w:sz w:val="20"/>
          <w:szCs w:val="20"/>
          <w:color w:val="auto"/>
        </w:rPr>
      </w:pPr>
    </w:p>
    <w:p>
      <w:pPr>
        <w:ind w:left="20" w:right="200" w:firstLine="543"/>
        <w:spacing w:after="0" w:line="260" w:lineRule="auto"/>
        <w:rPr>
          <w:sz w:val="20"/>
          <w:szCs w:val="20"/>
          <w:color w:val="auto"/>
        </w:rPr>
      </w:pPr>
      <w:r>
        <w:rPr>
          <w:rFonts w:ascii="Arial" w:cs="Arial" w:eastAsia="Arial" w:hAnsi="Arial"/>
          <w:sz w:val="15"/>
          <w:szCs w:val="15"/>
          <w:color w:val="auto"/>
        </w:rPr>
        <w:t>We may not be able to achieve operating results that will allow us to make distributions at a specific level or to increase the amount of our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57" w:lineRule="exact"/>
        <w:rPr>
          <w:sz w:val="20"/>
          <w:szCs w:val="20"/>
          <w:color w:val="auto"/>
        </w:rPr>
      </w:pPr>
    </w:p>
    <w:p>
      <w:pPr>
        <w:ind w:left="20" w:right="60" w:firstLine="543"/>
        <w:spacing w:after="0" w:line="260" w:lineRule="auto"/>
        <w:rPr>
          <w:sz w:val="20"/>
          <w:szCs w:val="20"/>
          <w:color w:val="auto"/>
        </w:rPr>
      </w:pPr>
      <w:r>
        <w:rPr>
          <w:rFonts w:ascii="Arial" w:cs="Arial" w:eastAsia="Arial" w:hAnsi="Arial"/>
          <w:sz w:val="15"/>
          <w:szCs w:val="15"/>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12065</wp:posOffset>
            </wp:positionV>
            <wp:extent cx="726884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60"/>
          </w:cols>
          <w:pgMar w:left="220" w:top="758" w:right="219" w:bottom="1440" w:gutter="0" w:footer="0" w:header="0"/>
        </w:sectPr>
      </w:pPr>
    </w:p>
    <w:bookmarkStart w:id="51" w:name="page52"/>
    <w:bookmarkEnd w:id="51"/>
    <w:p>
      <w:pPr>
        <w:ind w:right="40" w:firstLine="543"/>
        <w:spacing w:after="0" w:line="312" w:lineRule="auto"/>
        <w:rPr>
          <w:sz w:val="20"/>
          <w:szCs w:val="20"/>
          <w:color w:val="auto"/>
        </w:rPr>
      </w:pPr>
      <w:r>
        <w:rPr>
          <w:rFonts w:ascii="Arial" w:cs="Arial" w:eastAsia="Arial" w:hAnsi="Arial"/>
          <w:sz w:val="13"/>
          <w:szCs w:val="13"/>
          <w:color w:val="auto"/>
        </w:rPr>
        <w:t>We have adopted an “opt out” dividend reinvestment plan for our common stockholders. As a result, if we declare a distribution, then stockholders’ cash distributions will be automatically reinvested in additional shares of our common stock unless a stockholder specifically “opts out” of our dividend reinvestment plan.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w:t>
      </w:r>
    </w:p>
    <w:p>
      <w:pPr>
        <w:spacing w:after="0" w:line="1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 summarizes our dividends or distributions declared during fiscal year 2013:</w:t>
      </w:r>
    </w:p>
    <w:p>
      <w:pPr>
        <w:spacing w:after="0" w:line="185"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Amount</w:t>
            </w:r>
          </w:p>
        </w:tc>
      </w:tr>
      <w:tr>
        <w:trPr>
          <w:trHeight w:val="195"/>
        </w:trPr>
        <w:tc>
          <w:tcPr>
            <w:tcW w:w="3780" w:type="dxa"/>
            <w:vAlign w:val="bottom"/>
            <w:gridSpan w:val="2"/>
          </w:tcPr>
          <w:p>
            <w:pPr>
              <w:spacing w:after="0"/>
              <w:rPr>
                <w:sz w:val="20"/>
                <w:szCs w:val="20"/>
                <w:color w:val="auto"/>
              </w:rPr>
            </w:pPr>
            <w:r>
              <w:rPr>
                <w:rFonts w:ascii="Arial" w:cs="Arial" w:eastAsia="Arial" w:hAnsi="Arial"/>
                <w:sz w:val="15"/>
                <w:szCs w:val="15"/>
                <w:b w:val="1"/>
                <w:bCs w:val="1"/>
                <w:color w:val="auto"/>
              </w:rPr>
              <w:t>Date Declared</w:t>
            </w:r>
          </w:p>
        </w:tc>
        <w:tc>
          <w:tcPr>
            <w:tcW w:w="1920" w:type="dxa"/>
            <w:vAlign w:val="bottom"/>
            <w:gridSpan w:val="2"/>
          </w:tcPr>
          <w:p>
            <w:pPr>
              <w:ind w:left="500"/>
              <w:spacing w:after="0"/>
              <w:rPr>
                <w:sz w:val="20"/>
                <w:szCs w:val="20"/>
                <w:color w:val="auto"/>
              </w:rPr>
            </w:pPr>
            <w:r>
              <w:rPr>
                <w:rFonts w:ascii="Arial" w:cs="Arial" w:eastAsia="Arial" w:hAnsi="Arial"/>
                <w:sz w:val="15"/>
                <w:szCs w:val="15"/>
                <w:b w:val="1"/>
                <w:bCs w:val="1"/>
                <w:color w:val="auto"/>
              </w:rPr>
              <w:t>Record Date</w:t>
            </w:r>
          </w:p>
        </w:tc>
        <w:tc>
          <w:tcPr>
            <w:tcW w:w="1900" w:type="dxa"/>
            <w:vAlign w:val="bottom"/>
            <w:gridSpan w:val="2"/>
          </w:tcPr>
          <w:p>
            <w:pPr>
              <w:ind w:left="460"/>
              <w:spacing w:after="0"/>
              <w:rPr>
                <w:sz w:val="20"/>
                <w:szCs w:val="20"/>
                <w:color w:val="auto"/>
              </w:rPr>
            </w:pPr>
            <w:r>
              <w:rPr>
                <w:rFonts w:ascii="Arial" w:cs="Arial" w:eastAsia="Arial" w:hAnsi="Arial"/>
                <w:sz w:val="15"/>
                <w:szCs w:val="15"/>
                <w:b w:val="1"/>
                <w:bCs w:val="1"/>
                <w:color w:val="auto"/>
              </w:rPr>
              <w:t>Payment Date</w:t>
            </w:r>
          </w:p>
        </w:tc>
        <w:tc>
          <w:tcPr>
            <w:tcW w:w="24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Per Share</w:t>
            </w:r>
          </w:p>
        </w:tc>
      </w:tr>
      <w:tr>
        <w:trPr>
          <w:trHeight w:val="184"/>
        </w:trPr>
        <w:tc>
          <w:tcPr>
            <w:tcW w:w="36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5"/>
                <w:szCs w:val="15"/>
                <w:color w:val="auto"/>
              </w:rPr>
              <w:t>November 11, 2013</w:t>
            </w:r>
          </w:p>
        </w:tc>
        <w:tc>
          <w:tcPr>
            <w:tcW w:w="120" w:type="dxa"/>
            <w:vAlign w:val="bottom"/>
            <w:tcBorders>
              <w:top w:val="single" w:sz="8" w:color="CCFFCC"/>
            </w:tcBorders>
            <w:shd w:val="clear" w:color="auto" w:fill="CCFFCC"/>
          </w:tcPr>
          <w:p>
            <w:pPr>
              <w:spacing w:after="0"/>
              <w:rPr>
                <w:sz w:val="16"/>
                <w:szCs w:val="16"/>
                <w:color w:val="auto"/>
              </w:rPr>
            </w:pPr>
          </w:p>
        </w:tc>
        <w:tc>
          <w:tcPr>
            <w:tcW w:w="1820" w:type="dxa"/>
            <w:vAlign w:val="bottom"/>
            <w:tcBorders>
              <w:top w:val="single" w:sz="8" w:color="auto"/>
            </w:tcBorders>
            <w:shd w:val="clear" w:color="auto" w:fill="CCFFCC"/>
          </w:tcPr>
          <w:p>
            <w:pPr>
              <w:ind w:left="640"/>
              <w:spacing w:after="0"/>
              <w:rPr>
                <w:sz w:val="20"/>
                <w:szCs w:val="20"/>
                <w:color w:val="auto"/>
              </w:rPr>
            </w:pPr>
            <w:r>
              <w:rPr>
                <w:rFonts w:ascii="Arial" w:cs="Arial" w:eastAsia="Arial" w:hAnsi="Arial"/>
                <w:sz w:val="15"/>
                <w:szCs w:val="15"/>
                <w:color w:val="auto"/>
                <w:w w:val="88"/>
              </w:rPr>
              <w:t>December 10, 2013</w:t>
            </w:r>
          </w:p>
        </w:tc>
        <w:tc>
          <w:tcPr>
            <w:tcW w:w="100" w:type="dxa"/>
            <w:vAlign w:val="bottom"/>
            <w:tcBorders>
              <w:top w:val="single" w:sz="8" w:color="CCFFCC"/>
            </w:tcBorders>
            <w:shd w:val="clear" w:color="auto" w:fill="CCFFCC"/>
          </w:tcPr>
          <w:p>
            <w:pPr>
              <w:spacing w:after="0"/>
              <w:rPr>
                <w:sz w:val="16"/>
                <w:szCs w:val="16"/>
                <w:color w:val="auto"/>
              </w:rPr>
            </w:pPr>
          </w:p>
        </w:tc>
        <w:tc>
          <w:tcPr>
            <w:tcW w:w="1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December 30, 2013</w:t>
            </w:r>
          </w:p>
        </w:tc>
        <w:tc>
          <w:tcPr>
            <w:tcW w:w="80" w:type="dxa"/>
            <w:vAlign w:val="bottom"/>
            <w:tcBorders>
              <w:top w:val="single" w:sz="8" w:color="CCFFCC"/>
            </w:tcBorders>
            <w:shd w:val="clear" w:color="auto" w:fill="CCFFCC"/>
          </w:tcPr>
          <w:p>
            <w:pPr>
              <w:spacing w:after="0"/>
              <w:rPr>
                <w:sz w:val="16"/>
                <w:szCs w:val="16"/>
                <w:color w:val="auto"/>
              </w:rPr>
            </w:pPr>
          </w:p>
        </w:tc>
        <w:tc>
          <w:tcPr>
            <w:tcW w:w="240" w:type="dxa"/>
            <w:vAlign w:val="bottom"/>
            <w:tcBorders>
              <w:top w:val="single" w:sz="8" w:color="auto"/>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0.47</w:t>
            </w:r>
          </w:p>
        </w:tc>
        <w:tc>
          <w:tcPr>
            <w:tcW w:w="100" w:type="dxa"/>
            <w:vAlign w:val="bottom"/>
            <w:tcBorders>
              <w:top w:val="single" w:sz="8" w:color="CCFFCC"/>
            </w:tcBorders>
            <w:shd w:val="clear" w:color="auto" w:fill="CCFFCC"/>
          </w:tcPr>
          <w:p>
            <w:pPr>
              <w:spacing w:after="0"/>
              <w:rPr>
                <w:sz w:val="16"/>
                <w:szCs w:val="16"/>
                <w:color w:val="auto"/>
              </w:rPr>
            </w:pPr>
          </w:p>
        </w:tc>
      </w:tr>
      <w:tr>
        <w:trPr>
          <w:trHeight w:val="183"/>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20" w:type="dxa"/>
            <w:vAlign w:val="bottom"/>
            <w:gridSpan w:val="4"/>
          </w:tcPr>
          <w:p>
            <w:pPr>
              <w:jc w:val="right"/>
              <w:ind w:right="80"/>
              <w:spacing w:after="0" w:line="171" w:lineRule="exact"/>
              <w:rPr>
                <w:sz w:val="20"/>
                <w:szCs w:val="20"/>
                <w:color w:val="auto"/>
              </w:rPr>
            </w:pPr>
            <w:r>
              <w:rPr>
                <w:rFonts w:ascii="Arial" w:cs="Arial" w:eastAsia="Arial" w:hAnsi="Arial"/>
                <w:sz w:val="15"/>
                <w:szCs w:val="15"/>
                <w:color w:val="auto"/>
              </w:rPr>
              <w:t>Total Dividends Declared for Fiscal 2013</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0.47</w:t>
            </w:r>
          </w:p>
        </w:tc>
        <w:tc>
          <w:tcPr>
            <w:tcW w:w="100" w:type="dxa"/>
            <w:vAlign w:val="bottom"/>
          </w:tcPr>
          <w:p>
            <w:pPr>
              <w:spacing w:after="0"/>
              <w:rPr>
                <w:sz w:val="15"/>
                <w:szCs w:val="15"/>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On February 27, 2014, the Company’s Board of Directors declared a quarterly dividend of $0.47 per share payable on March 26, 2014 to holders of record as of March 14, 2014.</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GRAPH</w:t>
      </w:r>
    </w:p>
    <w:p>
      <w:pPr>
        <w:spacing w:after="0" w:line="193" w:lineRule="exact"/>
        <w:rPr>
          <w:sz w:val="20"/>
          <w:szCs w:val="20"/>
          <w:color w:val="auto"/>
        </w:rPr>
      </w:pPr>
    </w:p>
    <w:p>
      <w:pPr>
        <w:ind w:firstLine="543"/>
        <w:spacing w:after="0" w:line="258" w:lineRule="auto"/>
        <w:rPr>
          <w:sz w:val="20"/>
          <w:szCs w:val="20"/>
          <w:color w:val="auto"/>
        </w:rPr>
      </w:pPr>
      <w:r>
        <w:rPr>
          <w:rFonts w:ascii="Arial" w:cs="Arial" w:eastAsia="Arial" w:hAnsi="Arial"/>
          <w:sz w:val="15"/>
          <w:szCs w:val="15"/>
          <w:color w:val="auto"/>
        </w:rPr>
        <w:t>The following graph compares the return on our common stock with that of the Standard &amp; Poor’s 500 Stock Index and the NASDAQ Financial 100 index, as we do not believe there is an appropriate index of companies with an investment strategy similar to our own with which to compare the return on our common stock, for the period from September 25, 2013, the date our common stock began trading, through December 31, 2013. The graph assumes that on September 25, 2013, a person invested $100 in each of our common stock, the Standard &amp; Poor’s 500 Stock Index and the NASDAQ Financial 100 index. The graph measures total shareholder return, which takes into account both changes in stock price and dividends. The graph also assumes the reinvestment of all dividends prior to any tax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1294130</wp:posOffset>
            </wp:positionH>
            <wp:positionV relativeFrom="paragraph">
              <wp:posOffset>107315</wp:posOffset>
            </wp:positionV>
            <wp:extent cx="4668520" cy="2039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68520" cy="2039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543"/>
        <w:spacing w:after="0" w:line="264" w:lineRule="auto"/>
        <w:rPr>
          <w:sz w:val="20"/>
          <w:szCs w:val="20"/>
          <w:color w:val="auto"/>
        </w:rPr>
      </w:pPr>
      <w:r>
        <w:rPr>
          <w:rFonts w:ascii="Arial" w:cs="Arial" w:eastAsia="Arial" w:hAnsi="Arial"/>
          <w:sz w:val="15"/>
          <w:szCs w:val="15"/>
          <w:color w:val="auto"/>
        </w:rPr>
        <w:t>The graph and other information furnished under this Part II Item 5 of this annual report on Form 10-K shall not be deemed to be “soliciting material” or to be “filed” with the SEC or subject to Regulation 14A or 14C under, or to the liabilities of Section 18 of, the Exchange Act. The stock price performance included in the below graph is not necessarily indicative of future stock price performance.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OF UNREGISTERED SECURITIES</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Previously reported on Form 10-Q filed with the Securities and Exchange Commission on November 4, 2013.</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52" w:name="page53"/>
    <w:bookmarkEnd w:id="52"/>
    <w:p>
      <w:pPr>
        <w:spacing w:after="0"/>
        <w:rPr>
          <w:sz w:val="20"/>
          <w:szCs w:val="20"/>
          <w:color w:val="auto"/>
        </w:rPr>
      </w:pPr>
      <w:r>
        <w:rPr>
          <w:rFonts w:ascii="Arial" w:cs="Arial" w:eastAsia="Arial" w:hAnsi="Arial"/>
          <w:sz w:val="15"/>
          <w:szCs w:val="15"/>
          <w:b w:val="1"/>
          <w:bCs w:val="1"/>
          <w:color w:val="auto"/>
        </w:rPr>
        <w:t>ISSUER PURCHASES OF EQUITY SECURITIES</w:t>
      </w:r>
    </w:p>
    <w:p>
      <w:pPr>
        <w:spacing w:after="0" w:line="193" w:lineRule="exact"/>
        <w:rPr>
          <w:sz w:val="20"/>
          <w:szCs w:val="20"/>
          <w:color w:val="auto"/>
        </w:rPr>
      </w:pPr>
    </w:p>
    <w:p>
      <w:pPr>
        <w:ind w:firstLine="543"/>
        <w:spacing w:after="0" w:line="356" w:lineRule="auto"/>
        <w:rPr>
          <w:sz w:val="20"/>
          <w:szCs w:val="20"/>
          <w:color w:val="auto"/>
        </w:rPr>
      </w:pPr>
      <w:r>
        <w:rPr>
          <w:rFonts w:ascii="Arial" w:cs="Arial" w:eastAsia="Arial" w:hAnsi="Arial"/>
          <w:sz w:val="13"/>
          <w:szCs w:val="13"/>
          <w:color w:val="auto"/>
        </w:rPr>
        <w:t>During the year ended December 31, 2013, we issued 48,649 shares of common stock under our dividend reinvestment plan. These issuances were not subject to the registration requirements under the Securities Act. The cash paid for shares of common stock issued under our dividend reinvestment plan during the fiscal year 2013 was approximately $22,865.</w:t>
      </w:r>
    </w:p>
    <w:p>
      <w:pPr>
        <w:spacing w:after="0" w:line="99" w:lineRule="exact"/>
        <w:rPr>
          <w:sz w:val="20"/>
          <w:szCs w:val="20"/>
          <w:color w:val="auto"/>
        </w:rPr>
      </w:pPr>
    </w:p>
    <w:p>
      <w:pPr>
        <w:ind w:right="360" w:firstLine="543"/>
        <w:spacing w:after="0" w:line="276" w:lineRule="auto"/>
        <w:rPr>
          <w:sz w:val="20"/>
          <w:szCs w:val="20"/>
          <w:color w:val="auto"/>
        </w:rPr>
      </w:pPr>
      <w:r>
        <w:rPr>
          <w:rFonts w:ascii="Arial" w:cs="Arial" w:eastAsia="Arial" w:hAnsi="Arial"/>
          <w:sz w:val="15"/>
          <w:szCs w:val="15"/>
          <w:color w:val="auto"/>
        </w:rPr>
        <w:t>Other than shares issued under our dividend reinvestment plan during the year ended December 31, 2013, we did not sell any unregistered equity securities and we did not repurchase any of our equity securities.</w:t>
      </w:r>
    </w:p>
    <w:p>
      <w:pPr>
        <w:spacing w:after="0" w:line="327"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180"/>
          </w:cols>
          <w:pgMar w:left="240" w:top="758" w:right="479" w:bottom="1440" w:gutter="0" w:footer="0" w:header="0"/>
        </w:sectPr>
      </w:pPr>
    </w:p>
    <w:bookmarkStart w:id="53" w:name="page54"/>
    <w:bookmarkEnd w:id="53"/>
    <w:p>
      <w:pPr>
        <w:ind w:left="10"/>
        <w:spacing w:after="0"/>
        <w:rPr>
          <w:sz w:val="20"/>
          <w:szCs w:val="20"/>
          <w:color w:val="auto"/>
        </w:rPr>
      </w:pPr>
      <w:r>
        <w:rPr>
          <w:rFonts w:ascii="Arial" w:cs="Arial" w:eastAsia="Arial" w:hAnsi="Arial"/>
          <w:sz w:val="15"/>
          <w:szCs w:val="15"/>
          <w:b w:val="1"/>
          <w:bCs w:val="1"/>
          <w:color w:val="auto"/>
        </w:rPr>
        <w:t>ITEM 6. SELECTED FINANCIAL DATA</w:t>
      </w:r>
    </w:p>
    <w:p>
      <w:pPr>
        <w:spacing w:after="0" w:line="193" w:lineRule="exact"/>
        <w:rPr>
          <w:sz w:val="20"/>
          <w:szCs w:val="20"/>
          <w:color w:val="auto"/>
        </w:rPr>
      </w:pPr>
    </w:p>
    <w:p>
      <w:pPr>
        <w:jc w:val="both"/>
        <w:ind w:left="10" w:right="100" w:firstLine="543"/>
        <w:spacing w:after="0" w:line="323" w:lineRule="auto"/>
        <w:rPr>
          <w:sz w:val="20"/>
          <w:szCs w:val="20"/>
          <w:color w:val="auto"/>
        </w:rPr>
      </w:pPr>
      <w:r>
        <w:rPr>
          <w:rFonts w:ascii="Arial" w:cs="Arial" w:eastAsia="Arial" w:hAnsi="Arial"/>
          <w:sz w:val="13"/>
          <w:szCs w:val="13"/>
          <w:color w:val="auto"/>
        </w:rPr>
        <w:t>The following selected financial data of the Company as of and for the year ended December 31, 2013 are derived from our financial statements that have been audited by Ernst &amp; Young LLP, our independent registered public accounting firm. This financial data should be read in conjunction with our financial statements and related notes thereto included elsewhere in this Form 10-K and with Management’s Discussion and Analysis of Financial Condition and Results of Operations which follows (dollars in thousands except share and per share data):</w:t>
      </w:r>
    </w:p>
    <w:p>
      <w:pPr>
        <w:spacing w:after="0" w:line="116" w:lineRule="exact"/>
        <w:rPr>
          <w:sz w:val="20"/>
          <w:szCs w:val="20"/>
          <w:color w:val="auto"/>
        </w:rPr>
      </w:pPr>
    </w:p>
    <w:tbl>
      <w:tblPr>
        <w:tblLayout w:type="fixed"/>
        <w:tblInd w:w="1710" w:type="dxa"/>
        <w:tblCellMar>
          <w:top w:w="0" w:type="dxa"/>
          <w:left w:w="0" w:type="dxa"/>
          <w:bottom w:w="0" w:type="dxa"/>
          <w:right w:w="0" w:type="dxa"/>
        </w:tblCellMar>
      </w:tblPr>
      <w:tr>
        <w:trPr>
          <w:trHeight w:val="183"/>
        </w:trPr>
        <w:tc>
          <w:tcPr>
            <w:tcW w:w="5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2"/>
          </w:tcPr>
          <w:p>
            <w:pPr>
              <w:jc w:val="right"/>
              <w:ind w:right="740"/>
              <w:spacing w:after="0"/>
              <w:rPr>
                <w:sz w:val="20"/>
                <w:szCs w:val="20"/>
                <w:color w:val="auto"/>
              </w:rPr>
            </w:pPr>
            <w:r>
              <w:rPr>
                <w:rFonts w:ascii="Arial" w:cs="Arial" w:eastAsia="Arial" w:hAnsi="Arial"/>
                <w:sz w:val="15"/>
                <w:szCs w:val="15"/>
                <w:b w:val="1"/>
                <w:bCs w:val="1"/>
                <w:color w:val="auto"/>
              </w:rPr>
              <w:t>For the year ended</w:t>
            </w:r>
          </w:p>
        </w:tc>
        <w:tc>
          <w:tcPr>
            <w:tcW w:w="0" w:type="dxa"/>
            <w:vAlign w:val="bottom"/>
          </w:tcPr>
          <w:p>
            <w:pPr>
              <w:spacing w:after="0"/>
              <w:rPr>
                <w:sz w:val="1"/>
                <w:szCs w:val="1"/>
                <w:color w:val="auto"/>
              </w:rPr>
            </w:pPr>
          </w:p>
        </w:tc>
      </w:tr>
      <w:tr>
        <w:trPr>
          <w:trHeight w:val="228"/>
        </w:trPr>
        <w:tc>
          <w:tcPr>
            <w:tcW w:w="5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2"/>
          </w:tcPr>
          <w:p>
            <w:pPr>
              <w:jc w:val="right"/>
              <w:ind w:right="660"/>
              <w:spacing w:after="0" w:line="228" w:lineRule="exact"/>
              <w:rPr>
                <w:sz w:val="20"/>
                <w:szCs w:val="20"/>
                <w:color w:val="auto"/>
              </w:rPr>
            </w:pPr>
            <w:r>
              <w:rPr>
                <w:rFonts w:ascii="Arial" w:cs="Arial" w:eastAsia="Arial" w:hAnsi="Arial"/>
                <w:sz w:val="15"/>
                <w:szCs w:val="15"/>
                <w:b w:val="1"/>
                <w:bCs w:val="1"/>
                <w:color w:val="auto"/>
              </w:rPr>
              <w:t xml:space="preserve">December 31, 2013 </w:t>
            </w:r>
            <w:r>
              <w:rPr>
                <w:rFonts w:ascii="Arial" w:cs="Arial" w:eastAsia="Arial" w:hAnsi="Arial"/>
                <w:sz w:val="25"/>
                <w:szCs w:val="25"/>
                <w:b w:val="1"/>
                <w:bCs w:val="1"/>
                <w:color w:val="auto"/>
                <w:vertAlign w:val="superscript"/>
              </w:rPr>
              <w:t>(1)</w:t>
            </w:r>
          </w:p>
        </w:tc>
        <w:tc>
          <w:tcPr>
            <w:tcW w:w="0" w:type="dxa"/>
            <w:vAlign w:val="bottom"/>
          </w:tcPr>
          <w:p>
            <w:pPr>
              <w:spacing w:after="0"/>
              <w:rPr>
                <w:sz w:val="1"/>
                <w:szCs w:val="1"/>
                <w:color w:val="auto"/>
              </w:rPr>
            </w:pPr>
          </w:p>
        </w:tc>
      </w:tr>
      <w:tr>
        <w:trPr>
          <w:trHeight w:val="172"/>
        </w:trPr>
        <w:tc>
          <w:tcPr>
            <w:tcW w:w="54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5"/>
                <w:szCs w:val="15"/>
                <w:b w:val="1"/>
                <w:bCs w:val="1"/>
                <w:color w:val="auto"/>
              </w:rPr>
              <w:t>Statement of operations data:</w:t>
            </w:r>
          </w:p>
        </w:tc>
        <w:tc>
          <w:tcPr>
            <w:tcW w:w="300" w:type="dxa"/>
            <w:vAlign w:val="bottom"/>
            <w:tcBorders>
              <w:top w:val="single" w:sz="8" w:color="auto"/>
            </w:tcBorders>
            <w:shd w:val="clear" w:color="auto" w:fill="CCFFCC"/>
          </w:tcPr>
          <w:p>
            <w:pPr>
              <w:spacing w:after="0"/>
              <w:rPr>
                <w:sz w:val="14"/>
                <w:szCs w:val="14"/>
                <w:color w:val="auto"/>
              </w:rPr>
            </w:pPr>
          </w:p>
        </w:tc>
        <w:tc>
          <w:tcPr>
            <w:tcW w:w="2160" w:type="dxa"/>
            <w:vAlign w:val="bottom"/>
            <w:tcBorders>
              <w:top w:val="single" w:sz="8" w:color="auto"/>
            </w:tcBorders>
            <w:shd w:val="clear" w:color="auto" w:fill="CCFFCC"/>
          </w:tcPr>
          <w:p>
            <w:pPr>
              <w:spacing w:after="0"/>
              <w:rPr>
                <w:sz w:val="14"/>
                <w:szCs w:val="14"/>
                <w:color w:val="auto"/>
              </w:rPr>
            </w:pPr>
          </w:p>
        </w:tc>
        <w:tc>
          <w:tcPr>
            <w:tcW w:w="14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420" w:type="dxa"/>
            <w:vAlign w:val="bottom"/>
          </w:tcPr>
          <w:p>
            <w:pPr>
              <w:spacing w:after="0"/>
              <w:rPr>
                <w:sz w:val="20"/>
                <w:szCs w:val="20"/>
                <w:color w:val="auto"/>
              </w:rPr>
            </w:pPr>
            <w:r>
              <w:rPr>
                <w:rFonts w:ascii="Arial" w:cs="Arial" w:eastAsia="Arial" w:hAnsi="Arial"/>
                <w:sz w:val="15"/>
                <w:szCs w:val="15"/>
                <w:color w:val="auto"/>
              </w:rPr>
              <w:t>Total investment income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2300" w:type="dxa"/>
            <w:vAlign w:val="bottom"/>
            <w:gridSpan w:val="2"/>
          </w:tcPr>
          <w:p>
            <w:pPr>
              <w:jc w:val="right"/>
              <w:ind w:right="140"/>
              <w:spacing w:after="0"/>
              <w:rPr>
                <w:sz w:val="20"/>
                <w:szCs w:val="20"/>
                <w:color w:val="auto"/>
              </w:rPr>
            </w:pPr>
            <w:r>
              <w:rPr>
                <w:rFonts w:ascii="Arial" w:cs="Arial" w:eastAsia="Arial" w:hAnsi="Arial"/>
                <w:sz w:val="15"/>
                <w:szCs w:val="15"/>
                <w:color w:val="auto"/>
              </w:rPr>
              <w:t>35,433</w:t>
            </w:r>
          </w:p>
        </w:tc>
        <w:tc>
          <w:tcPr>
            <w:tcW w:w="0" w:type="dxa"/>
            <w:vAlign w:val="bottom"/>
          </w:tcPr>
          <w:p>
            <w:pPr>
              <w:spacing w:after="0"/>
              <w:rPr>
                <w:sz w:val="1"/>
                <w:szCs w:val="1"/>
                <w:color w:val="auto"/>
              </w:rPr>
            </w:pPr>
          </w:p>
        </w:tc>
      </w:tr>
      <w:tr>
        <w:trPr>
          <w:trHeight w:val="192"/>
        </w:trPr>
        <w:tc>
          <w:tcPr>
            <w:tcW w:w="5420" w:type="dxa"/>
            <w:vAlign w:val="bottom"/>
            <w:shd w:val="clear" w:color="auto" w:fill="CCFFCC"/>
          </w:tcPr>
          <w:p>
            <w:pPr>
              <w:spacing w:after="0"/>
              <w:rPr>
                <w:sz w:val="20"/>
                <w:szCs w:val="20"/>
                <w:color w:val="auto"/>
              </w:rPr>
            </w:pPr>
            <w:r>
              <w:rPr>
                <w:rFonts w:ascii="Arial" w:cs="Arial" w:eastAsia="Arial" w:hAnsi="Arial"/>
                <w:sz w:val="15"/>
                <w:szCs w:val="15"/>
                <w:color w:val="auto"/>
              </w:rPr>
              <w:t>Total expenses net of management fee waiver</w:t>
            </w:r>
          </w:p>
        </w:tc>
        <w:tc>
          <w:tcPr>
            <w:tcW w:w="300" w:type="dxa"/>
            <w:vAlign w:val="bottom"/>
            <w:shd w:val="clear" w:color="auto" w:fill="CCFFCC"/>
          </w:tcPr>
          <w:p>
            <w:pPr>
              <w:spacing w:after="0"/>
              <w:rPr>
                <w:sz w:val="16"/>
                <w:szCs w:val="16"/>
                <w:color w:val="auto"/>
              </w:rPr>
            </w:pPr>
          </w:p>
        </w:tc>
        <w:tc>
          <w:tcPr>
            <w:tcW w:w="230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15,949</w:t>
            </w:r>
          </w:p>
        </w:tc>
        <w:tc>
          <w:tcPr>
            <w:tcW w:w="0" w:type="dxa"/>
            <w:vAlign w:val="bottom"/>
          </w:tcPr>
          <w:p>
            <w:pPr>
              <w:spacing w:after="0"/>
              <w:rPr>
                <w:sz w:val="1"/>
                <w:szCs w:val="1"/>
                <w:color w:val="auto"/>
              </w:rPr>
            </w:pPr>
          </w:p>
        </w:tc>
      </w:tr>
      <w:tr>
        <w:trPr>
          <w:trHeight w:val="172"/>
        </w:trPr>
        <w:tc>
          <w:tcPr>
            <w:tcW w:w="5420" w:type="dxa"/>
            <w:vAlign w:val="bottom"/>
          </w:tcPr>
          <w:p>
            <w:pPr>
              <w:spacing w:after="0" w:line="172" w:lineRule="exact"/>
              <w:rPr>
                <w:sz w:val="20"/>
                <w:szCs w:val="20"/>
                <w:color w:val="auto"/>
              </w:rPr>
            </w:pPr>
            <w:r>
              <w:rPr>
                <w:rFonts w:ascii="Arial" w:cs="Arial" w:eastAsia="Arial" w:hAnsi="Arial"/>
                <w:sz w:val="15"/>
                <w:szCs w:val="15"/>
                <w:color w:val="auto"/>
              </w:rPr>
              <w:t>Net investment income</w:t>
            </w:r>
          </w:p>
        </w:tc>
        <w:tc>
          <w:tcPr>
            <w:tcW w:w="300" w:type="dxa"/>
            <w:vAlign w:val="bottom"/>
            <w:tcBorders>
              <w:top w:val="single" w:sz="8" w:color="auto"/>
            </w:tcBorders>
          </w:tcPr>
          <w:p>
            <w:pPr>
              <w:spacing w:after="0"/>
              <w:rPr>
                <w:sz w:val="14"/>
                <w:szCs w:val="14"/>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19,484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420" w:type="dxa"/>
            <w:vAlign w:val="bottom"/>
            <w:shd w:val="clear" w:color="auto" w:fill="CCFFCC"/>
          </w:tcPr>
          <w:p>
            <w:pPr>
              <w:spacing w:after="0"/>
              <w:rPr>
                <w:sz w:val="20"/>
                <w:szCs w:val="20"/>
                <w:color w:val="auto"/>
              </w:rPr>
            </w:pPr>
            <w:r>
              <w:rPr>
                <w:rFonts w:ascii="Arial" w:cs="Arial" w:eastAsia="Arial" w:hAnsi="Arial"/>
                <w:sz w:val="15"/>
                <w:szCs w:val="15"/>
                <w:color w:val="auto"/>
              </w:rPr>
              <w:t>Net realized gain from investments</w:t>
            </w:r>
          </w:p>
        </w:tc>
        <w:tc>
          <w:tcPr>
            <w:tcW w:w="300" w:type="dxa"/>
            <w:vAlign w:val="bottom"/>
            <w:shd w:val="clear" w:color="auto" w:fill="CCFFCC"/>
          </w:tcPr>
          <w:p>
            <w:pPr>
              <w:spacing w:after="0"/>
              <w:rPr>
                <w:sz w:val="15"/>
                <w:szCs w:val="15"/>
                <w:color w:val="auto"/>
              </w:rPr>
            </w:pPr>
          </w:p>
        </w:tc>
        <w:tc>
          <w:tcPr>
            <w:tcW w:w="230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2,187</w:t>
            </w:r>
          </w:p>
        </w:tc>
        <w:tc>
          <w:tcPr>
            <w:tcW w:w="0" w:type="dxa"/>
            <w:vAlign w:val="bottom"/>
          </w:tcPr>
          <w:p>
            <w:pPr>
              <w:spacing w:after="0"/>
              <w:rPr>
                <w:sz w:val="1"/>
                <w:szCs w:val="1"/>
                <w:color w:val="auto"/>
              </w:rPr>
            </w:pPr>
          </w:p>
        </w:tc>
      </w:tr>
      <w:tr>
        <w:trPr>
          <w:trHeight w:val="191"/>
        </w:trPr>
        <w:tc>
          <w:tcPr>
            <w:tcW w:w="5420" w:type="dxa"/>
            <w:vAlign w:val="bottom"/>
          </w:tcPr>
          <w:p>
            <w:pPr>
              <w:spacing w:after="0"/>
              <w:rPr>
                <w:sz w:val="20"/>
                <w:szCs w:val="20"/>
                <w:color w:val="auto"/>
              </w:rPr>
            </w:pPr>
            <w:r>
              <w:rPr>
                <w:rFonts w:ascii="Arial" w:cs="Arial" w:eastAsia="Arial" w:hAnsi="Arial"/>
                <w:sz w:val="15"/>
                <w:szCs w:val="15"/>
                <w:color w:val="auto"/>
              </w:rPr>
              <w:t>Net unrealized appreciation on investments</w:t>
            </w:r>
          </w:p>
        </w:tc>
        <w:tc>
          <w:tcPr>
            <w:tcW w:w="300" w:type="dxa"/>
            <w:vAlign w:val="bottom"/>
          </w:tcPr>
          <w:p>
            <w:pPr>
              <w:spacing w:after="0"/>
              <w:rPr>
                <w:sz w:val="16"/>
                <w:szCs w:val="16"/>
                <w:color w:val="auto"/>
              </w:rPr>
            </w:pPr>
          </w:p>
        </w:tc>
        <w:tc>
          <w:tcPr>
            <w:tcW w:w="2300" w:type="dxa"/>
            <w:vAlign w:val="bottom"/>
            <w:gridSpan w:val="2"/>
          </w:tcPr>
          <w:p>
            <w:pPr>
              <w:jc w:val="right"/>
              <w:ind w:right="140"/>
              <w:spacing w:after="0"/>
              <w:rPr>
                <w:sz w:val="20"/>
                <w:szCs w:val="20"/>
                <w:color w:val="auto"/>
              </w:rPr>
            </w:pPr>
            <w:r>
              <w:rPr>
                <w:rFonts w:ascii="Arial" w:cs="Arial" w:eastAsia="Arial" w:hAnsi="Arial"/>
                <w:sz w:val="15"/>
                <w:szCs w:val="15"/>
                <w:color w:val="auto"/>
              </w:rPr>
              <w:t>7,187</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CFFCC"/>
          </w:tcPr>
          <w:p>
            <w:pPr>
              <w:spacing w:after="0"/>
              <w:rPr>
                <w:sz w:val="20"/>
                <w:szCs w:val="20"/>
                <w:color w:val="auto"/>
              </w:rPr>
            </w:pPr>
            <w:r>
              <w:rPr>
                <w:rFonts w:ascii="Arial" w:cs="Arial" w:eastAsia="Arial" w:hAnsi="Arial"/>
                <w:sz w:val="15"/>
                <w:szCs w:val="15"/>
                <w:color w:val="auto"/>
              </w:rPr>
              <w:t>Net increase in net assets resulting from operations</w:t>
            </w:r>
          </w:p>
        </w:tc>
        <w:tc>
          <w:tcPr>
            <w:tcW w:w="30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420" w:type="dxa"/>
            <w:vAlign w:val="bottom"/>
            <w:vMerge w:val="continue"/>
            <w:shd w:val="clear" w:color="auto" w:fill="CCFFCC"/>
          </w:tcPr>
          <w:p>
            <w:pPr>
              <w:spacing w:after="0"/>
              <w:rPr>
                <w:sz w:val="16"/>
                <w:szCs w:val="16"/>
                <w:color w:val="auto"/>
              </w:rPr>
            </w:pP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230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28,858</w:t>
            </w:r>
          </w:p>
        </w:tc>
        <w:tc>
          <w:tcPr>
            <w:tcW w:w="0" w:type="dxa"/>
            <w:vAlign w:val="bottom"/>
          </w:tcPr>
          <w:p>
            <w:pPr>
              <w:spacing w:after="0"/>
              <w:rPr>
                <w:sz w:val="1"/>
                <w:szCs w:val="1"/>
                <w:color w:val="auto"/>
              </w:rPr>
            </w:pPr>
          </w:p>
        </w:tc>
      </w:tr>
      <w:tr>
        <w:trPr>
          <w:trHeight w:val="20"/>
        </w:trPr>
        <w:tc>
          <w:tcPr>
            <w:tcW w:w="5420" w:type="dxa"/>
            <w:vAlign w:val="bottom"/>
            <w:tcBorders>
              <w:top w:val="single" w:sz="8" w:color="CCFFCC"/>
              <w:bottom w:val="single" w:sz="8" w:color="CCFFCC"/>
            </w:tcBorders>
            <w:vMerge w:val="restart"/>
          </w:tcPr>
          <w:p>
            <w:pPr>
              <w:spacing w:after="0"/>
              <w:rPr>
                <w:sz w:val="20"/>
                <w:szCs w:val="20"/>
                <w:color w:val="auto"/>
              </w:rPr>
            </w:pPr>
            <w:r>
              <w:rPr>
                <w:rFonts w:ascii="Arial" w:cs="Arial" w:eastAsia="Arial" w:hAnsi="Arial"/>
                <w:sz w:val="15"/>
                <w:szCs w:val="15"/>
                <w:b w:val="1"/>
                <w:bCs w:val="1"/>
                <w:color w:val="auto"/>
              </w:rPr>
              <w:t>Per share data:</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4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420" w:type="dxa"/>
            <w:vAlign w:val="bottom"/>
            <w:shd w:val="clear" w:color="auto" w:fill="CCFFCC"/>
          </w:tcPr>
          <w:p>
            <w:pPr>
              <w:spacing w:after="0"/>
              <w:rPr>
                <w:sz w:val="20"/>
                <w:szCs w:val="20"/>
                <w:color w:val="auto"/>
              </w:rPr>
            </w:pPr>
            <w:r>
              <w:rPr>
                <w:rFonts w:ascii="Arial" w:cs="Arial" w:eastAsia="Arial" w:hAnsi="Arial"/>
                <w:sz w:val="15"/>
                <w:szCs w:val="15"/>
                <w:color w:val="auto"/>
              </w:rPr>
              <w:t>Net investment income</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230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0"/>
        </w:trPr>
        <w:tc>
          <w:tcPr>
            <w:tcW w:w="5420" w:type="dxa"/>
            <w:vAlign w:val="bottom"/>
            <w:tcBorders>
              <w:top w:val="single" w:sz="8" w:color="CCFFCC"/>
              <w:bottom w:val="single" w:sz="8" w:color="CCFFCC"/>
            </w:tcBorders>
            <w:vMerge w:val="restart"/>
          </w:tcPr>
          <w:p>
            <w:pPr>
              <w:spacing w:after="0"/>
              <w:rPr>
                <w:sz w:val="20"/>
                <w:szCs w:val="20"/>
                <w:color w:val="auto"/>
              </w:rPr>
            </w:pPr>
            <w:r>
              <w:rPr>
                <w:rFonts w:ascii="Arial" w:cs="Arial" w:eastAsia="Arial" w:hAnsi="Arial"/>
                <w:sz w:val="15"/>
                <w:szCs w:val="15"/>
                <w:color w:val="auto"/>
              </w:rPr>
              <w:t>Net increase in net assets resulting from operations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tcBorders>
              <w:bottom w:val="single" w:sz="8" w:color="CCFFCC"/>
            </w:tcBorders>
            <w:vMerge w:val="continue"/>
          </w:tcPr>
          <w:p>
            <w:pPr>
              <w:spacing w:after="0"/>
              <w:rPr>
                <w:sz w:val="17"/>
                <w:szCs w:val="17"/>
                <w:color w:val="auto"/>
              </w:rPr>
            </w:pPr>
          </w:p>
        </w:tc>
        <w:tc>
          <w:tcPr>
            <w:tcW w:w="300" w:type="dxa"/>
            <w:vAlign w:val="bottom"/>
            <w:tcBorders>
              <w:bottom w:val="single" w:sz="8" w:color="auto"/>
            </w:tcBorders>
          </w:tcPr>
          <w:p>
            <w:pPr>
              <w:jc w:val="right"/>
              <w:ind w:right="145"/>
              <w:spacing w:after="0" w:line="156" w:lineRule="exact"/>
              <w:rPr>
                <w:sz w:val="20"/>
                <w:szCs w:val="20"/>
                <w:color w:val="auto"/>
              </w:rPr>
            </w:pPr>
            <w:r>
              <w:rPr>
                <w:rFonts w:ascii="Arial" w:cs="Arial" w:eastAsia="Arial" w:hAnsi="Arial"/>
                <w:sz w:val="15"/>
                <w:szCs w:val="15"/>
                <w:color w:val="auto"/>
                <w:w w:val="71"/>
              </w:rPr>
              <w:t>$</w:t>
            </w:r>
          </w:p>
        </w:tc>
        <w:tc>
          <w:tcPr>
            <w:tcW w:w="2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2.22</w:t>
            </w:r>
          </w:p>
        </w:tc>
        <w:tc>
          <w:tcPr>
            <w:tcW w:w="14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420" w:type="dxa"/>
            <w:vAlign w:val="bottom"/>
            <w:tcBorders>
              <w:bottom w:val="single" w:sz="8" w:color="CCFFCC"/>
            </w:tcBorders>
            <w:shd w:val="clear" w:color="auto" w:fill="CCFFCC"/>
          </w:tcPr>
          <w:p>
            <w:pPr>
              <w:spacing w:after="0" w:line="151" w:lineRule="exact"/>
              <w:rPr>
                <w:sz w:val="20"/>
                <w:szCs w:val="20"/>
                <w:color w:val="auto"/>
              </w:rPr>
            </w:pPr>
            <w:r>
              <w:rPr>
                <w:rFonts w:ascii="Arial" w:cs="Arial" w:eastAsia="Arial" w:hAnsi="Arial"/>
                <w:sz w:val="15"/>
                <w:szCs w:val="15"/>
                <w:color w:val="auto"/>
              </w:rPr>
              <w:t>Dividends declared</w:t>
            </w:r>
          </w:p>
        </w:tc>
        <w:tc>
          <w:tcPr>
            <w:tcW w:w="300" w:type="dxa"/>
            <w:vAlign w:val="bottom"/>
            <w:tcBorders>
              <w:bottom w:val="single" w:sz="8" w:color="auto"/>
            </w:tcBorders>
            <w:shd w:val="clear" w:color="auto" w:fill="CCFFCC"/>
          </w:tcPr>
          <w:p>
            <w:pPr>
              <w:jc w:val="right"/>
              <w:ind w:right="145"/>
              <w:spacing w:after="0" w:line="155" w:lineRule="exact"/>
              <w:rPr>
                <w:sz w:val="20"/>
                <w:szCs w:val="20"/>
                <w:color w:val="auto"/>
              </w:rPr>
            </w:pPr>
            <w:r>
              <w:rPr>
                <w:rFonts w:ascii="Arial" w:cs="Arial" w:eastAsia="Arial" w:hAnsi="Arial"/>
                <w:sz w:val="15"/>
                <w:szCs w:val="15"/>
                <w:color w:val="auto"/>
                <w:w w:val="71"/>
              </w:rPr>
              <w:t>$</w:t>
            </w:r>
          </w:p>
        </w:tc>
        <w:tc>
          <w:tcPr>
            <w:tcW w:w="2160" w:type="dxa"/>
            <w:vAlign w:val="bottom"/>
            <w:tcBorders>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5"/>
                <w:szCs w:val="15"/>
                <w:color w:val="auto"/>
              </w:rPr>
              <w:t>0.47</w:t>
            </w:r>
          </w:p>
        </w:tc>
        <w:tc>
          <w:tcPr>
            <w:tcW w:w="140" w:type="dxa"/>
            <w:vAlign w:val="bottom"/>
            <w:tcBorders>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5"/>
                <w:szCs w:val="15"/>
                <w:color w:val="auto"/>
              </w:rPr>
              <w:t>Net asset value per share</w:t>
            </w:r>
          </w:p>
        </w:tc>
        <w:tc>
          <w:tcPr>
            <w:tcW w:w="3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20" w:type="dxa"/>
            <w:vAlign w:val="bottom"/>
            <w:tcBorders>
              <w:bottom w:val="single" w:sz="8" w:color="CCFFCC"/>
            </w:tcBorders>
            <w:vMerge w:val="continue"/>
          </w:tcPr>
          <w:p>
            <w:pPr>
              <w:spacing w:after="0"/>
              <w:rPr>
                <w:sz w:val="16"/>
                <w:szCs w:val="16"/>
                <w:color w:val="auto"/>
              </w:rPr>
            </w:pPr>
          </w:p>
        </w:tc>
        <w:tc>
          <w:tcPr>
            <w:tcW w:w="300" w:type="dxa"/>
            <w:vAlign w:val="bottom"/>
            <w:tcBorders>
              <w:top w:val="single" w:sz="8" w:color="auto"/>
              <w:bottom w:val="single" w:sz="8" w:color="auto"/>
            </w:tcBorders>
          </w:tcPr>
          <w:p>
            <w:pPr>
              <w:jc w:val="right"/>
              <w:ind w:right="145"/>
              <w:spacing w:after="0" w:line="155" w:lineRule="exact"/>
              <w:rPr>
                <w:sz w:val="20"/>
                <w:szCs w:val="20"/>
                <w:color w:val="auto"/>
              </w:rPr>
            </w:pPr>
            <w:r>
              <w:rPr>
                <w:rFonts w:ascii="Arial" w:cs="Arial" w:eastAsia="Arial" w:hAnsi="Arial"/>
                <w:sz w:val="15"/>
                <w:szCs w:val="15"/>
                <w:color w:val="auto"/>
                <w:w w:val="71"/>
              </w:rPr>
              <w:t>$</w:t>
            </w:r>
          </w:p>
        </w:tc>
        <w:tc>
          <w:tcPr>
            <w:tcW w:w="2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5"/>
                <w:szCs w:val="15"/>
                <w:color w:val="auto"/>
              </w:rPr>
              <w:t>20.71</w:t>
            </w:r>
          </w:p>
        </w:tc>
        <w:tc>
          <w:tcPr>
            <w:tcW w:w="140" w:type="dxa"/>
            <w:vAlign w:val="bottom"/>
            <w:tcBorders>
              <w:bottom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420" w:type="dxa"/>
            <w:vAlign w:val="bottom"/>
            <w:shd w:val="clear" w:color="auto" w:fill="CCFFCC"/>
          </w:tcPr>
          <w:p>
            <w:pPr>
              <w:spacing w:after="0" w:line="154" w:lineRule="exact"/>
              <w:rPr>
                <w:sz w:val="20"/>
                <w:szCs w:val="20"/>
                <w:color w:val="auto"/>
              </w:rPr>
            </w:pPr>
            <w:r>
              <w:rPr>
                <w:rFonts w:ascii="Arial" w:cs="Arial" w:eastAsia="Arial" w:hAnsi="Arial"/>
                <w:sz w:val="15"/>
                <w:szCs w:val="15"/>
                <w:b w:val="1"/>
                <w:bCs w:val="1"/>
                <w:color w:val="auto"/>
              </w:rPr>
              <w:t>Balance sheet data:</w:t>
            </w:r>
          </w:p>
        </w:tc>
        <w:tc>
          <w:tcPr>
            <w:tcW w:w="300" w:type="dxa"/>
            <w:vAlign w:val="bottom"/>
            <w:shd w:val="clear" w:color="auto" w:fill="CCFFCC"/>
          </w:tcPr>
          <w:p>
            <w:pPr>
              <w:spacing w:after="0"/>
              <w:rPr>
                <w:sz w:val="13"/>
                <w:szCs w:val="13"/>
                <w:color w:val="auto"/>
              </w:rPr>
            </w:pPr>
          </w:p>
        </w:tc>
        <w:tc>
          <w:tcPr>
            <w:tcW w:w="216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5"/>
                <w:szCs w:val="15"/>
                <w:color w:val="auto"/>
              </w:rPr>
              <w:t>Total assets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2300" w:type="dxa"/>
            <w:vAlign w:val="bottom"/>
            <w:gridSpan w:val="2"/>
          </w:tcPr>
          <w:p>
            <w:pPr>
              <w:jc w:val="right"/>
              <w:ind w:right="140"/>
              <w:spacing w:after="0"/>
              <w:rPr>
                <w:sz w:val="20"/>
                <w:szCs w:val="20"/>
                <w:color w:val="auto"/>
              </w:rPr>
            </w:pPr>
            <w:r>
              <w:rPr>
                <w:rFonts w:ascii="Arial" w:cs="Arial" w:eastAsia="Arial" w:hAnsi="Arial"/>
                <w:sz w:val="15"/>
                <w:szCs w:val="15"/>
                <w:color w:val="auto"/>
              </w:rPr>
              <w:t>476,428</w:t>
            </w:r>
          </w:p>
        </w:tc>
        <w:tc>
          <w:tcPr>
            <w:tcW w:w="0" w:type="dxa"/>
            <w:vAlign w:val="bottom"/>
          </w:tcPr>
          <w:p>
            <w:pPr>
              <w:spacing w:after="0"/>
              <w:rPr>
                <w:sz w:val="1"/>
                <w:szCs w:val="1"/>
                <w:color w:val="auto"/>
              </w:rPr>
            </w:pPr>
          </w:p>
        </w:tc>
      </w:tr>
      <w:tr>
        <w:trPr>
          <w:trHeight w:val="156"/>
        </w:trPr>
        <w:tc>
          <w:tcPr>
            <w:tcW w:w="5420" w:type="dxa"/>
            <w:vAlign w:val="bottom"/>
            <w:tcBorders>
              <w:top w:val="single" w:sz="8" w:color="CCFFCC"/>
              <w:bottom w:val="single" w:sz="8" w:color="CCFFCC"/>
            </w:tcBorders>
            <w:shd w:val="clear" w:color="auto" w:fill="CCFFCC"/>
          </w:tcPr>
          <w:p>
            <w:pPr>
              <w:spacing w:after="0" w:line="151" w:lineRule="exact"/>
              <w:rPr>
                <w:sz w:val="20"/>
                <w:szCs w:val="20"/>
                <w:color w:val="auto"/>
              </w:rPr>
            </w:pPr>
            <w:r>
              <w:rPr>
                <w:rFonts w:ascii="Arial" w:cs="Arial" w:eastAsia="Arial" w:hAnsi="Arial"/>
                <w:sz w:val="15"/>
                <w:szCs w:val="15"/>
                <w:color w:val="auto"/>
              </w:rPr>
              <w:t>Total net assets</w:t>
            </w:r>
          </w:p>
        </w:tc>
        <w:tc>
          <w:tcPr>
            <w:tcW w:w="300" w:type="dxa"/>
            <w:vAlign w:val="bottom"/>
            <w:tcBorders>
              <w:top w:val="single" w:sz="8" w:color="auto"/>
              <w:bottom w:val="single" w:sz="8" w:color="auto"/>
            </w:tcBorders>
            <w:shd w:val="clear" w:color="auto" w:fill="CCFFCC"/>
          </w:tcPr>
          <w:p>
            <w:pPr>
              <w:jc w:val="right"/>
              <w:ind w:right="145"/>
              <w:spacing w:after="0" w:line="156" w:lineRule="exact"/>
              <w:rPr>
                <w:sz w:val="20"/>
                <w:szCs w:val="20"/>
                <w:color w:val="auto"/>
              </w:rPr>
            </w:pPr>
            <w:r>
              <w:rPr>
                <w:rFonts w:ascii="Arial" w:cs="Arial" w:eastAsia="Arial" w:hAnsi="Arial"/>
                <w:sz w:val="15"/>
                <w:szCs w:val="15"/>
                <w:color w:val="auto"/>
                <w:w w:val="71"/>
              </w:rPr>
              <w:t>$</w:t>
            </w:r>
          </w:p>
        </w:tc>
        <w:tc>
          <w:tcPr>
            <w:tcW w:w="2160" w:type="dxa"/>
            <w:vAlign w:val="bottom"/>
            <w:tcBorders>
              <w:top w:val="single" w:sz="8" w:color="auto"/>
              <w:bottom w:val="single" w:sz="8" w:color="auto"/>
            </w:tcBorders>
            <w:shd w:val="clear" w:color="auto" w:fill="CCFFCC"/>
          </w:tcPr>
          <w:p>
            <w:pPr>
              <w:jc w:val="right"/>
              <w:spacing w:after="0" w:line="156" w:lineRule="exact"/>
              <w:rPr>
                <w:sz w:val="20"/>
                <w:szCs w:val="20"/>
                <w:color w:val="auto"/>
              </w:rPr>
            </w:pPr>
            <w:r>
              <w:rPr>
                <w:rFonts w:ascii="Arial" w:cs="Arial" w:eastAsia="Arial" w:hAnsi="Arial"/>
                <w:sz w:val="15"/>
                <w:szCs w:val="15"/>
                <w:color w:val="auto"/>
              </w:rPr>
              <w:t>268,670</w:t>
            </w:r>
          </w:p>
        </w:tc>
        <w:tc>
          <w:tcPr>
            <w:tcW w:w="140" w:type="dxa"/>
            <w:vAlign w:val="bottom"/>
            <w:tcBorders>
              <w:top w:val="single" w:sz="8" w:color="CCFFCC"/>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5"/>
                <w:szCs w:val="15"/>
                <w:b w:val="1"/>
                <w:bCs w:val="1"/>
                <w:color w:val="auto"/>
              </w:rPr>
              <w:t>Other data:</w:t>
            </w: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4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FFCC"/>
          </w:tcPr>
          <w:p>
            <w:pPr>
              <w:spacing w:after="0" w:line="216" w:lineRule="exact"/>
              <w:rPr>
                <w:sz w:val="20"/>
                <w:szCs w:val="20"/>
                <w:color w:val="auto"/>
              </w:rPr>
            </w:pPr>
            <w:r>
              <w:rPr>
                <w:rFonts w:ascii="Arial" w:cs="Arial" w:eastAsia="Arial" w:hAnsi="Arial"/>
                <w:sz w:val="15"/>
                <w:szCs w:val="15"/>
                <w:color w:val="auto"/>
              </w:rPr>
              <w:t>Total Return</w:t>
            </w:r>
            <w:r>
              <w:rPr>
                <w:rFonts w:ascii="Arial" w:cs="Arial" w:eastAsia="Arial" w:hAnsi="Arial"/>
                <w:sz w:val="25"/>
                <w:szCs w:val="25"/>
                <w:color w:val="auto"/>
                <w:vertAlign w:val="superscript"/>
              </w:rPr>
              <w:t>(2)</w:t>
            </w:r>
          </w:p>
        </w:tc>
        <w:tc>
          <w:tcPr>
            <w:tcW w:w="300" w:type="dxa"/>
            <w:vAlign w:val="bottom"/>
            <w:shd w:val="clear" w:color="auto" w:fill="CCFFCC"/>
          </w:tcPr>
          <w:p>
            <w:pPr>
              <w:spacing w:after="0"/>
              <w:rPr>
                <w:sz w:val="18"/>
                <w:szCs w:val="18"/>
                <w:color w:val="auto"/>
              </w:rPr>
            </w:pPr>
          </w:p>
        </w:tc>
        <w:tc>
          <w:tcPr>
            <w:tcW w:w="230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181"/>
        </w:trPr>
        <w:tc>
          <w:tcPr>
            <w:tcW w:w="5420" w:type="dxa"/>
            <w:vAlign w:val="bottom"/>
          </w:tcPr>
          <w:p>
            <w:pPr>
              <w:spacing w:after="0"/>
              <w:rPr>
                <w:sz w:val="20"/>
                <w:szCs w:val="20"/>
                <w:color w:val="auto"/>
              </w:rPr>
            </w:pPr>
            <w:r>
              <w:rPr>
                <w:rFonts w:ascii="Arial" w:cs="Arial" w:eastAsia="Arial" w:hAnsi="Arial"/>
                <w:sz w:val="15"/>
                <w:szCs w:val="15"/>
                <w:color w:val="auto"/>
              </w:rPr>
              <w:t>Number of portfolio company investments at period end</w:t>
            </w:r>
          </w:p>
        </w:tc>
        <w:tc>
          <w:tcPr>
            <w:tcW w:w="30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41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20" w:type="dxa"/>
            <w:vAlign w:val="bottom"/>
            <w:shd w:val="clear" w:color="auto" w:fill="CCFFCC"/>
          </w:tcPr>
          <w:p>
            <w:pPr>
              <w:spacing w:after="0"/>
              <w:rPr>
                <w:sz w:val="20"/>
                <w:szCs w:val="20"/>
                <w:color w:val="auto"/>
              </w:rPr>
            </w:pPr>
            <w:r>
              <w:rPr>
                <w:rFonts w:ascii="Arial" w:cs="Arial" w:eastAsia="Arial" w:hAnsi="Arial"/>
                <w:sz w:val="15"/>
                <w:szCs w:val="15"/>
                <w:color w:val="auto"/>
              </w:rPr>
              <w:t>Total portfolio investments for the period</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230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110,929</w:t>
            </w:r>
          </w:p>
        </w:tc>
        <w:tc>
          <w:tcPr>
            <w:tcW w:w="0" w:type="dxa"/>
            <w:vAlign w:val="bottom"/>
          </w:tcPr>
          <w:p>
            <w:pPr>
              <w:spacing w:after="0"/>
              <w:rPr>
                <w:sz w:val="1"/>
                <w:szCs w:val="1"/>
                <w:color w:val="auto"/>
              </w:rPr>
            </w:pPr>
          </w:p>
        </w:tc>
      </w:tr>
      <w:tr>
        <w:trPr>
          <w:trHeight w:val="190"/>
        </w:trPr>
        <w:tc>
          <w:tcPr>
            <w:tcW w:w="5420" w:type="dxa"/>
            <w:vAlign w:val="bottom"/>
          </w:tcPr>
          <w:p>
            <w:pPr>
              <w:spacing w:after="0"/>
              <w:rPr>
                <w:sz w:val="20"/>
                <w:szCs w:val="20"/>
                <w:color w:val="auto"/>
              </w:rPr>
            </w:pPr>
            <w:r>
              <w:rPr>
                <w:rFonts w:ascii="Arial" w:cs="Arial" w:eastAsia="Arial" w:hAnsi="Arial"/>
                <w:sz w:val="15"/>
                <w:szCs w:val="15"/>
                <w:color w:val="auto"/>
              </w:rPr>
              <w:t>Investment prepayments for the period</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2300" w:type="dxa"/>
            <w:vAlign w:val="bottom"/>
            <w:gridSpan w:val="2"/>
          </w:tcPr>
          <w:p>
            <w:pPr>
              <w:jc w:val="right"/>
              <w:ind w:right="140"/>
              <w:spacing w:after="0"/>
              <w:rPr>
                <w:sz w:val="20"/>
                <w:szCs w:val="20"/>
                <w:color w:val="auto"/>
              </w:rPr>
            </w:pPr>
            <w:r>
              <w:rPr>
                <w:rFonts w:ascii="Arial" w:cs="Arial" w:eastAsia="Arial" w:hAnsi="Arial"/>
                <w:sz w:val="15"/>
                <w:szCs w:val="15"/>
                <w:color w:val="auto"/>
              </w:rPr>
              <w:t>52,755</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50" w:right="220" w:hanging="550"/>
        <w:spacing w:after="0" w:line="193" w:lineRule="auto"/>
        <w:tabs>
          <w:tab w:leader="none" w:pos="550" w:val="left"/>
        </w:tabs>
        <w:numPr>
          <w:ilvl w:val="0"/>
          <w:numId w:val="49"/>
        </w:numPr>
        <w:rPr>
          <w:rFonts w:ascii="Arial" w:cs="Arial" w:eastAsia="Arial" w:hAnsi="Arial"/>
          <w:sz w:val="25"/>
          <w:szCs w:val="25"/>
          <w:color w:val="auto"/>
          <w:vertAlign w:val="superscript"/>
        </w:rPr>
      </w:pPr>
      <w:r>
        <w:rPr>
          <w:rFonts w:ascii="Arial" w:cs="Arial" w:eastAsia="Arial" w:hAnsi="Arial"/>
          <w:sz w:val="15"/>
          <w:szCs w:val="15"/>
          <w:color w:val="auto"/>
        </w:rPr>
        <w:t>For historical periods prior to December 31, 2013, the Company had no operations and therefore earnings per share, dividends declared per common share and weighted average shares outstanding information for the periods that include financial results prior to December 31, 2013 are not provided.</w:t>
      </w:r>
    </w:p>
    <w:p>
      <w:pPr>
        <w:spacing w:after="0" w:line="161" w:lineRule="exact"/>
        <w:rPr>
          <w:rFonts w:ascii="Arial" w:cs="Arial" w:eastAsia="Arial" w:hAnsi="Arial"/>
          <w:sz w:val="25"/>
          <w:szCs w:val="25"/>
          <w:color w:val="auto"/>
          <w:vertAlign w:val="superscript"/>
        </w:rPr>
      </w:pPr>
    </w:p>
    <w:p>
      <w:pPr>
        <w:ind w:left="550" w:hanging="550"/>
        <w:spacing w:after="0"/>
        <w:tabs>
          <w:tab w:leader="none" w:pos="550" w:val="left"/>
        </w:tabs>
        <w:numPr>
          <w:ilvl w:val="0"/>
          <w:numId w:val="49"/>
        </w:numPr>
        <w:rPr>
          <w:rFonts w:ascii="Arial" w:cs="Arial" w:eastAsia="Arial" w:hAnsi="Arial"/>
          <w:sz w:val="22"/>
          <w:szCs w:val="22"/>
          <w:color w:val="auto"/>
          <w:vertAlign w:val="superscript"/>
        </w:rPr>
      </w:pPr>
      <w:r>
        <w:rPr>
          <w:rFonts w:ascii="Arial" w:cs="Arial" w:eastAsia="Arial" w:hAnsi="Arial"/>
          <w:sz w:val="13"/>
          <w:szCs w:val="13"/>
          <w:color w:val="auto"/>
        </w:rPr>
        <w:t>Total investment return is calculated assuming a purchase of common shares at the IPO offering price per share at September 25, 2013 of $20.00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353" w:lineRule="exact"/>
        <w:rPr>
          <w:sz w:val="20"/>
          <w:szCs w:val="20"/>
          <w:color w:val="auto"/>
        </w:rPr>
      </w:pPr>
    </w:p>
    <w:p>
      <w:pPr>
        <w:jc w:val="center"/>
        <w:ind w:right="-2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6884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30"/>
          </w:cols>
          <w:pgMar w:left="230" w:top="758" w:right="239" w:bottom="1440" w:gutter="0" w:footer="0" w:header="0"/>
        </w:sectPr>
      </w:pPr>
    </w:p>
    <w:bookmarkStart w:id="54" w:name="page55"/>
    <w:bookmarkEnd w:id="54"/>
    <w:p>
      <w:pPr>
        <w:spacing w:after="0"/>
        <w:rPr>
          <w:sz w:val="20"/>
          <w:szCs w:val="20"/>
          <w:color w:val="auto"/>
        </w:rPr>
      </w:pPr>
      <w:r>
        <w:rPr>
          <w:rFonts w:ascii="Arial" w:cs="Arial" w:eastAsia="Arial" w:hAnsi="Arial"/>
          <w:sz w:val="15"/>
          <w:szCs w:val="15"/>
          <w:b w:val="1"/>
          <w:bCs w:val="1"/>
          <w:color w:val="auto"/>
        </w:rPr>
        <w:t>Item 7. Management’s Discussion and Analysis of Financial Condition and Results of Operations</w:t>
      </w:r>
    </w:p>
    <w:p>
      <w:pPr>
        <w:spacing w:after="0" w:line="193" w:lineRule="exact"/>
        <w:rPr>
          <w:sz w:val="20"/>
          <w:szCs w:val="20"/>
          <w:color w:val="auto"/>
        </w:rPr>
      </w:pPr>
    </w:p>
    <w:p>
      <w:pPr>
        <w:ind w:left="20" w:right="140" w:firstLine="738"/>
        <w:spacing w:after="0" w:line="276" w:lineRule="auto"/>
        <w:rPr>
          <w:sz w:val="20"/>
          <w:szCs w:val="20"/>
          <w:color w:val="auto"/>
        </w:rPr>
      </w:pPr>
      <w:r>
        <w:rPr>
          <w:rFonts w:ascii="Arial" w:cs="Arial" w:eastAsia="Arial" w:hAnsi="Arial"/>
          <w:sz w:val="15"/>
          <w:szCs w:val="15"/>
          <w:color w:val="auto"/>
        </w:rPr>
        <w:t>The following discussion and analysis should be read in conjunction with our financial statements and related notes and other financial information appearing elsewhere in this annual report on Form 10-K.</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Forward-Looking Statements</w:t>
      </w:r>
    </w:p>
    <w:p>
      <w:pPr>
        <w:spacing w:after="0" w:line="193" w:lineRule="exact"/>
        <w:rPr>
          <w:sz w:val="20"/>
          <w:szCs w:val="20"/>
          <w:color w:val="auto"/>
        </w:rPr>
      </w:pPr>
    </w:p>
    <w:p>
      <w:pPr>
        <w:ind w:left="20" w:firstLine="738"/>
        <w:spacing w:after="0" w:line="312" w:lineRule="auto"/>
        <w:rPr>
          <w:sz w:val="20"/>
          <w:szCs w:val="20"/>
          <w:color w:val="auto"/>
        </w:rPr>
      </w:pPr>
      <w:r>
        <w:rPr>
          <w:rFonts w:ascii="Arial" w:cs="Arial" w:eastAsia="Arial" w:hAnsi="Arial"/>
          <w:sz w:val="13"/>
          <w:szCs w:val="13"/>
          <w:color w:val="auto"/>
        </w:rPr>
        <w:t>This annual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28" w:lineRule="exact"/>
        <w:rPr>
          <w:sz w:val="20"/>
          <w:szCs w:val="20"/>
          <w:color w:val="auto"/>
        </w:rPr>
      </w:pPr>
    </w:p>
    <w:p>
      <w:pPr>
        <w:ind w:left="20" w:right="200" w:firstLine="738"/>
        <w:spacing w:after="0" w:line="276" w:lineRule="auto"/>
        <w:rPr>
          <w:sz w:val="20"/>
          <w:szCs w:val="20"/>
          <w:color w:val="auto"/>
        </w:rPr>
      </w:pPr>
      <w:r>
        <w:rPr>
          <w:rFonts w:ascii="Arial" w:cs="Arial" w:eastAsia="Arial" w:hAnsi="Arial"/>
          <w:sz w:val="15"/>
          <w:szCs w:val="15"/>
          <w:color w:val="auto"/>
        </w:rPr>
        <w:t>Some of the statements in this annual report on Form 10-K constitute forward-looking statements, which relate to future events or our performance or financial condition. The forward-looking statements contained in this annual report on Form 10-K involve risks and uncertainties, including statements as to:</w:t>
      </w:r>
    </w:p>
    <w:p>
      <w:pPr>
        <w:spacing w:after="0" w:line="146" w:lineRule="exact"/>
        <w:rPr>
          <w:sz w:val="20"/>
          <w:szCs w:val="20"/>
          <w:color w:val="auto"/>
        </w:rPr>
      </w:pPr>
    </w:p>
    <w:p>
      <w:pPr>
        <w:ind w:left="1200" w:hanging="364"/>
        <w:spacing w:after="0"/>
        <w:tabs>
          <w:tab w:leader="none" w:pos="12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our future operating results;</w:t>
      </w:r>
    </w:p>
    <w:p>
      <w:pPr>
        <w:spacing w:after="0" w:line="189" w:lineRule="exact"/>
        <w:rPr>
          <w:rFonts w:ascii="Arial" w:cs="Arial" w:eastAsia="Arial" w:hAnsi="Arial"/>
          <w:sz w:val="15"/>
          <w:szCs w:val="15"/>
          <w:color w:val="auto"/>
        </w:rPr>
      </w:pPr>
    </w:p>
    <w:p>
      <w:pPr>
        <w:ind w:left="1200" w:hanging="364"/>
        <w:spacing w:after="0"/>
        <w:tabs>
          <w:tab w:leader="none" w:pos="12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our business prospects and the prospects of our portfolio companies;</w:t>
      </w:r>
    </w:p>
    <w:p>
      <w:pPr>
        <w:spacing w:after="0" w:line="189" w:lineRule="exact"/>
        <w:rPr>
          <w:rFonts w:ascii="Arial" w:cs="Arial" w:eastAsia="Arial" w:hAnsi="Arial"/>
          <w:sz w:val="15"/>
          <w:szCs w:val="15"/>
          <w:color w:val="auto"/>
        </w:rPr>
      </w:pPr>
    </w:p>
    <w:p>
      <w:pPr>
        <w:ind w:left="1200" w:hanging="364"/>
        <w:spacing w:after="0"/>
        <w:tabs>
          <w:tab w:leader="none" w:pos="12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impact of investments that we expect to make;</w:t>
      </w:r>
    </w:p>
    <w:p>
      <w:pPr>
        <w:spacing w:after="0" w:line="189" w:lineRule="exact"/>
        <w:rPr>
          <w:rFonts w:ascii="Arial" w:cs="Arial" w:eastAsia="Arial" w:hAnsi="Arial"/>
          <w:sz w:val="15"/>
          <w:szCs w:val="15"/>
          <w:color w:val="auto"/>
        </w:rPr>
      </w:pPr>
    </w:p>
    <w:p>
      <w:pPr>
        <w:ind w:left="1200" w:hanging="364"/>
        <w:spacing w:after="0"/>
        <w:tabs>
          <w:tab w:leader="none" w:pos="12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our contractual arrangements and relationships with third parties;</w:t>
      </w:r>
    </w:p>
    <w:p>
      <w:pPr>
        <w:spacing w:after="0" w:line="189" w:lineRule="exact"/>
        <w:rPr>
          <w:rFonts w:ascii="Arial" w:cs="Arial" w:eastAsia="Arial" w:hAnsi="Arial"/>
          <w:sz w:val="15"/>
          <w:szCs w:val="15"/>
          <w:color w:val="auto"/>
        </w:rPr>
      </w:pPr>
    </w:p>
    <w:p>
      <w:pPr>
        <w:ind w:left="1200" w:hanging="364"/>
        <w:spacing w:after="0"/>
        <w:tabs>
          <w:tab w:leader="none" w:pos="12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dependence of our future success on the general economy and its impact on the industries in which we invest;</w:t>
      </w:r>
    </w:p>
    <w:p>
      <w:pPr>
        <w:spacing w:after="0" w:line="189" w:lineRule="exact"/>
        <w:rPr>
          <w:rFonts w:ascii="Arial" w:cs="Arial" w:eastAsia="Arial" w:hAnsi="Arial"/>
          <w:sz w:val="15"/>
          <w:szCs w:val="15"/>
          <w:color w:val="auto"/>
        </w:rPr>
      </w:pPr>
    </w:p>
    <w:p>
      <w:pPr>
        <w:ind w:left="1200" w:hanging="364"/>
        <w:spacing w:after="0"/>
        <w:tabs>
          <w:tab w:leader="none" w:pos="12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ability of our portfolio companies to achieve their objectives;</w:t>
      </w:r>
    </w:p>
    <w:p>
      <w:pPr>
        <w:spacing w:after="0" w:line="189" w:lineRule="exact"/>
        <w:rPr>
          <w:rFonts w:ascii="Arial" w:cs="Arial" w:eastAsia="Arial" w:hAnsi="Arial"/>
          <w:sz w:val="15"/>
          <w:szCs w:val="15"/>
          <w:color w:val="auto"/>
        </w:rPr>
      </w:pPr>
    </w:p>
    <w:p>
      <w:pPr>
        <w:ind w:left="1200" w:hanging="364"/>
        <w:spacing w:after="0"/>
        <w:tabs>
          <w:tab w:leader="none" w:pos="12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our expected financings and investments;</w:t>
      </w:r>
    </w:p>
    <w:p>
      <w:pPr>
        <w:spacing w:after="0" w:line="189" w:lineRule="exact"/>
        <w:rPr>
          <w:rFonts w:ascii="Arial" w:cs="Arial" w:eastAsia="Arial" w:hAnsi="Arial"/>
          <w:sz w:val="15"/>
          <w:szCs w:val="15"/>
          <w:color w:val="auto"/>
        </w:rPr>
      </w:pPr>
    </w:p>
    <w:p>
      <w:pPr>
        <w:ind w:left="1200" w:hanging="364"/>
        <w:spacing w:after="0"/>
        <w:tabs>
          <w:tab w:leader="none" w:pos="12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our ability to obtain exemptive relief from the SEC to co-invest and to engage in joint restructuring transactions or joint follow-on investments;</w:t>
      </w:r>
    </w:p>
    <w:p>
      <w:pPr>
        <w:spacing w:after="0" w:line="189" w:lineRule="exact"/>
        <w:rPr>
          <w:rFonts w:ascii="Arial" w:cs="Arial" w:eastAsia="Arial" w:hAnsi="Arial"/>
          <w:sz w:val="15"/>
          <w:szCs w:val="15"/>
          <w:color w:val="auto"/>
        </w:rPr>
      </w:pPr>
    </w:p>
    <w:p>
      <w:pPr>
        <w:ind w:left="1200" w:hanging="364"/>
        <w:spacing w:after="0"/>
        <w:tabs>
          <w:tab w:leader="none" w:pos="12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adequacy of our cash resources and working capital; and</w:t>
      </w:r>
    </w:p>
    <w:p>
      <w:pPr>
        <w:spacing w:after="0" w:line="189" w:lineRule="exact"/>
        <w:rPr>
          <w:rFonts w:ascii="Arial" w:cs="Arial" w:eastAsia="Arial" w:hAnsi="Arial"/>
          <w:sz w:val="15"/>
          <w:szCs w:val="15"/>
          <w:color w:val="auto"/>
        </w:rPr>
      </w:pPr>
    </w:p>
    <w:p>
      <w:pPr>
        <w:ind w:left="1200" w:hanging="364"/>
        <w:spacing w:after="0"/>
        <w:tabs>
          <w:tab w:leader="none" w:pos="12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timing of cash flows, if any, from the operations of our portfolio companies.</w:t>
      </w:r>
    </w:p>
    <w:p>
      <w:pPr>
        <w:spacing w:after="0" w:line="189" w:lineRule="exact"/>
        <w:rPr>
          <w:sz w:val="20"/>
          <w:szCs w:val="20"/>
          <w:color w:val="auto"/>
        </w:rPr>
      </w:pPr>
    </w:p>
    <w:p>
      <w:pPr>
        <w:ind w:left="20" w:right="80" w:firstLine="738"/>
        <w:spacing w:after="0" w:line="276" w:lineRule="auto"/>
        <w:rPr>
          <w:sz w:val="20"/>
          <w:szCs w:val="20"/>
          <w:color w:val="auto"/>
        </w:rPr>
      </w:pPr>
      <w:r>
        <w:rPr>
          <w:rFonts w:ascii="Arial" w:cs="Arial" w:eastAsia="Arial" w:hAnsi="Arial"/>
          <w:sz w:val="15"/>
          <w:szCs w:val="15"/>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46" w:lineRule="exact"/>
        <w:rPr>
          <w:sz w:val="20"/>
          <w:szCs w:val="20"/>
          <w:color w:val="auto"/>
        </w:rPr>
      </w:pPr>
    </w:p>
    <w:p>
      <w:pPr>
        <w:ind w:left="1200" w:right="160" w:hanging="364"/>
        <w:spacing w:after="0" w:line="276" w:lineRule="auto"/>
        <w:tabs>
          <w:tab w:leader="none" w:pos="12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an economic downturn could impair our portfolio companies’ ability to continue to operate or repay their borrowings, which could lead to the loss of some or all of our investments in such portfolio companies;</w:t>
      </w:r>
    </w:p>
    <w:p>
      <w:pPr>
        <w:spacing w:after="0" w:line="146" w:lineRule="exact"/>
        <w:rPr>
          <w:rFonts w:ascii="Arial" w:cs="Arial" w:eastAsia="Arial" w:hAnsi="Arial"/>
          <w:sz w:val="15"/>
          <w:szCs w:val="15"/>
          <w:color w:val="auto"/>
        </w:rPr>
      </w:pPr>
    </w:p>
    <w:p>
      <w:pPr>
        <w:ind w:left="1200" w:hanging="364"/>
        <w:spacing w:after="0"/>
        <w:tabs>
          <w:tab w:leader="none" w:pos="12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 contraction of available credit and/or an inability to access the equity markets could impair our lending and investment activities;</w:t>
      </w:r>
    </w:p>
    <w:p>
      <w:pPr>
        <w:spacing w:after="0" w:line="189" w:lineRule="exact"/>
        <w:rPr>
          <w:rFonts w:ascii="Arial" w:cs="Arial" w:eastAsia="Arial" w:hAnsi="Arial"/>
          <w:sz w:val="15"/>
          <w:szCs w:val="15"/>
          <w:color w:val="auto"/>
        </w:rPr>
      </w:pPr>
    </w:p>
    <w:p>
      <w:pPr>
        <w:ind w:left="1200" w:hanging="364"/>
        <w:spacing w:after="0"/>
        <w:tabs>
          <w:tab w:leader="none" w:pos="12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interest rate volatility could adversely affect our results, particularly if we use leverage as part of our investment strategy; and</w:t>
      </w:r>
    </w:p>
    <w:p>
      <w:pPr>
        <w:spacing w:after="0" w:line="189" w:lineRule="exact"/>
        <w:rPr>
          <w:rFonts w:ascii="Arial" w:cs="Arial" w:eastAsia="Arial" w:hAnsi="Arial"/>
          <w:sz w:val="15"/>
          <w:szCs w:val="15"/>
          <w:color w:val="auto"/>
        </w:rPr>
      </w:pPr>
    </w:p>
    <w:p>
      <w:pPr>
        <w:ind w:left="1200" w:hanging="364"/>
        <w:spacing w:after="0"/>
        <w:tabs>
          <w:tab w:leader="none" w:pos="12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risks, uncertainties and other factors we identify in “Risk Factors” and elsewhere in this Annual Report on Form 10-K.</w:t>
      </w:r>
    </w:p>
    <w:p>
      <w:pPr>
        <w:spacing w:after="0" w:line="189" w:lineRule="exact"/>
        <w:rPr>
          <w:sz w:val="20"/>
          <w:szCs w:val="20"/>
          <w:color w:val="auto"/>
        </w:rPr>
      </w:pPr>
    </w:p>
    <w:p>
      <w:pPr>
        <w:ind w:left="20" w:right="60" w:firstLine="738"/>
        <w:spacing w:after="0" w:line="277"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“Risk Factors” and elsewhere in this Annual Report on Form 10-K. You should not place undue reliance on these forward-looking statements, which apply only as of the date of this Annual Report on Form 10-K. We undertake no obligation to revise or update any forward-looking statements, whether as a result of new information, future events or otherwise, unless required by law or Securities and Exchange Commission (“SEC”) rule or regulation.</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12065</wp:posOffset>
            </wp:positionV>
            <wp:extent cx="726884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60"/>
          </w:cols>
          <w:pgMar w:left="220" w:top="758" w:right="21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color w:val="auto"/>
        </w:rPr>
        <w:t>Overview</w:t>
      </w:r>
    </w:p>
    <w:p>
      <w:pPr>
        <w:spacing w:after="0" w:line="193" w:lineRule="exact"/>
        <w:rPr>
          <w:sz w:val="20"/>
          <w:szCs w:val="20"/>
          <w:color w:val="auto"/>
        </w:rPr>
      </w:pPr>
    </w:p>
    <w:p>
      <w:pPr>
        <w:jc w:val="both"/>
        <w:ind w:right="100" w:firstLine="738"/>
        <w:spacing w:after="0" w:line="284" w:lineRule="auto"/>
        <w:rPr>
          <w:sz w:val="20"/>
          <w:szCs w:val="20"/>
          <w:color w:val="auto"/>
        </w:rPr>
      </w:pPr>
      <w:r>
        <w:rPr>
          <w:rFonts w:ascii="Arial" w:cs="Arial" w:eastAsia="Arial" w:hAnsi="Arial"/>
          <w:sz w:val="14"/>
          <w:szCs w:val="14"/>
          <w:color w:val="auto"/>
        </w:rPr>
        <w:t>We are a Maryland corporation that has elected to be regulated as a business development company (“BDC”) under the Investment Company Act of 1940 (the “1940 Act”). We are an “emerging growth company within the meaning of the Jumpstart Our Business Startups Act of 2012 (the “JOBS Act”), and as such, are subject to reduced public company reporting requirements. Our investment objective is to generate both current income and capital appreciation through debt and equity investments. We are managed by Capitala Investment Advisors (the “Investment Advisor”), and Capitala Advisors Corp. (the “Administrator”) provides the administrative services necessary for us to operate.</w:t>
      </w:r>
    </w:p>
    <w:p>
      <w:pPr>
        <w:spacing w:after="0" w:line="143" w:lineRule="exact"/>
        <w:rPr>
          <w:sz w:val="20"/>
          <w:szCs w:val="20"/>
          <w:color w:val="auto"/>
        </w:rPr>
      </w:pPr>
    </w:p>
    <w:p>
      <w:pPr>
        <w:ind w:right="180" w:firstLine="738"/>
        <w:spacing w:after="0" w:line="264" w:lineRule="auto"/>
        <w:rPr>
          <w:sz w:val="20"/>
          <w:szCs w:val="20"/>
          <w:color w:val="auto"/>
        </w:rPr>
      </w:pPr>
      <w:r>
        <w:rPr>
          <w:rFonts w:ascii="Arial" w:cs="Arial" w:eastAsia="Arial" w:hAnsi="Arial"/>
          <w:sz w:val="15"/>
          <w:szCs w:val="15"/>
          <w:color w:val="auto"/>
        </w:rPr>
        <w:t>We provide capital to smaller and lower middle-market companies in the United States, with a non-exclusive emphasis on the Southeast, Southwest and Mid-Atlantic regions. We invest primarily in companies with a history of earnings growth and positive cash flow, proven management teams, product or service with competitive advantages and industry-appropriate margins. We primarily invest in companies with between $5 million and $30 million in trailing twelve month EBITDA.</w:t>
      </w:r>
    </w:p>
    <w:p>
      <w:pPr>
        <w:spacing w:after="0" w:line="155" w:lineRule="exact"/>
        <w:rPr>
          <w:sz w:val="20"/>
          <w:szCs w:val="20"/>
          <w:color w:val="auto"/>
        </w:rPr>
      </w:pPr>
    </w:p>
    <w:p>
      <w:pPr>
        <w:ind w:right="120" w:firstLine="738"/>
        <w:spacing w:after="0" w:line="264" w:lineRule="auto"/>
        <w:rPr>
          <w:sz w:val="20"/>
          <w:szCs w:val="20"/>
          <w:color w:val="auto"/>
        </w:rPr>
      </w:pPr>
      <w:r>
        <w:rPr>
          <w:rFonts w:ascii="Arial" w:cs="Arial" w:eastAsia="Arial" w:hAnsi="Arial"/>
          <w:sz w:val="15"/>
          <w:szCs w:val="15"/>
          <w:color w:val="auto"/>
        </w:rPr>
        <w:t xml:space="preserve">We invest in mezzanine and senior subordinated debt investments that are secured by subordinated liens on all of our borrowers’ assets and, to a lesser extent, in senior, cash flow-based “unitranche” securities. Most of our debt investments are coupled with equity interests, whether in the form of detachable “penny” warrants or equity co-investments made </w:t>
      </w:r>
      <w:r>
        <w:rPr>
          <w:rFonts w:ascii="Arial" w:cs="Arial" w:eastAsia="Arial" w:hAnsi="Arial"/>
          <w:sz w:val="15"/>
          <w:szCs w:val="15"/>
          <w:i w:val="1"/>
          <w:iCs w:val="1"/>
          <w:color w:val="auto"/>
        </w:rPr>
        <w:t>pari</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passu </w:t>
      </w:r>
      <w:r>
        <w:rPr>
          <w:rFonts w:ascii="Arial" w:cs="Arial" w:eastAsia="Arial" w:hAnsi="Arial"/>
          <w:sz w:val="15"/>
          <w:szCs w:val="15"/>
          <w:color w:val="auto"/>
        </w:rPr>
        <w:t>with our borrowers’ financial sponsors.</w:t>
      </w:r>
    </w:p>
    <w:p>
      <w:pPr>
        <w:spacing w:after="0" w:line="155" w:lineRule="exact"/>
        <w:rPr>
          <w:sz w:val="20"/>
          <w:szCs w:val="20"/>
          <w:color w:val="auto"/>
        </w:rPr>
      </w:pPr>
    </w:p>
    <w:p>
      <w:pPr>
        <w:ind w:firstLine="738"/>
        <w:spacing w:after="0" w:line="306" w:lineRule="auto"/>
        <w:rPr>
          <w:sz w:val="20"/>
          <w:szCs w:val="20"/>
          <w:color w:val="auto"/>
        </w:rPr>
      </w:pPr>
      <w:r>
        <w:rPr>
          <w:rFonts w:ascii="Arial" w:cs="Arial" w:eastAsia="Arial" w:hAnsi="Arial"/>
          <w:sz w:val="13"/>
          <w:szCs w:val="13"/>
          <w:color w:val="auto"/>
        </w:rPr>
        <w:t>As a BDC,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after such borrowing, with certain limited exceptions. To maintain our RIC status, we must meet specified source-of-income and asset diversification requirements. To maintain our RIC tax treatment under subchapter M for U.S. federal income tax purposes, we must distribute at least 90% of our net ordinary income and realized net short-term capital gains in excess of realized net long-term capital losses, if any, for the taxable year.</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History</w:t>
      </w:r>
    </w:p>
    <w:p>
      <w:pPr>
        <w:spacing w:after="0" w:line="193" w:lineRule="exact"/>
        <w:rPr>
          <w:sz w:val="20"/>
          <w:szCs w:val="20"/>
          <w:color w:val="auto"/>
        </w:rPr>
      </w:pPr>
    </w:p>
    <w:p>
      <w:pPr>
        <w:ind w:firstLine="738"/>
        <w:spacing w:after="0" w:line="280" w:lineRule="auto"/>
        <w:rPr>
          <w:sz w:val="20"/>
          <w:szCs w:val="20"/>
          <w:color w:val="auto"/>
        </w:rPr>
      </w:pPr>
      <w:r>
        <w:rPr>
          <w:rFonts w:ascii="Arial" w:cs="Arial" w:eastAsia="Arial" w:hAnsi="Arial"/>
          <w:sz w:val="14"/>
          <w:szCs w:val="14"/>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smaller and lower middle market companies.</w:t>
      </w:r>
    </w:p>
    <w:p>
      <w:pPr>
        <w:spacing w:after="0" w:line="147" w:lineRule="exact"/>
        <w:rPr>
          <w:sz w:val="20"/>
          <w:szCs w:val="20"/>
          <w:color w:val="auto"/>
        </w:rPr>
      </w:pPr>
    </w:p>
    <w:p>
      <w:pPr>
        <w:ind w:firstLine="738"/>
        <w:spacing w:after="0" w:line="256" w:lineRule="auto"/>
        <w:rPr>
          <w:sz w:val="20"/>
          <w:szCs w:val="20"/>
          <w:color w:val="auto"/>
        </w:rPr>
      </w:pPr>
      <w:r>
        <w:rPr>
          <w:rFonts w:ascii="Arial" w:cs="Arial" w:eastAsia="Arial" w:hAnsi="Arial"/>
          <w:sz w:val="15"/>
          <w:szCs w:val="15"/>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Fund’s wholly-owned subsidiaries. Fund II and Fund III retained their SBIC licenses, continue to hold their existing investments and continue to make new investments. The IPO consisted of the sale of 4,000,000 shares of the Company’s common stock at a price of $20.00 per share resulting in net proceeds to the Company of $74,250,000, after deducting underwriting fees and commissions totaling $5,750,000. The other costs of the IPO were borne by the limited partners of the Legacy Funds. As of December 31, 2013, the Company had 12,974,420 shares of common stock outstanding.</w:t>
      </w:r>
    </w:p>
    <w:p>
      <w:pPr>
        <w:spacing w:after="0" w:line="163" w:lineRule="exact"/>
        <w:rPr>
          <w:sz w:val="20"/>
          <w:szCs w:val="20"/>
          <w:color w:val="auto"/>
        </w:rPr>
      </w:pPr>
    </w:p>
    <w:p>
      <w:pPr>
        <w:ind w:right="40" w:firstLine="738"/>
        <w:spacing w:after="0" w:line="323" w:lineRule="auto"/>
        <w:rPr>
          <w:sz w:val="20"/>
          <w:szCs w:val="20"/>
          <w:color w:val="auto"/>
        </w:rPr>
      </w:pPr>
      <w:r>
        <w:rPr>
          <w:rFonts w:ascii="Arial" w:cs="Arial" w:eastAsia="Arial" w:hAnsi="Arial"/>
          <w:sz w:val="13"/>
          <w:szCs w:val="13"/>
          <w:color w:val="auto"/>
        </w:rPr>
        <w:t>At the time of the Formation Transactions, our portfolio consisted of: (1) approximately $326.3 million in investments; (2) an aggregate of approximately $67.1 million in cash, interest receivable and other assets; and (3) liabilities of approximately $202.2 million of SBA-guaranteed debt payable. We have two SBIC-licensed subsidiaries that have elected to be treated as BDCs under the 1940 Act. We may also seek other forms of leverage and borrow funds to make investments, including before we have fully invested the proceeds of this offering.</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193" w:lineRule="exact"/>
        <w:rPr>
          <w:sz w:val="20"/>
          <w:szCs w:val="20"/>
          <w:color w:val="auto"/>
        </w:rPr>
      </w:pPr>
    </w:p>
    <w:p>
      <w:pPr>
        <w:ind w:right="20" w:firstLine="738"/>
        <w:spacing w:after="0" w:line="255" w:lineRule="auto"/>
        <w:rPr>
          <w:sz w:val="20"/>
          <w:szCs w:val="20"/>
          <w:color w:val="auto"/>
        </w:rPr>
      </w:pPr>
      <w:r>
        <w:rPr>
          <w:rFonts w:ascii="Arial" w:cs="Arial" w:eastAsia="Arial" w:hAnsi="Arial"/>
          <w:sz w:val="15"/>
          <w:szCs w:val="15"/>
          <w:color w:val="auto"/>
        </w:rPr>
        <w:t xml:space="preserve">The accompanying financial statements have been prepared on the accrual basis of accounting in conformity with U.S. generally accepted accounting principles (“U.S. GAAP”). The financial statements of the Company include the accounts of the Company and its wholly-owned subsidiaries as described in the Formation Transactions presented in Note 1. The transactions related to Fund II, Fund III, and the Florida Sidecar constitute an exchange of shares between entities under common control and will be accounted for in accordance with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As such, the Company’s results of operations and cash flows for the year ended December 31, 2013 are presented as if the aforementioned transactions had occurred as of January 1, 2013. In addition, the results of the Company’s operations and cash flows for the years ended December 31, 2012 and December 31, 2011 and the Company’s financial position as of December 31, 2012 have been presented on a combined basis in order to provide comparative information with respect to prior periods. The Formation Transactions also included an asset acquisition of certain assets in Fund I and Fund III Parent. In accordance with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the assets acquired were recorded at fair value at the date of acquisition, September 24, 2013.</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58" w:right="239" w:bottom="1440" w:gutter="0" w:footer="0" w:header="0"/>
        </w:sectPr>
      </w:pPr>
    </w:p>
    <w:bookmarkStart w:id="56" w:name="page57"/>
    <w:bookmarkEnd w:id="56"/>
    <w:p>
      <w:pPr>
        <w:ind w:right="80" w:firstLine="738"/>
        <w:spacing w:after="0" w:line="260" w:lineRule="auto"/>
        <w:rPr>
          <w:sz w:val="20"/>
          <w:szCs w:val="20"/>
          <w:color w:val="auto"/>
        </w:rPr>
      </w:pPr>
      <w:r>
        <w:rPr>
          <w:rFonts w:ascii="Arial" w:cs="Arial" w:eastAsia="Arial" w:hAnsi="Arial"/>
          <w:sz w:val="15"/>
          <w:szCs w:val="15"/>
          <w:color w:val="auto"/>
        </w:rPr>
        <w:t>The Company’s financial position as of December 31, 2013 is presented on a consolidated basis. The effects of all intercompany transactions between the Company and its subsidiaries (Fund II, Fund III, and the Florida Sidecar) have been eliminated in consolidation. All financial data and information included in these financial statements have been presented on the basis described above. In the opinion of management, the financial statements reflect all adjustments that are necessary for the fair presentation of financial results as of and for the periods presented.</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Revenues</w:t>
      </w:r>
    </w:p>
    <w:p>
      <w:pPr>
        <w:spacing w:after="0" w:line="193" w:lineRule="exact"/>
        <w:rPr>
          <w:sz w:val="20"/>
          <w:szCs w:val="20"/>
          <w:color w:val="auto"/>
        </w:rPr>
      </w:pPr>
    </w:p>
    <w:p>
      <w:pPr>
        <w:ind w:right="120" w:firstLine="738"/>
        <w:spacing w:after="0" w:line="260" w:lineRule="auto"/>
        <w:rPr>
          <w:sz w:val="20"/>
          <w:szCs w:val="20"/>
          <w:color w:val="auto"/>
        </w:rPr>
      </w:pPr>
      <w:r>
        <w:rPr>
          <w:rFonts w:ascii="Arial" w:cs="Arial" w:eastAsia="Arial" w:hAnsi="Arial"/>
          <w:sz w:val="15"/>
          <w:szCs w:val="15"/>
          <w:color w:val="auto"/>
        </w:rPr>
        <w:t>We generate revenue primarily from the periodic cash interest we will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 Further, we may generate revenue in the form of commitment, origination, structuring or diligence fees, monitoring fees, fees for providing managerial assistance and possibly consulting fees and performance-based fees. These fees will be recognized as they are earned.</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Expenses</w:t>
      </w:r>
    </w:p>
    <w:p>
      <w:pPr>
        <w:spacing w:after="0" w:line="193" w:lineRule="exact"/>
        <w:rPr>
          <w:sz w:val="20"/>
          <w:szCs w:val="20"/>
          <w:color w:val="auto"/>
        </w:rPr>
      </w:pPr>
    </w:p>
    <w:p>
      <w:pPr>
        <w:ind w:right="20" w:firstLine="738"/>
        <w:spacing w:after="0" w:line="260" w:lineRule="auto"/>
        <w:rPr>
          <w:sz w:val="20"/>
          <w:szCs w:val="20"/>
          <w:color w:val="auto"/>
        </w:rPr>
      </w:pPr>
      <w:r>
        <w:rPr>
          <w:rFonts w:ascii="Arial" w:cs="Arial" w:eastAsia="Arial" w:hAnsi="Arial"/>
          <w:sz w:val="15"/>
          <w:szCs w:val="15"/>
          <w:color w:val="auto"/>
        </w:rPr>
        <w:t>Our primary operating expenses include the payment of investment advisory fees to our investment adviser, Capitala Investment Advisors, LLC, our allocable portion of overhead and other expenses incurred by our Administrator in performing its obligations under the Administration Agreement and other operating expenses as detailed below. Our investment advisory fee will compensate our investment adviser for its work in identifying, evaluating, negotiating, closing, monitoring and servicing our investments. We will bear all other expenses of our operations and transactions, including (without limitation):</w:t>
      </w:r>
    </w:p>
    <w:p>
      <w:pPr>
        <w:spacing w:after="0" w:line="157" w:lineRule="exact"/>
        <w:rPr>
          <w:sz w:val="20"/>
          <w:szCs w:val="20"/>
          <w:color w:val="auto"/>
        </w:rPr>
      </w:pPr>
    </w:p>
    <w:p>
      <w:pPr>
        <w:ind w:left="1180" w:hanging="364"/>
        <w:spacing w:after="0"/>
        <w:tabs>
          <w:tab w:leader="none" w:pos="11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cost of our organization;</w:t>
      </w:r>
    </w:p>
    <w:p>
      <w:pPr>
        <w:spacing w:after="0" w:line="189" w:lineRule="exact"/>
        <w:rPr>
          <w:rFonts w:ascii="Arial" w:cs="Arial" w:eastAsia="Arial" w:hAnsi="Arial"/>
          <w:sz w:val="15"/>
          <w:szCs w:val="15"/>
          <w:color w:val="auto"/>
        </w:rPr>
      </w:pPr>
    </w:p>
    <w:p>
      <w:pPr>
        <w:ind w:left="1180" w:hanging="364"/>
        <w:spacing w:after="0"/>
        <w:tabs>
          <w:tab w:leader="none" w:pos="11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cost of calculating our net asset value, including the cost of any third-party valuation services;</w:t>
      </w:r>
    </w:p>
    <w:p>
      <w:pPr>
        <w:spacing w:after="0" w:line="189" w:lineRule="exact"/>
        <w:rPr>
          <w:rFonts w:ascii="Arial" w:cs="Arial" w:eastAsia="Arial" w:hAnsi="Arial"/>
          <w:sz w:val="15"/>
          <w:szCs w:val="15"/>
          <w:color w:val="auto"/>
        </w:rPr>
      </w:pPr>
    </w:p>
    <w:p>
      <w:pPr>
        <w:ind w:left="1180" w:hanging="364"/>
        <w:spacing w:after="0"/>
        <w:tabs>
          <w:tab w:leader="none" w:pos="11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cost of effecting sales and repurchases of our shares and other securities;</w:t>
      </w:r>
    </w:p>
    <w:p>
      <w:pPr>
        <w:spacing w:after="0" w:line="189" w:lineRule="exact"/>
        <w:rPr>
          <w:rFonts w:ascii="Arial" w:cs="Arial" w:eastAsia="Arial" w:hAnsi="Arial"/>
          <w:sz w:val="15"/>
          <w:szCs w:val="15"/>
          <w:color w:val="auto"/>
        </w:rPr>
      </w:pPr>
    </w:p>
    <w:p>
      <w:pPr>
        <w:ind w:left="1180" w:hanging="364"/>
        <w:spacing w:after="0"/>
        <w:tabs>
          <w:tab w:leader="none" w:pos="11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interest payable on debt, if any, to finance our investments;</w:t>
      </w:r>
    </w:p>
    <w:p>
      <w:pPr>
        <w:spacing w:after="0" w:line="189" w:lineRule="exact"/>
        <w:rPr>
          <w:rFonts w:ascii="Arial" w:cs="Arial" w:eastAsia="Arial" w:hAnsi="Arial"/>
          <w:sz w:val="15"/>
          <w:szCs w:val="15"/>
          <w:color w:val="auto"/>
        </w:rPr>
      </w:pPr>
    </w:p>
    <w:p>
      <w:pPr>
        <w:ind w:left="1180" w:right="480" w:hanging="364"/>
        <w:spacing w:after="0" w:line="313" w:lineRule="auto"/>
        <w:tabs>
          <w:tab w:leader="none" w:pos="11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123" w:lineRule="exact"/>
        <w:rPr>
          <w:rFonts w:ascii="Arial" w:cs="Arial" w:eastAsia="Arial" w:hAnsi="Arial"/>
          <w:sz w:val="14"/>
          <w:szCs w:val="14"/>
          <w:color w:val="auto"/>
        </w:rPr>
      </w:pPr>
    </w:p>
    <w:p>
      <w:pPr>
        <w:ind w:left="1180" w:hanging="364"/>
        <w:spacing w:after="0"/>
        <w:tabs>
          <w:tab w:leader="none" w:pos="11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transfer agent and custodial fees;</w:t>
      </w:r>
    </w:p>
    <w:p>
      <w:pPr>
        <w:spacing w:after="0" w:line="189" w:lineRule="exact"/>
        <w:rPr>
          <w:rFonts w:ascii="Arial" w:cs="Arial" w:eastAsia="Arial" w:hAnsi="Arial"/>
          <w:sz w:val="15"/>
          <w:szCs w:val="15"/>
          <w:color w:val="auto"/>
        </w:rPr>
      </w:pPr>
    </w:p>
    <w:p>
      <w:pPr>
        <w:ind w:left="1180" w:hanging="364"/>
        <w:spacing w:after="0"/>
        <w:tabs>
          <w:tab w:leader="none" w:pos="11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fees and expenses associated with marketing efforts;</w:t>
      </w:r>
    </w:p>
    <w:p>
      <w:pPr>
        <w:spacing w:after="0" w:line="189" w:lineRule="exact"/>
        <w:rPr>
          <w:rFonts w:ascii="Arial" w:cs="Arial" w:eastAsia="Arial" w:hAnsi="Arial"/>
          <w:sz w:val="15"/>
          <w:szCs w:val="15"/>
          <w:color w:val="auto"/>
        </w:rPr>
      </w:pPr>
    </w:p>
    <w:p>
      <w:pPr>
        <w:ind w:left="1180" w:right="340" w:hanging="364"/>
        <w:spacing w:after="0" w:line="276" w:lineRule="auto"/>
        <w:tabs>
          <w:tab w:leader="none" w:pos="11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costs associated with our reporting and compliance obligations under the 1940 Act, the Exchange Act, other applicable federal and state securities laws and ongoing stock exchange listing fees;</w:t>
      </w:r>
    </w:p>
    <w:p>
      <w:pPr>
        <w:spacing w:after="0" w:line="146" w:lineRule="exact"/>
        <w:rPr>
          <w:rFonts w:ascii="Arial" w:cs="Arial" w:eastAsia="Arial" w:hAnsi="Arial"/>
          <w:sz w:val="15"/>
          <w:szCs w:val="15"/>
          <w:color w:val="auto"/>
        </w:rPr>
      </w:pPr>
    </w:p>
    <w:p>
      <w:pPr>
        <w:ind w:left="1180" w:hanging="364"/>
        <w:spacing w:after="0"/>
        <w:tabs>
          <w:tab w:leader="none" w:pos="11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federal, state and local taxes;</w:t>
      </w:r>
    </w:p>
    <w:p>
      <w:pPr>
        <w:spacing w:after="0" w:line="189" w:lineRule="exact"/>
        <w:rPr>
          <w:rFonts w:ascii="Arial" w:cs="Arial" w:eastAsia="Arial" w:hAnsi="Arial"/>
          <w:sz w:val="15"/>
          <w:szCs w:val="15"/>
          <w:color w:val="auto"/>
        </w:rPr>
      </w:pPr>
    </w:p>
    <w:p>
      <w:pPr>
        <w:ind w:left="1180" w:hanging="364"/>
        <w:spacing w:after="0"/>
        <w:tabs>
          <w:tab w:leader="none" w:pos="11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independent directors’ fees and expenses;</w:t>
      </w:r>
    </w:p>
    <w:p>
      <w:pPr>
        <w:spacing w:after="0" w:line="189" w:lineRule="exact"/>
        <w:rPr>
          <w:rFonts w:ascii="Arial" w:cs="Arial" w:eastAsia="Arial" w:hAnsi="Arial"/>
          <w:sz w:val="15"/>
          <w:szCs w:val="15"/>
          <w:color w:val="auto"/>
        </w:rPr>
      </w:pPr>
    </w:p>
    <w:p>
      <w:pPr>
        <w:ind w:left="1180" w:hanging="364"/>
        <w:spacing w:after="0"/>
        <w:tabs>
          <w:tab w:leader="none" w:pos="11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brokerage commissions;</w:t>
      </w:r>
    </w:p>
    <w:p>
      <w:pPr>
        <w:spacing w:after="0" w:line="189" w:lineRule="exact"/>
        <w:rPr>
          <w:rFonts w:ascii="Arial" w:cs="Arial" w:eastAsia="Arial" w:hAnsi="Arial"/>
          <w:sz w:val="15"/>
          <w:szCs w:val="15"/>
          <w:color w:val="auto"/>
        </w:rPr>
      </w:pPr>
    </w:p>
    <w:p>
      <w:pPr>
        <w:ind w:left="1180" w:hanging="364"/>
        <w:spacing w:after="0"/>
        <w:tabs>
          <w:tab w:leader="none" w:pos="11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costs of proxy statements, stockholders’ reports and other communications with stockholders;</w:t>
      </w:r>
    </w:p>
    <w:p>
      <w:pPr>
        <w:spacing w:after="0" w:line="189" w:lineRule="exact"/>
        <w:rPr>
          <w:rFonts w:ascii="Arial" w:cs="Arial" w:eastAsia="Arial" w:hAnsi="Arial"/>
          <w:sz w:val="15"/>
          <w:szCs w:val="15"/>
          <w:color w:val="auto"/>
        </w:rPr>
      </w:pPr>
    </w:p>
    <w:p>
      <w:pPr>
        <w:ind w:left="1180" w:hanging="364"/>
        <w:spacing w:after="0"/>
        <w:tabs>
          <w:tab w:leader="none" w:pos="11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fidelity bond, directors’ and officers’ liability insurance, errors and omissions liability insurance and other insurance premiums;</w:t>
      </w:r>
    </w:p>
    <w:p>
      <w:pPr>
        <w:spacing w:after="0" w:line="189" w:lineRule="exact"/>
        <w:rPr>
          <w:rFonts w:ascii="Arial" w:cs="Arial" w:eastAsia="Arial" w:hAnsi="Arial"/>
          <w:sz w:val="15"/>
          <w:szCs w:val="15"/>
          <w:color w:val="auto"/>
        </w:rPr>
      </w:pPr>
    </w:p>
    <w:p>
      <w:pPr>
        <w:ind w:left="1180" w:hanging="364"/>
        <w:spacing w:after="0"/>
        <w:tabs>
          <w:tab w:leader="none" w:pos="11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direct costs and expenses of administration, including printing, mailing, telephone and staff;</w:t>
      </w:r>
    </w:p>
    <w:p>
      <w:pPr>
        <w:spacing w:after="0" w:line="189" w:lineRule="exact"/>
        <w:rPr>
          <w:rFonts w:ascii="Arial" w:cs="Arial" w:eastAsia="Arial" w:hAnsi="Arial"/>
          <w:sz w:val="15"/>
          <w:szCs w:val="15"/>
          <w:color w:val="auto"/>
        </w:rPr>
      </w:pPr>
    </w:p>
    <w:p>
      <w:pPr>
        <w:ind w:left="1180" w:hanging="364"/>
        <w:spacing w:after="0"/>
        <w:tabs>
          <w:tab w:leader="none" w:pos="11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fees and expenses associated with independent audits and outside legal costs; and</w:t>
      </w:r>
    </w:p>
    <w:p>
      <w:pPr>
        <w:spacing w:after="0" w:line="189" w:lineRule="exact"/>
        <w:rPr>
          <w:rFonts w:ascii="Arial" w:cs="Arial" w:eastAsia="Arial" w:hAnsi="Arial"/>
          <w:sz w:val="15"/>
          <w:szCs w:val="15"/>
          <w:color w:val="auto"/>
        </w:rPr>
      </w:pPr>
    </w:p>
    <w:p>
      <w:pPr>
        <w:ind w:left="1180" w:hanging="364"/>
        <w:spacing w:after="0" w:line="260" w:lineRule="auto"/>
        <w:tabs>
          <w:tab w:leader="none" w:pos="11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any administrative support staff.</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57" w:name="page58"/>
    <w:bookmarkEnd w:id="57"/>
    <w:p>
      <w:pPr>
        <w:spacing w:after="0"/>
        <w:rPr>
          <w:sz w:val="20"/>
          <w:szCs w:val="20"/>
          <w:color w:val="auto"/>
        </w:rPr>
      </w:pPr>
      <w:r>
        <w:rPr>
          <w:rFonts w:ascii="Arial" w:cs="Arial" w:eastAsia="Arial" w:hAnsi="Arial"/>
          <w:sz w:val="15"/>
          <w:szCs w:val="15"/>
          <w:b w:val="1"/>
          <w:bCs w:val="1"/>
          <w:color w:val="auto"/>
        </w:rPr>
        <w:t>Critical Accounting Policies and Use of Estimates</w:t>
      </w:r>
    </w:p>
    <w:p>
      <w:pPr>
        <w:spacing w:after="0" w:line="193" w:lineRule="exact"/>
        <w:rPr>
          <w:sz w:val="20"/>
          <w:szCs w:val="20"/>
          <w:color w:val="auto"/>
        </w:rPr>
      </w:pPr>
    </w:p>
    <w:p>
      <w:pPr>
        <w:ind w:right="20" w:firstLine="738"/>
        <w:spacing w:after="0" w:line="278" w:lineRule="auto"/>
        <w:rPr>
          <w:sz w:val="20"/>
          <w:szCs w:val="20"/>
          <w:color w:val="auto"/>
        </w:rPr>
      </w:pPr>
      <w:r>
        <w:rPr>
          <w:rFonts w:ascii="Arial" w:cs="Arial" w:eastAsia="Arial" w:hAnsi="Arial"/>
          <w:sz w:val="14"/>
          <w:szCs w:val="14"/>
          <w:color w:val="auto"/>
        </w:rPr>
        <w:t>In the preparation of our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financial statements, certain accounting policies and estimates are considered critical due to their impact on the reported amounts of assets and liabilities at the date of the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 Because of the nature of the judgment and assumptions we make, actual results could materially differ from those estimates under different assumptions or conditions. A discussion of our critical accounting policies follows.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of Investments</w:t>
      </w:r>
    </w:p>
    <w:p>
      <w:pPr>
        <w:spacing w:after="0" w:line="189" w:lineRule="exact"/>
        <w:rPr>
          <w:sz w:val="20"/>
          <w:szCs w:val="20"/>
          <w:color w:val="auto"/>
        </w:rPr>
      </w:pPr>
    </w:p>
    <w:p>
      <w:pPr>
        <w:ind w:right="40" w:firstLine="738"/>
        <w:spacing w:after="0" w:line="291" w:lineRule="auto"/>
        <w:rPr>
          <w:sz w:val="20"/>
          <w:szCs w:val="20"/>
          <w:color w:val="auto"/>
        </w:rPr>
      </w:pPr>
      <w:r>
        <w:rPr>
          <w:rFonts w:ascii="Arial" w:cs="Arial" w:eastAsia="Arial" w:hAnsi="Arial"/>
          <w:sz w:val="14"/>
          <w:szCs w:val="14"/>
          <w:color w:val="auto"/>
        </w:rPr>
        <w:t xml:space="preserve">The Company applies fair value accounting to all of its financial instruments in accordance with the 1940 Act and ASC Topic 820 - </w:t>
      </w:r>
      <w:r>
        <w:rPr>
          <w:rFonts w:ascii="Arial" w:cs="Arial" w:eastAsia="Arial" w:hAnsi="Arial"/>
          <w:sz w:val="14"/>
          <w:szCs w:val="14"/>
          <w:i w:val="1"/>
          <w:iCs w:val="1"/>
          <w:color w:val="auto"/>
        </w:rPr>
        <w:t>Fair Value Measurements and Disclosures</w:t>
      </w:r>
      <w:r>
        <w:rPr>
          <w:rFonts w:ascii="Arial" w:cs="Arial" w:eastAsia="Arial" w:hAnsi="Arial"/>
          <w:sz w:val="14"/>
          <w:szCs w:val="14"/>
          <w:color w:val="auto"/>
        </w:rPr>
        <w:t>. ASC 820 defines fair value, establishes a framework used to measure fair value and requires disclosures for fair value measurements. In accordance with ASC 820, the Fund has categorized its financial instruments carried at fair value, based on the priority of the valuation technique, into a three-level fair value hierarchy as discussed in Note 3.</w:t>
      </w:r>
    </w:p>
    <w:p>
      <w:pPr>
        <w:spacing w:after="0" w:line="138" w:lineRule="exact"/>
        <w:rPr>
          <w:sz w:val="20"/>
          <w:szCs w:val="20"/>
          <w:color w:val="auto"/>
        </w:rPr>
      </w:pPr>
    </w:p>
    <w:p>
      <w:pPr>
        <w:jc w:val="both"/>
        <w:ind w:right="40" w:firstLine="738"/>
        <w:spacing w:after="0" w:line="264" w:lineRule="auto"/>
        <w:rPr>
          <w:sz w:val="20"/>
          <w:szCs w:val="20"/>
          <w:color w:val="auto"/>
        </w:rPr>
      </w:pPr>
      <w:r>
        <w:rPr>
          <w:rFonts w:ascii="Arial" w:cs="Arial" w:eastAsia="Arial" w:hAnsi="Arial"/>
          <w:sz w:val="15"/>
          <w:szCs w:val="15"/>
          <w:color w:val="auto"/>
        </w:rPr>
        <w:t>In determining fair value, our Board of Directors uses various valuation approaches, and engages a third-party independent valuation firm, which provides positive assurance on the investments they review.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55" w:lineRule="exact"/>
        <w:rPr>
          <w:sz w:val="20"/>
          <w:szCs w:val="20"/>
          <w:color w:val="auto"/>
        </w:rPr>
      </w:pPr>
    </w:p>
    <w:p>
      <w:pPr>
        <w:ind w:firstLine="738"/>
        <w:spacing w:after="0" w:line="264" w:lineRule="auto"/>
        <w:rPr>
          <w:sz w:val="20"/>
          <w:szCs w:val="20"/>
          <w:color w:val="auto"/>
        </w:rPr>
      </w:pPr>
      <w:r>
        <w:rPr>
          <w:rFonts w:ascii="Arial" w:cs="Arial" w:eastAsia="Arial" w:hAnsi="Arial"/>
          <w:sz w:val="15"/>
          <w:szCs w:val="15"/>
          <w:color w:val="auto"/>
        </w:rPr>
        <w:t>Observable inputs are those that market participants would use in pricing the asset or liability based on market data obtained from sources independent of the Board of Directors. Unobservable inputs reflect the Board of Directors’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51" w:lineRule="exact"/>
        <w:rPr>
          <w:sz w:val="20"/>
          <w:szCs w:val="20"/>
          <w:color w:val="auto"/>
        </w:rPr>
      </w:pPr>
    </w:p>
    <w:p>
      <w:pPr>
        <w:jc w:val="both"/>
        <w:ind w:left="720" w:right="100"/>
        <w:spacing w:after="0" w:line="267" w:lineRule="auto"/>
        <w:rPr>
          <w:sz w:val="20"/>
          <w:szCs w:val="20"/>
          <w:color w:val="auto"/>
        </w:rPr>
      </w:pPr>
      <w:r>
        <w:rPr>
          <w:rFonts w:ascii="Arial" w:cs="Arial" w:eastAsia="Arial" w:hAnsi="Arial"/>
          <w:sz w:val="15"/>
          <w:szCs w:val="15"/>
          <w:b w:val="1"/>
          <w:bCs w:val="1"/>
          <w:color w:val="auto"/>
        </w:rPr>
        <w:t xml:space="preserve">Level 1 </w:t>
      </w:r>
      <w:r>
        <w:rPr>
          <w:rFonts w:ascii="Arial" w:cs="Arial" w:eastAsia="Arial" w:hAnsi="Arial"/>
          <w:sz w:val="15"/>
          <w:szCs w:val="15"/>
          <w:color w:val="auto"/>
        </w:rPr>
        <w:t>– Valuations based on unadjusted quoted prices in active markets for identical assets or liabilities that the Company has the ability to access. Valuation adjustments and</w:t>
      </w:r>
      <w:r>
        <w:rPr>
          <w:rFonts w:ascii="Arial" w:cs="Arial" w:eastAsia="Arial" w:hAnsi="Arial"/>
          <w:sz w:val="15"/>
          <w:szCs w:val="15"/>
          <w:b w:val="1"/>
          <w:bCs w:val="1"/>
          <w:color w:val="auto"/>
        </w:rPr>
        <w:t xml:space="preserve"> </w:t>
      </w:r>
      <w:r>
        <w:rPr>
          <w:rFonts w:ascii="Arial" w:cs="Arial" w:eastAsia="Arial" w:hAnsi="Arial"/>
          <w:sz w:val="15"/>
          <w:szCs w:val="15"/>
          <w:color w:val="auto"/>
        </w:rPr>
        <w:t>block discounts are not applied to Level 1 securities. Since valuations are based on quoted prices that are readily and regularly available in an active market, valuation of these securities does not entail a significant degree of judgment.</w:t>
      </w:r>
    </w:p>
    <w:p>
      <w:pPr>
        <w:spacing w:after="0" w:line="148"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auto"/>
        </w:rPr>
        <w:t xml:space="preserve">Level 2 </w:t>
      </w:r>
      <w:r>
        <w:rPr>
          <w:rFonts w:ascii="Arial" w:cs="Arial" w:eastAsia="Arial" w:hAnsi="Arial"/>
          <w:sz w:val="15"/>
          <w:szCs w:val="15"/>
          <w:color w:val="auto"/>
        </w:rPr>
        <w:t>– Valuations based on quoted prices in markets that are not active or for which all significant inputs are observable, either directly or indirectly.</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auto"/>
        </w:rPr>
        <w:t xml:space="preserve">Level 3 </w:t>
      </w:r>
      <w:r>
        <w:rPr>
          <w:rFonts w:ascii="Arial" w:cs="Arial" w:eastAsia="Arial" w:hAnsi="Arial"/>
          <w:sz w:val="15"/>
          <w:szCs w:val="15"/>
          <w:color w:val="auto"/>
        </w:rPr>
        <w:t>– Valuations based on inputs that are unobservable and significant to the overall fair value measurement.</w:t>
      </w:r>
    </w:p>
    <w:p>
      <w:pPr>
        <w:spacing w:after="0" w:line="193" w:lineRule="exact"/>
        <w:rPr>
          <w:sz w:val="20"/>
          <w:szCs w:val="20"/>
          <w:color w:val="auto"/>
        </w:rPr>
      </w:pPr>
    </w:p>
    <w:p>
      <w:pPr>
        <w:ind w:right="20" w:firstLine="738"/>
        <w:spacing w:after="0" w:line="255" w:lineRule="auto"/>
        <w:rPr>
          <w:sz w:val="20"/>
          <w:szCs w:val="20"/>
          <w:color w:val="auto"/>
        </w:rPr>
      </w:pPr>
      <w:r>
        <w:rPr>
          <w:rFonts w:ascii="Arial" w:cs="Arial" w:eastAsia="Arial" w:hAnsi="Arial"/>
          <w:sz w:val="15"/>
          <w:szCs w:val="15"/>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of Directors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63" w:lineRule="exact"/>
        <w:rPr>
          <w:sz w:val="20"/>
          <w:szCs w:val="20"/>
          <w:color w:val="auto"/>
        </w:rPr>
      </w:pPr>
    </w:p>
    <w:p>
      <w:pPr>
        <w:ind w:right="140" w:firstLine="738"/>
        <w:spacing w:after="0" w:line="284" w:lineRule="auto"/>
        <w:rPr>
          <w:sz w:val="20"/>
          <w:szCs w:val="20"/>
          <w:color w:val="auto"/>
        </w:rPr>
      </w:pPr>
      <w:r>
        <w:rPr>
          <w:rFonts w:ascii="Arial" w:cs="Arial" w:eastAsia="Arial" w:hAnsi="Arial"/>
          <w:sz w:val="14"/>
          <w:szCs w:val="14"/>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58" w:right="239" w:bottom="1440" w:gutter="0" w:footer="0" w:header="0"/>
        </w:sectPr>
      </w:pPr>
    </w:p>
    <w:bookmarkStart w:id="58" w:name="page59"/>
    <w:bookmarkEnd w:id="58"/>
    <w:p>
      <w:pPr>
        <w:spacing w:after="0"/>
        <w:rPr>
          <w:sz w:val="20"/>
          <w:szCs w:val="20"/>
          <w:color w:val="auto"/>
        </w:rPr>
      </w:pPr>
      <w:r>
        <w:rPr>
          <w:rFonts w:ascii="Arial" w:cs="Arial" w:eastAsia="Arial" w:hAnsi="Arial"/>
          <w:sz w:val="15"/>
          <w:szCs w:val="15"/>
          <w:b w:val="1"/>
          <w:bCs w:val="1"/>
          <w:i w:val="1"/>
          <w:iCs w:val="1"/>
          <w:color w:val="auto"/>
        </w:rPr>
        <w:t>Valuation Techniques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Senior and Subordinated Secured Loans</w:t>
      </w:r>
    </w:p>
    <w:p>
      <w:pPr>
        <w:spacing w:after="0" w:line="189" w:lineRule="exact"/>
        <w:rPr>
          <w:sz w:val="20"/>
          <w:szCs w:val="20"/>
          <w:color w:val="auto"/>
        </w:rPr>
      </w:pPr>
    </w:p>
    <w:p>
      <w:pPr>
        <w:ind w:firstLine="738"/>
        <w:spacing w:after="0" w:line="306" w:lineRule="auto"/>
        <w:rPr>
          <w:sz w:val="20"/>
          <w:szCs w:val="20"/>
          <w:color w:val="auto"/>
        </w:rPr>
      </w:pPr>
      <w:r>
        <w:rPr>
          <w:rFonts w:ascii="Arial" w:cs="Arial" w:eastAsia="Arial" w:hAnsi="Arial"/>
          <w:sz w:val="13"/>
          <w:szCs w:val="13"/>
          <w:color w:val="auto"/>
        </w:rPr>
        <w:t>The Company’s portfolio primarily consists of private debt instruments (“Level 3 debt”). We consider our Level 3 debt to be performing loans if the borrower is not in default, the borrower is remitting payments in a timely manner, the loan is in covenant compliance or is otherwise not deemed to be impaired. In determining the fair value of the performing Level 3 debt, the Company’s Board of Directors considers fluctuations in current interest rates, the trends in yields of debt instruments with similar credit ratings (if applicable), the financial condition of the borrower, economic conditions and other relevant factors, both qualitative and quantitative. In the event that a Level 3 debt instrument is not performing, as defined above, the Board of Directors will evaluate the value of the collateral utilizing the same framework described above for a performing loan to determine the value of the Level 3 debt instrument.</w:t>
      </w:r>
    </w:p>
    <w:p>
      <w:pPr>
        <w:spacing w:after="0" w:line="133" w:lineRule="exact"/>
        <w:rPr>
          <w:sz w:val="20"/>
          <w:szCs w:val="20"/>
          <w:color w:val="auto"/>
        </w:rPr>
      </w:pPr>
    </w:p>
    <w:p>
      <w:pPr>
        <w:ind w:right="160" w:firstLine="738"/>
        <w:spacing w:after="0" w:line="291" w:lineRule="auto"/>
        <w:rPr>
          <w:sz w:val="20"/>
          <w:szCs w:val="20"/>
          <w:color w:val="auto"/>
        </w:rPr>
      </w:pPr>
      <w:r>
        <w:rPr>
          <w:rFonts w:ascii="Arial" w:cs="Arial" w:eastAsia="Arial" w:hAnsi="Arial"/>
          <w:sz w:val="14"/>
          <w:szCs w:val="14"/>
          <w:color w:val="auto"/>
        </w:rPr>
        <w:t>This evaluation will be updated no less than quarterly for Level 3 debt instruments that are not performing, and more frequently for time periods where there are significant changes in the collateral or significant changes in the perceived performance of the underlying portfolio company. The collateral value will be analyzed on an ongoing basis using internal metrics, appraisals, third-party valuation agents and other data as may be acquired and analyzed by our management and Board of Directors.</w:t>
      </w:r>
    </w:p>
    <w:p>
      <w:pPr>
        <w:spacing w:after="0" w:line="138"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Equity Investments in Private Companies</w:t>
      </w:r>
    </w:p>
    <w:p>
      <w:pPr>
        <w:spacing w:after="0" w:line="189" w:lineRule="exact"/>
        <w:rPr>
          <w:sz w:val="20"/>
          <w:szCs w:val="20"/>
          <w:color w:val="auto"/>
        </w:rPr>
      </w:pPr>
    </w:p>
    <w:p>
      <w:pPr>
        <w:ind w:right="140" w:firstLine="738"/>
        <w:spacing w:after="0" w:line="264" w:lineRule="auto"/>
        <w:rPr>
          <w:sz w:val="20"/>
          <w:szCs w:val="20"/>
          <w:color w:val="auto"/>
        </w:rPr>
      </w:pPr>
      <w:r>
        <w:rPr>
          <w:rFonts w:ascii="Arial" w:cs="Arial" w:eastAsia="Arial" w:hAnsi="Arial"/>
          <w:sz w:val="15"/>
          <w:szCs w:val="15"/>
          <w:color w:val="auto"/>
        </w:rPr>
        <w:t>Our Board of Directors determines the fair value of its investments in private companies by incorporating valuations that consider the evaluation of financing and sale transactions with third-parties, expected cash flows and market-based information, including comparable transactions, and performance multiples, among other factors, and may use third-party valuation agents. Such non-public investments are included in Level 3 of the fair value hierarchy.</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Warrants</w:t>
      </w:r>
    </w:p>
    <w:p>
      <w:pPr>
        <w:spacing w:after="0" w:line="189" w:lineRule="exact"/>
        <w:rPr>
          <w:sz w:val="20"/>
          <w:szCs w:val="20"/>
          <w:color w:val="auto"/>
        </w:rPr>
      </w:pPr>
    </w:p>
    <w:p>
      <w:pPr>
        <w:ind w:right="140" w:firstLine="738"/>
        <w:spacing w:after="0" w:line="313" w:lineRule="auto"/>
        <w:rPr>
          <w:sz w:val="20"/>
          <w:szCs w:val="20"/>
          <w:color w:val="auto"/>
        </w:rPr>
      </w:pPr>
      <w:r>
        <w:rPr>
          <w:rFonts w:ascii="Arial" w:cs="Arial" w:eastAsia="Arial" w:hAnsi="Arial"/>
          <w:sz w:val="14"/>
          <w:szCs w:val="14"/>
          <w:color w:val="auto"/>
        </w:rPr>
        <w:t>Our Board of Directors will ascribe value to warrants based on fair value holdings that can include discounted cash flow analyses, option pricing models, comparable analyses and other techniques as deemed appropriate. Such warrants are included in Level 3 of the fair value hierarchy to the extent issued by non-public companies.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5"/>
          <w:szCs w:val="15"/>
          <w:color w:val="auto"/>
        </w:rPr>
        <w:t>The Company’s revenue recognition policies are as follows:</w:t>
      </w:r>
    </w:p>
    <w:p>
      <w:pPr>
        <w:spacing w:after="0" w:line="189" w:lineRule="exact"/>
        <w:rPr>
          <w:sz w:val="20"/>
          <w:szCs w:val="20"/>
          <w:color w:val="auto"/>
        </w:rPr>
      </w:pPr>
    </w:p>
    <w:p>
      <w:pPr>
        <w:ind w:right="60" w:firstLine="738"/>
        <w:spacing w:after="0" w:line="260" w:lineRule="auto"/>
        <w:rPr>
          <w:sz w:val="20"/>
          <w:szCs w:val="20"/>
          <w:color w:val="auto"/>
        </w:rPr>
      </w:pPr>
      <w:r>
        <w:rPr>
          <w:rFonts w:ascii="Arial" w:cs="Arial" w:eastAsia="Arial" w:hAnsi="Arial"/>
          <w:sz w:val="15"/>
          <w:szCs w:val="15"/>
          <w:i w:val="1"/>
          <w:iCs w:val="1"/>
          <w:color w:val="auto"/>
        </w:rPr>
        <w:t xml:space="preserve">Interest Income and Paid-in Kind Interest: </w:t>
      </w:r>
      <w:r>
        <w:rPr>
          <w:rFonts w:ascii="Arial" w:cs="Arial" w:eastAsia="Arial" w:hAnsi="Arial"/>
          <w:sz w:val="15"/>
          <w:szCs w:val="15"/>
          <w:color w:val="auto"/>
        </w:rPr>
        <w:t>Interest income is recorded on the accrual basis to the extent that such amounts are expected to be collected. The company has loans</w:t>
      </w:r>
      <w:r>
        <w:rPr>
          <w:rFonts w:ascii="Arial" w:cs="Arial" w:eastAsia="Arial" w:hAnsi="Arial"/>
          <w:sz w:val="15"/>
          <w:szCs w:val="15"/>
          <w:i w:val="1"/>
          <w:iCs w:val="1"/>
          <w:color w:val="auto"/>
        </w:rPr>
        <w:t xml:space="preserve"> </w:t>
      </w:r>
      <w:r>
        <w:rPr>
          <w:rFonts w:ascii="Arial" w:cs="Arial" w:eastAsia="Arial" w:hAnsi="Arial"/>
          <w:sz w:val="15"/>
          <w:szCs w:val="15"/>
          <w:color w:val="auto"/>
        </w:rPr>
        <w:t>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57" w:lineRule="exact"/>
        <w:rPr>
          <w:sz w:val="20"/>
          <w:szCs w:val="20"/>
          <w:color w:val="auto"/>
        </w:rPr>
      </w:pPr>
    </w:p>
    <w:p>
      <w:pPr>
        <w:jc w:val="both"/>
        <w:ind w:right="40" w:firstLine="738"/>
        <w:spacing w:after="0" w:line="303" w:lineRule="auto"/>
        <w:rPr>
          <w:sz w:val="20"/>
          <w:szCs w:val="20"/>
          <w:color w:val="auto"/>
        </w:rPr>
      </w:pPr>
      <w:r>
        <w:rPr>
          <w:rFonts w:ascii="Arial" w:cs="Arial" w:eastAsia="Arial" w:hAnsi="Arial"/>
          <w:sz w:val="13"/>
          <w:szCs w:val="13"/>
          <w:i w:val="1"/>
          <w:iCs w:val="1"/>
          <w:color w:val="auto"/>
        </w:rPr>
        <w:t xml:space="preserve">Non-accrual income: </w:t>
      </w:r>
      <w:r>
        <w:rPr>
          <w:rFonts w:ascii="Arial" w:cs="Arial" w:eastAsia="Arial" w:hAnsi="Arial"/>
          <w:sz w:val="13"/>
          <w:szCs w:val="13"/>
          <w:color w:val="auto"/>
        </w:rPr>
        <w:t>Generally, when interest and/or principal payments on a loan become materially past due, or if the Company otherwise does not expect the borrower to be</w:t>
      </w:r>
      <w:r>
        <w:rPr>
          <w:rFonts w:ascii="Arial" w:cs="Arial" w:eastAsia="Arial" w:hAnsi="Arial"/>
          <w:sz w:val="13"/>
          <w:szCs w:val="13"/>
          <w:i w:val="1"/>
          <w:iCs w:val="1"/>
          <w:color w:val="auto"/>
        </w:rPr>
        <w:t xml:space="preserve"> </w:t>
      </w:r>
      <w:r>
        <w:rPr>
          <w:rFonts w:ascii="Arial" w:cs="Arial" w:eastAsia="Arial" w:hAnsi="Arial"/>
          <w:sz w:val="13"/>
          <w:szCs w:val="13"/>
          <w:color w:val="auto"/>
        </w:rPr>
        <w:t>able to service its debt and other obligations, the Company will place the loan on non-accrual status, and will generally cease recognizing interest income and PIK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and continue accruing interest income in cases where a loan is currently paying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34"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 xml:space="preserve">Gains and Losses on investment sales and paydowns: </w:t>
      </w:r>
      <w:r>
        <w:rPr>
          <w:rFonts w:ascii="Arial" w:cs="Arial" w:eastAsia="Arial" w:hAnsi="Arial"/>
          <w:sz w:val="15"/>
          <w:szCs w:val="15"/>
          <w:color w:val="auto"/>
        </w:rPr>
        <w:t>Realized gains and losses on investments are recognized using the specific identification method.</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 xml:space="preserve">Dividend Income: </w:t>
      </w:r>
      <w:r>
        <w:rPr>
          <w:rFonts w:ascii="Arial" w:cs="Arial" w:eastAsia="Arial" w:hAnsi="Arial"/>
          <w:sz w:val="15"/>
          <w:szCs w:val="15"/>
          <w:color w:val="auto"/>
        </w:rPr>
        <w:t>Dividend income is recognized on the date dividends are declared.</w:t>
      </w:r>
    </w:p>
    <w:p>
      <w:pPr>
        <w:spacing w:after="0" w:line="189" w:lineRule="exact"/>
        <w:rPr>
          <w:sz w:val="20"/>
          <w:szCs w:val="20"/>
          <w:color w:val="auto"/>
        </w:rPr>
      </w:pPr>
    </w:p>
    <w:p>
      <w:pPr>
        <w:ind w:right="280" w:firstLine="738"/>
        <w:spacing w:after="0" w:line="313" w:lineRule="auto"/>
        <w:rPr>
          <w:sz w:val="20"/>
          <w:szCs w:val="20"/>
          <w:color w:val="auto"/>
        </w:rPr>
      </w:pPr>
      <w:r>
        <w:rPr>
          <w:rFonts w:ascii="Arial" w:cs="Arial" w:eastAsia="Arial" w:hAnsi="Arial"/>
          <w:sz w:val="14"/>
          <w:szCs w:val="14"/>
          <w:i w:val="1"/>
          <w:iCs w:val="1"/>
          <w:color w:val="auto"/>
        </w:rPr>
        <w:t xml:space="preserve">Other Income: </w:t>
      </w:r>
      <w:r>
        <w:rPr>
          <w:rFonts w:ascii="Arial" w:cs="Arial" w:eastAsia="Arial" w:hAnsi="Arial"/>
          <w:sz w:val="14"/>
          <w:szCs w:val="14"/>
          <w:color w:val="auto"/>
        </w:rPr>
        <w:t>Origination, amendment, closing and/or commitment fees associated with investments in portfolio companies are recognized as income when the investment</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 closes. Prepayment penalties received by the Company for debt instruments repaid prior to maturity date are recorded as income upon receipt.</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00"/>
          </w:cols>
          <w:pgMar w:left="240" w:top="762" w:right="259" w:bottom="1440" w:gutter="0" w:footer="0" w:header="0"/>
        </w:sectPr>
      </w:pPr>
    </w:p>
    <w:bookmarkStart w:id="59" w:name="page60"/>
    <w:bookmarkEnd w:id="59"/>
    <w:p>
      <w:pPr>
        <w:spacing w:after="0"/>
        <w:rPr>
          <w:sz w:val="20"/>
          <w:szCs w:val="20"/>
          <w:color w:val="auto"/>
        </w:rPr>
      </w:pPr>
      <w:r>
        <w:rPr>
          <w:rFonts w:ascii="Arial" w:cs="Arial" w:eastAsia="Arial" w:hAnsi="Arial"/>
          <w:sz w:val="15"/>
          <w:szCs w:val="15"/>
          <w:b w:val="1"/>
          <w:bCs w:val="1"/>
          <w:color w:val="auto"/>
        </w:rPr>
        <w:t>Income Taxes</w:t>
      </w:r>
    </w:p>
    <w:p>
      <w:pPr>
        <w:spacing w:after="0" w:line="193" w:lineRule="exact"/>
        <w:rPr>
          <w:sz w:val="20"/>
          <w:szCs w:val="20"/>
          <w:color w:val="auto"/>
        </w:rPr>
      </w:pPr>
    </w:p>
    <w:p>
      <w:pPr>
        <w:ind w:right="60" w:firstLine="738"/>
        <w:spacing w:after="0" w:line="260" w:lineRule="auto"/>
        <w:rPr>
          <w:sz w:val="20"/>
          <w:szCs w:val="20"/>
          <w:color w:val="auto"/>
        </w:rPr>
      </w:pPr>
      <w:r>
        <w:rPr>
          <w:rFonts w:ascii="Arial" w:cs="Arial" w:eastAsia="Arial" w:hAnsi="Arial"/>
          <w:sz w:val="15"/>
          <w:szCs w:val="15"/>
          <w:color w:val="auto"/>
        </w:rPr>
        <w:t>Prior to the Formation Transaction,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K-1s in their respective tax or information returns. The Legacy Funds are disregarded entities for tax purposes prior to and post the Formation Transaction.</w:t>
      </w:r>
    </w:p>
    <w:p>
      <w:pPr>
        <w:spacing w:after="0" w:line="157" w:lineRule="exact"/>
        <w:rPr>
          <w:sz w:val="20"/>
          <w:szCs w:val="20"/>
          <w:color w:val="auto"/>
        </w:rPr>
      </w:pPr>
    </w:p>
    <w:p>
      <w:pPr>
        <w:ind w:right="140" w:firstLine="738"/>
        <w:spacing w:after="0" w:line="264" w:lineRule="auto"/>
        <w:rPr>
          <w:sz w:val="20"/>
          <w:szCs w:val="20"/>
          <w:color w:val="auto"/>
        </w:rPr>
      </w:pPr>
      <w:r>
        <w:rPr>
          <w:rFonts w:ascii="Arial" w:cs="Arial" w:eastAsia="Arial" w:hAnsi="Arial"/>
          <w:sz w:val="15"/>
          <w:szCs w:val="15"/>
          <w:color w:val="auto"/>
        </w:rPr>
        <w:t>The Company intends to elect to be treated for federal income tax purposes, and intends to qualify annually thereafter, as a Registered Investment Company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55" w:lineRule="exact"/>
        <w:rPr>
          <w:sz w:val="20"/>
          <w:szCs w:val="20"/>
          <w:color w:val="auto"/>
        </w:rPr>
      </w:pPr>
    </w:p>
    <w:p>
      <w:pPr>
        <w:ind w:right="140" w:firstLine="738"/>
        <w:spacing w:after="0" w:line="291" w:lineRule="auto"/>
        <w:rPr>
          <w:sz w:val="20"/>
          <w:szCs w:val="20"/>
          <w:color w:val="auto"/>
        </w:rPr>
      </w:pPr>
      <w:r>
        <w:rPr>
          <w:rFonts w:ascii="Arial" w:cs="Arial" w:eastAsia="Arial" w:hAnsi="Arial"/>
          <w:sz w:val="14"/>
          <w:szCs w:val="14"/>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38" w:lineRule="exact"/>
        <w:rPr>
          <w:sz w:val="20"/>
          <w:szCs w:val="20"/>
          <w:color w:val="auto"/>
        </w:rPr>
      </w:pPr>
    </w:p>
    <w:p>
      <w:pPr>
        <w:ind w:firstLine="738"/>
        <w:spacing w:after="0" w:line="323" w:lineRule="auto"/>
        <w:rPr>
          <w:sz w:val="20"/>
          <w:szCs w:val="20"/>
          <w:color w:val="auto"/>
        </w:rPr>
      </w:pPr>
      <w:r>
        <w:rPr>
          <w:rFonts w:ascii="Arial" w:cs="Arial" w:eastAsia="Arial" w:hAnsi="Arial"/>
          <w:sz w:val="13"/>
          <w:szCs w:val="13"/>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20" w:lineRule="exact"/>
        <w:rPr>
          <w:sz w:val="20"/>
          <w:szCs w:val="20"/>
          <w:color w:val="auto"/>
        </w:rPr>
      </w:pPr>
    </w:p>
    <w:p>
      <w:pPr>
        <w:ind w:right="40" w:firstLine="738"/>
        <w:spacing w:after="0" w:line="256" w:lineRule="auto"/>
        <w:rPr>
          <w:sz w:val="20"/>
          <w:szCs w:val="20"/>
          <w:color w:val="auto"/>
        </w:rPr>
      </w:pPr>
      <w:r>
        <w:rPr>
          <w:rFonts w:ascii="Arial" w:cs="Arial" w:eastAsia="Arial" w:hAnsi="Arial"/>
          <w:sz w:val="15"/>
          <w:szCs w:val="15"/>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63" w:lineRule="exact"/>
        <w:rPr>
          <w:sz w:val="20"/>
          <w:szCs w:val="20"/>
          <w:color w:val="auto"/>
        </w:rPr>
      </w:pPr>
    </w:p>
    <w:p>
      <w:pPr>
        <w:ind w:right="100" w:firstLine="738"/>
        <w:spacing w:after="0" w:line="258" w:lineRule="auto"/>
        <w:rPr>
          <w:sz w:val="20"/>
          <w:szCs w:val="20"/>
          <w:color w:val="auto"/>
        </w:rPr>
      </w:pPr>
      <w:r>
        <w:rPr>
          <w:rFonts w:ascii="Arial" w:cs="Arial" w:eastAsia="Arial" w:hAnsi="Arial"/>
          <w:sz w:val="15"/>
          <w:szCs w:val="15"/>
          <w:color w:val="auto"/>
        </w:rPr>
        <w:t xml:space="preserve">ASC 740, </w:t>
      </w:r>
      <w:r>
        <w:rPr>
          <w:rFonts w:ascii="Arial" w:cs="Arial" w:eastAsia="Arial" w:hAnsi="Arial"/>
          <w:sz w:val="15"/>
          <w:szCs w:val="15"/>
          <w:i w:val="1"/>
          <w:iCs w:val="1"/>
          <w:color w:val="auto"/>
        </w:rPr>
        <w:t>Income Taxes</w:t>
      </w:r>
      <w:r>
        <w:rPr>
          <w:rFonts w:ascii="Arial" w:cs="Arial" w:eastAsia="Arial" w:hAnsi="Arial"/>
          <w:sz w:val="15"/>
          <w:szCs w:val="15"/>
          <w:color w:val="auto"/>
        </w:rPr>
        <w:t>,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2013 and December 31, 2012, there were no uncertain tax positions.</w:t>
      </w:r>
    </w:p>
    <w:p>
      <w:pPr>
        <w:spacing w:after="0" w:line="159" w:lineRule="exact"/>
        <w:rPr>
          <w:sz w:val="20"/>
          <w:szCs w:val="20"/>
          <w:color w:val="auto"/>
        </w:rPr>
      </w:pPr>
    </w:p>
    <w:p>
      <w:pPr>
        <w:ind w:right="80" w:firstLine="738"/>
        <w:spacing w:after="0" w:line="260" w:lineRule="auto"/>
        <w:rPr>
          <w:sz w:val="20"/>
          <w:szCs w:val="20"/>
          <w:color w:val="auto"/>
        </w:rPr>
      </w:pPr>
      <w:r>
        <w:rPr>
          <w:rFonts w:ascii="Arial" w:cs="Arial" w:eastAsia="Arial" w:hAnsi="Arial"/>
          <w:sz w:val="15"/>
          <w:szCs w:val="15"/>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have negatively impact the Company’s net assets.</w:t>
      </w:r>
    </w:p>
    <w:p>
      <w:pPr>
        <w:spacing w:after="0" w:line="157" w:lineRule="exact"/>
        <w:rPr>
          <w:sz w:val="20"/>
          <w:szCs w:val="20"/>
          <w:color w:val="auto"/>
        </w:rPr>
      </w:pPr>
    </w:p>
    <w:p>
      <w:pPr>
        <w:ind w:right="120" w:firstLine="738"/>
        <w:spacing w:after="0" w:line="276" w:lineRule="auto"/>
        <w:rPr>
          <w:sz w:val="20"/>
          <w:szCs w:val="20"/>
          <w:color w:val="auto"/>
        </w:rPr>
      </w:pPr>
      <w:r>
        <w:rPr>
          <w:rFonts w:ascii="Arial" w:cs="Arial" w:eastAsia="Arial" w:hAnsi="Arial"/>
          <w:sz w:val="15"/>
          <w:szCs w:val="15"/>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46" w:lineRule="exact"/>
        <w:rPr>
          <w:sz w:val="20"/>
          <w:szCs w:val="20"/>
          <w:color w:val="auto"/>
        </w:rPr>
      </w:pPr>
    </w:p>
    <w:p>
      <w:pPr>
        <w:jc w:val="both"/>
        <w:ind w:right="260" w:firstLine="738"/>
        <w:spacing w:after="0" w:line="264" w:lineRule="auto"/>
        <w:rPr>
          <w:sz w:val="20"/>
          <w:szCs w:val="20"/>
          <w:color w:val="auto"/>
        </w:rPr>
      </w:pPr>
      <w:r>
        <w:rPr>
          <w:rFonts w:ascii="Arial" w:cs="Arial" w:eastAsia="Arial" w:hAnsi="Arial"/>
          <w:sz w:val="15"/>
          <w:szCs w:val="15"/>
          <w:color w:val="auto"/>
        </w:rPr>
        <w:t>The Company has concluded that it was not necessary to record a liability for any such tax positions as of December 31, 2013 or 2012.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55" w:lineRule="exact"/>
        <w:rPr>
          <w:sz w:val="20"/>
          <w:szCs w:val="20"/>
          <w:color w:val="auto"/>
        </w:rPr>
      </w:pPr>
    </w:p>
    <w:p>
      <w:pPr>
        <w:ind w:right="20" w:firstLine="738"/>
        <w:spacing w:after="0" w:line="264" w:lineRule="auto"/>
        <w:rPr>
          <w:sz w:val="20"/>
          <w:szCs w:val="20"/>
          <w:color w:val="auto"/>
        </w:rPr>
      </w:pPr>
      <w:r>
        <w:rPr>
          <w:rFonts w:ascii="Arial" w:cs="Arial" w:eastAsia="Arial" w:hAnsi="Arial"/>
          <w:sz w:val="15"/>
          <w:szCs w:val="15"/>
          <w:color w:val="auto"/>
        </w:rPr>
        <w:t>The Company’s activities from commencement of operations remain subject to examination by U.S. federal, state, and local tax authorities. No interest expense or penalties have been assessed as of December 31, 2013 and 2012. If the Company were required to recognize interest and penalties, if any, related to unrecognized tax benefits this would be recognized as income tax expense in the consolidated statement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Portfolio and Investment Activity</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5"/>
          <w:szCs w:val="15"/>
          <w:color w:val="auto"/>
        </w:rPr>
        <w:t>As of December 31, 2013, our portfolio consisted of investments in 41 portfolio companies with a fair value of approximately $364.7 million.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58" w:right="219" w:bottom="1440" w:gutter="0" w:footer="0" w:header="0"/>
        </w:sectPr>
      </w:pPr>
    </w:p>
    <w:bookmarkStart w:id="60" w:name="page61"/>
    <w:bookmarkEnd w:id="60"/>
    <w:p>
      <w:pPr>
        <w:ind w:right="100" w:firstLine="738"/>
        <w:spacing w:after="0" w:line="280" w:lineRule="auto"/>
        <w:rPr>
          <w:sz w:val="20"/>
          <w:szCs w:val="20"/>
          <w:color w:val="auto"/>
        </w:rPr>
      </w:pPr>
      <w:r>
        <w:rPr>
          <w:rFonts w:ascii="Arial" w:cs="Arial" w:eastAsia="Arial" w:hAnsi="Arial"/>
          <w:sz w:val="14"/>
          <w:szCs w:val="14"/>
          <w:color w:val="auto"/>
        </w:rPr>
        <w:t>During the year ended December 31, 2013, we made approximately $110.9 million of investments in new or existing portfolio companies and had approximately $52.7 million in aggregate amount of exits and repayments resulting in net investments of approximately $58.2 million for the period. During the year ended December 31, 2012, we made approximately $56.5 million of investments in new or existing portfolio companies and had approximately $23.7 million in aggregate amount of exits and repayments resulting in net investments of approximately $32.8 million for the period. During the year ended December 31, 2011, we made approximately $117.3 million of investments in new or existing portfolio companies and had approximately $44.9 million in aggregate amount of exits and repayments resulting in net investments of approximately $72.4 million for the period.</w:t>
      </w:r>
    </w:p>
    <w:p>
      <w:pPr>
        <w:spacing w:after="0" w:line="147" w:lineRule="exact"/>
        <w:rPr>
          <w:sz w:val="20"/>
          <w:szCs w:val="20"/>
          <w:color w:val="auto"/>
        </w:rPr>
      </w:pPr>
    </w:p>
    <w:p>
      <w:pPr>
        <w:ind w:right="180" w:firstLine="738"/>
        <w:spacing w:after="0" w:line="284" w:lineRule="auto"/>
        <w:rPr>
          <w:sz w:val="20"/>
          <w:szCs w:val="20"/>
          <w:color w:val="auto"/>
        </w:rPr>
      </w:pPr>
      <w:r>
        <w:rPr>
          <w:rFonts w:ascii="Arial" w:cs="Arial" w:eastAsia="Arial" w:hAnsi="Arial"/>
          <w:sz w:val="14"/>
          <w:szCs w:val="14"/>
          <w:color w:val="auto"/>
        </w:rPr>
        <w:t>As of December 31, 2013, our average portfolio company investment and our largest portfolio company investment at amortized cost and fair value was approximately $7.3 million and $8.9 million, and $25.3 million and $25.3 million, respectively. As of December 31, 2013, the Company had approximately $101.6 million of cash and cash equivalents. As of December 31, 2012, our average portfolio company investment and our largest portfolio company investment at amortized cost and fair value was approximately $6.0 million and $7.5 million, and $17.4 million and $29.9 million, respectively. As of December 31, 2012, the Company had $30.5 million of cash and cash equivalents.</w:t>
      </w:r>
    </w:p>
    <w:p>
      <w:pPr>
        <w:spacing w:after="0" w:line="14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The following table summarizes the amortized cost and the fair value of investments and cash and cash equivalents as of December 31, 2013 (dollars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tcPr>
          <w:p>
            <w:pPr>
              <w:jc w:val="center"/>
              <w:ind w:right="145"/>
              <w:spacing w:after="0"/>
              <w:rPr>
                <w:sz w:val="20"/>
                <w:szCs w:val="20"/>
                <w:color w:val="auto"/>
              </w:rPr>
            </w:pPr>
            <w:r>
              <w:rPr>
                <w:rFonts w:ascii="Arial" w:cs="Arial" w:eastAsia="Arial" w:hAnsi="Arial"/>
                <w:sz w:val="15"/>
                <w:szCs w:val="15"/>
                <w:b w:val="1"/>
                <w:bCs w:val="1"/>
                <w:color w:val="auto"/>
                <w:w w:val="91"/>
              </w:rPr>
              <w:t>Amortized Cost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center"/>
              <w:ind w:right="65"/>
              <w:spacing w:after="0"/>
              <w:rPr>
                <w:sz w:val="20"/>
                <w:szCs w:val="20"/>
                <w:color w:val="auto"/>
              </w:rPr>
            </w:pPr>
            <w:r>
              <w:rPr>
                <w:rFonts w:ascii="Arial" w:cs="Arial" w:eastAsia="Arial" w:hAnsi="Arial"/>
                <w:sz w:val="15"/>
                <w:szCs w:val="15"/>
                <w:b w:val="1"/>
                <w:bCs w:val="1"/>
                <w:color w:val="auto"/>
                <w:w w:val="91"/>
              </w:rPr>
              <w:t>Fair Value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5"/>
              </w:rPr>
              <w:t>Investments at</w:t>
            </w:r>
          </w:p>
        </w:tc>
        <w:tc>
          <w:tcPr>
            <w:tcW w:w="100" w:type="dxa"/>
            <w:vAlign w:val="bottom"/>
          </w:tcPr>
          <w:p>
            <w:pPr>
              <w:spacing w:after="0"/>
              <w:rPr>
                <w:sz w:val="15"/>
                <w:szCs w:val="15"/>
                <w:color w:val="auto"/>
              </w:rPr>
            </w:pPr>
          </w:p>
        </w:tc>
        <w:tc>
          <w:tcPr>
            <w:tcW w:w="1880" w:type="dxa"/>
            <w:vAlign w:val="bottom"/>
            <w:gridSpan w:val="2"/>
          </w:tcPr>
          <w:p>
            <w:pPr>
              <w:jc w:val="center"/>
              <w:ind w:right="145"/>
              <w:spacing w:after="0"/>
              <w:rPr>
                <w:sz w:val="20"/>
                <w:szCs w:val="20"/>
                <w:color w:val="auto"/>
              </w:rPr>
            </w:pPr>
            <w:r>
              <w:rPr>
                <w:rFonts w:ascii="Arial" w:cs="Arial" w:eastAsia="Arial" w:hAnsi="Arial"/>
                <w:sz w:val="15"/>
                <w:szCs w:val="15"/>
                <w:b w:val="1"/>
                <w:bCs w:val="1"/>
                <w:color w:val="auto"/>
                <w:w w:val="86"/>
              </w:rPr>
              <w:t>Percentage of</w:t>
            </w:r>
          </w:p>
        </w:tc>
        <w:tc>
          <w:tcPr>
            <w:tcW w:w="140" w:type="dxa"/>
            <w:vAlign w:val="bottom"/>
          </w:tcPr>
          <w:p>
            <w:pPr>
              <w:spacing w:after="0"/>
              <w:rPr>
                <w:sz w:val="15"/>
                <w:szCs w:val="15"/>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3"/>
              </w:rPr>
              <w:t>Investments at</w:t>
            </w:r>
          </w:p>
        </w:tc>
        <w:tc>
          <w:tcPr>
            <w:tcW w:w="1480" w:type="dxa"/>
            <w:vAlign w:val="bottom"/>
            <w:gridSpan w:val="2"/>
          </w:tcPr>
          <w:p>
            <w:pPr>
              <w:jc w:val="center"/>
              <w:ind w:right="65"/>
              <w:spacing w:after="0"/>
              <w:rPr>
                <w:sz w:val="20"/>
                <w:szCs w:val="20"/>
                <w:color w:val="auto"/>
              </w:rPr>
            </w:pPr>
            <w:r>
              <w:rPr>
                <w:rFonts w:ascii="Arial" w:cs="Arial" w:eastAsia="Arial" w:hAnsi="Arial"/>
                <w:sz w:val="15"/>
                <w:szCs w:val="15"/>
                <w:b w:val="1"/>
                <w:bCs w:val="1"/>
                <w:color w:val="auto"/>
                <w:w w:val="86"/>
              </w:rPr>
              <w:t>Percentage of</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2760" w:type="dxa"/>
            <w:vAlign w:val="bottom"/>
            <w:tcBorders>
              <w:bottom w:val="single" w:sz="8" w:color="CCFFCC"/>
            </w:tcBorders>
          </w:tcPr>
          <w:p>
            <w:pPr>
              <w:spacing w:after="0"/>
              <w:rPr>
                <w:sz w:val="16"/>
                <w:szCs w:val="16"/>
                <w:color w:val="auto"/>
              </w:rPr>
            </w:pPr>
          </w:p>
        </w:tc>
        <w:tc>
          <w:tcPr>
            <w:tcW w:w="1120" w:type="dxa"/>
            <w:vAlign w:val="bottom"/>
            <w:tcBorders>
              <w:bottom w:val="single" w:sz="8" w:color="CCFFC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93"/>
              </w:rPr>
              <w:t>Amortized Cost</w:t>
            </w:r>
          </w:p>
        </w:tc>
        <w:tc>
          <w:tcPr>
            <w:tcW w:w="100" w:type="dxa"/>
            <w:vAlign w:val="bottom"/>
            <w:tcBorders>
              <w:bottom w:val="single" w:sz="8" w:color="CCFFCC"/>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Total</w:t>
            </w:r>
          </w:p>
        </w:tc>
        <w:tc>
          <w:tcPr>
            <w:tcW w:w="240" w:type="dxa"/>
            <w:vAlign w:val="bottom"/>
            <w:tcBorders>
              <w:bottom w:val="single" w:sz="8" w:color="CCFFC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Fair Value</w:t>
            </w:r>
          </w:p>
        </w:tc>
        <w:tc>
          <w:tcPr>
            <w:tcW w:w="200" w:type="dxa"/>
            <w:vAlign w:val="bottom"/>
            <w:tcBorders>
              <w:bottom w:val="single" w:sz="8" w:color="CCFFCC"/>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Total</w:t>
            </w:r>
          </w:p>
        </w:tc>
        <w:tc>
          <w:tcPr>
            <w:tcW w:w="140" w:type="dxa"/>
            <w:vAlign w:val="bottom"/>
            <w:tcBorders>
              <w:bottom w:val="single" w:sz="8" w:color="CCFFCC"/>
            </w:tcBorders>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5"/>
                <w:szCs w:val="15"/>
                <w:color w:val="auto"/>
              </w:rPr>
              <w:t>Senior Secured Debt</w:t>
            </w:r>
          </w:p>
        </w:tc>
        <w:tc>
          <w:tcPr>
            <w:tcW w:w="1120" w:type="dxa"/>
            <w:vAlign w:val="bottom"/>
            <w:shd w:val="clear" w:color="auto" w:fill="CCFFCC"/>
          </w:tcPr>
          <w:p>
            <w:pPr>
              <w:spacing w:after="0"/>
              <w:rPr>
                <w:sz w:val="15"/>
                <w:szCs w:val="15"/>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103,457</w:t>
            </w: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880" w:type="dxa"/>
            <w:vAlign w:val="bottom"/>
            <w:tcBorders>
              <w:right w:val="single" w:sz="8" w:color="CCFFCC"/>
            </w:tcBorders>
            <w:gridSpan w:val="2"/>
            <w:shd w:val="clear" w:color="auto" w:fill="CCFFCC"/>
          </w:tcPr>
          <w:p>
            <w:pPr>
              <w:ind w:left="1380"/>
              <w:spacing w:after="0"/>
              <w:rPr>
                <w:sz w:val="20"/>
                <w:szCs w:val="20"/>
                <w:color w:val="auto"/>
              </w:rPr>
            </w:pPr>
            <w:r>
              <w:rPr>
                <w:rFonts w:ascii="Arial" w:cs="Arial" w:eastAsia="Arial" w:hAnsi="Arial"/>
                <w:sz w:val="15"/>
                <w:szCs w:val="15"/>
                <w:color w:val="auto"/>
              </w:rPr>
              <w:t>25.7%</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102,071</w:t>
            </w:r>
          </w:p>
        </w:tc>
        <w:tc>
          <w:tcPr>
            <w:tcW w:w="200" w:type="dxa"/>
            <w:vAlign w:val="bottom"/>
            <w:shd w:val="clear" w:color="auto" w:fill="CCFFCC"/>
          </w:tcPr>
          <w:p>
            <w:pPr>
              <w:spacing w:after="0"/>
              <w:rPr>
                <w:sz w:val="15"/>
                <w:szCs w:val="15"/>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rPr>
              <w:t>21.9%</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Subordinated Debt</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5"/>
                <w:szCs w:val="15"/>
                <w:color w:val="auto"/>
              </w:rPr>
              <w:t>136,638</w:t>
            </w:r>
          </w:p>
        </w:tc>
        <w:tc>
          <w:tcPr>
            <w:tcW w:w="1980" w:type="dxa"/>
            <w:vAlign w:val="bottom"/>
            <w:gridSpan w:val="3"/>
          </w:tcPr>
          <w:p>
            <w:pPr>
              <w:ind w:left="1480"/>
              <w:spacing w:after="0"/>
              <w:rPr>
                <w:sz w:val="20"/>
                <w:szCs w:val="20"/>
                <w:color w:val="auto"/>
              </w:rPr>
            </w:pPr>
            <w:r>
              <w:rPr>
                <w:rFonts w:ascii="Arial" w:cs="Arial" w:eastAsia="Arial" w:hAnsi="Arial"/>
                <w:sz w:val="15"/>
                <w:szCs w:val="15"/>
                <w:color w:val="auto"/>
              </w:rPr>
              <w:t>33.9</w:t>
            </w:r>
          </w:p>
        </w:tc>
        <w:tc>
          <w:tcPr>
            <w:tcW w:w="1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133,710</w:t>
            </w:r>
          </w:p>
        </w:tc>
        <w:tc>
          <w:tcPr>
            <w:tcW w:w="1480" w:type="dxa"/>
            <w:vAlign w:val="bottom"/>
            <w:gridSpan w:val="2"/>
          </w:tcPr>
          <w:p>
            <w:pPr>
              <w:jc w:val="right"/>
              <w:ind w:right="65"/>
              <w:spacing w:after="0"/>
              <w:rPr>
                <w:sz w:val="20"/>
                <w:szCs w:val="20"/>
                <w:color w:val="auto"/>
              </w:rPr>
            </w:pPr>
            <w:r>
              <w:rPr>
                <w:rFonts w:ascii="Arial" w:cs="Arial" w:eastAsia="Arial" w:hAnsi="Arial"/>
                <w:sz w:val="15"/>
                <w:szCs w:val="15"/>
                <w:color w:val="auto"/>
              </w:rPr>
              <w:t>28.7</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5"/>
                <w:szCs w:val="15"/>
                <w:color w:val="auto"/>
              </w:rPr>
              <w:t>Equity and Warrants</w:t>
            </w:r>
          </w:p>
        </w:tc>
        <w:tc>
          <w:tcPr>
            <w:tcW w:w="1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61,204</w:t>
            </w:r>
          </w:p>
        </w:tc>
        <w:tc>
          <w:tcPr>
            <w:tcW w:w="1980" w:type="dxa"/>
            <w:vAlign w:val="bottom"/>
            <w:tcBorders>
              <w:right w:val="single" w:sz="8" w:color="CCFFCC"/>
            </w:tcBorders>
            <w:gridSpan w:val="3"/>
            <w:shd w:val="clear" w:color="auto" w:fill="CCFFCC"/>
          </w:tcPr>
          <w:p>
            <w:pPr>
              <w:ind w:left="1480"/>
              <w:spacing w:after="0"/>
              <w:rPr>
                <w:sz w:val="20"/>
                <w:szCs w:val="20"/>
                <w:color w:val="auto"/>
              </w:rPr>
            </w:pPr>
            <w:r>
              <w:rPr>
                <w:rFonts w:ascii="Arial" w:cs="Arial" w:eastAsia="Arial" w:hAnsi="Arial"/>
                <w:sz w:val="15"/>
                <w:szCs w:val="15"/>
                <w:color w:val="auto"/>
              </w:rPr>
              <w:t>15.2</w:t>
            </w:r>
          </w:p>
        </w:tc>
        <w:tc>
          <w:tcPr>
            <w:tcW w:w="140" w:type="dxa"/>
            <w:vAlign w:val="bottom"/>
            <w:shd w:val="clear" w:color="auto" w:fill="CCFFCC"/>
          </w:tcPr>
          <w:p>
            <w:pPr>
              <w:spacing w:after="0"/>
              <w:rPr>
                <w:sz w:val="15"/>
                <w:szCs w:val="15"/>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128,938</w:t>
            </w:r>
          </w:p>
        </w:tc>
        <w:tc>
          <w:tcPr>
            <w:tcW w:w="14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27.6</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5"/>
                <w:szCs w:val="15"/>
                <w:color w:val="auto"/>
              </w:rPr>
              <w:t>101,622</w:t>
            </w:r>
          </w:p>
        </w:tc>
        <w:tc>
          <w:tcPr>
            <w:tcW w:w="1980" w:type="dxa"/>
            <w:vAlign w:val="bottom"/>
            <w:gridSpan w:val="3"/>
          </w:tcPr>
          <w:p>
            <w:pPr>
              <w:ind w:left="1480"/>
              <w:spacing w:after="0"/>
              <w:rPr>
                <w:sz w:val="20"/>
                <w:szCs w:val="20"/>
                <w:color w:val="auto"/>
              </w:rPr>
            </w:pPr>
            <w:r>
              <w:rPr>
                <w:rFonts w:ascii="Arial" w:cs="Arial" w:eastAsia="Arial" w:hAnsi="Arial"/>
                <w:sz w:val="15"/>
                <w:szCs w:val="15"/>
                <w:color w:val="auto"/>
              </w:rPr>
              <w:t>25.2</w:t>
            </w:r>
          </w:p>
        </w:tc>
        <w:tc>
          <w:tcPr>
            <w:tcW w:w="14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101,622</w:t>
            </w:r>
          </w:p>
        </w:tc>
        <w:tc>
          <w:tcPr>
            <w:tcW w:w="1480" w:type="dxa"/>
            <w:vAlign w:val="bottom"/>
            <w:gridSpan w:val="2"/>
          </w:tcPr>
          <w:p>
            <w:pPr>
              <w:jc w:val="right"/>
              <w:ind w:right="65"/>
              <w:spacing w:after="0"/>
              <w:rPr>
                <w:sz w:val="20"/>
                <w:szCs w:val="20"/>
                <w:color w:val="auto"/>
              </w:rPr>
            </w:pPr>
            <w:r>
              <w:rPr>
                <w:rFonts w:ascii="Arial" w:cs="Arial" w:eastAsia="Arial" w:hAnsi="Arial"/>
                <w:sz w:val="15"/>
                <w:szCs w:val="15"/>
                <w:color w:val="auto"/>
              </w:rPr>
              <w:t>21.8</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760" w:type="dxa"/>
            <w:vAlign w:val="bottom"/>
            <w:vMerge w:val="restart"/>
            <w:shd w:val="clear" w:color="auto" w:fill="CCFFCC"/>
          </w:tcPr>
          <w:p>
            <w:pPr>
              <w:spacing w:after="0"/>
              <w:rPr>
                <w:sz w:val="20"/>
                <w:szCs w:val="20"/>
                <w:color w:val="auto"/>
              </w:rPr>
            </w:pPr>
            <w:r>
              <w:rPr>
                <w:rFonts w:ascii="Arial" w:cs="Arial" w:eastAsia="Arial" w:hAnsi="Arial"/>
                <w:sz w:val="15"/>
                <w:szCs w:val="15"/>
                <w:color w:val="auto"/>
              </w:rPr>
              <w:t>Total</w:t>
            </w:r>
          </w:p>
        </w:tc>
        <w:tc>
          <w:tcPr>
            <w:tcW w:w="11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vMerge w:val="restart"/>
            <w:shd w:val="clear" w:color="auto" w:fill="CCFFCC"/>
          </w:tcPr>
          <w:p>
            <w:pPr>
              <w:jc w:val="right"/>
              <w:ind w:right="25"/>
              <w:spacing w:after="0"/>
              <w:rPr>
                <w:sz w:val="20"/>
                <w:szCs w:val="20"/>
                <w:color w:val="auto"/>
              </w:rPr>
            </w:pPr>
            <w:r>
              <w:rPr>
                <w:rFonts w:ascii="Arial" w:cs="Arial" w:eastAsia="Arial" w:hAnsi="Arial"/>
                <w:sz w:val="15"/>
                <w:szCs w:val="15"/>
                <w:color w:val="auto"/>
                <w:w w:val="89"/>
              </w:rPr>
              <w:t>%</w:t>
            </w: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FFCC"/>
          </w:tcPr>
          <w:p>
            <w:pPr>
              <w:jc w:val="right"/>
              <w:spacing w:after="0"/>
              <w:rPr>
                <w:sz w:val="20"/>
                <w:szCs w:val="20"/>
                <w:color w:val="auto"/>
              </w:rPr>
            </w:pPr>
            <w:r>
              <w:rPr>
                <w:rFonts w:ascii="Arial" w:cs="Arial" w:eastAsia="Arial" w:hAnsi="Arial"/>
                <w:sz w:val="15"/>
                <w:szCs w:val="15"/>
                <w:color w:val="auto"/>
                <w:w w:val="74"/>
              </w:rPr>
              <w:t>%</w:t>
            </w: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60" w:type="dxa"/>
            <w:vAlign w:val="bottom"/>
          </w:tcPr>
          <w:p>
            <w:pPr>
              <w:spacing w:after="0"/>
              <w:rPr>
                <w:sz w:val="15"/>
                <w:szCs w:val="15"/>
                <w:color w:val="auto"/>
              </w:rPr>
            </w:pPr>
          </w:p>
        </w:tc>
        <w:tc>
          <w:tcPr>
            <w:tcW w:w="2760" w:type="dxa"/>
            <w:vAlign w:val="bottom"/>
            <w:vMerge w:val="continue"/>
            <w:shd w:val="clear" w:color="auto" w:fill="CCFFCC"/>
          </w:tcPr>
          <w:p>
            <w:pPr>
              <w:spacing w:after="0"/>
              <w:rPr>
                <w:sz w:val="15"/>
                <w:szCs w:val="15"/>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402,921</w:t>
            </w:r>
          </w:p>
        </w:tc>
        <w:tc>
          <w:tcPr>
            <w:tcW w:w="100" w:type="dxa"/>
            <w:vAlign w:val="bottom"/>
            <w:vMerge w:val="continue"/>
            <w:shd w:val="clear" w:color="auto" w:fill="CCFFCC"/>
          </w:tcPr>
          <w:p>
            <w:pPr>
              <w:spacing w:after="0"/>
              <w:rPr>
                <w:sz w:val="15"/>
                <w:szCs w:val="15"/>
                <w:color w:val="auto"/>
              </w:rPr>
            </w:pPr>
          </w:p>
        </w:tc>
        <w:tc>
          <w:tcPr>
            <w:tcW w:w="1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100.0</w:t>
            </w:r>
          </w:p>
        </w:tc>
        <w:tc>
          <w:tcPr>
            <w:tcW w:w="240" w:type="dxa"/>
            <w:vAlign w:val="bottom"/>
            <w:tcBorders>
              <w:right w:val="single" w:sz="8" w:color="CCFFCC"/>
            </w:tcBorders>
            <w:vMerge w:val="continue"/>
            <w:shd w:val="clear" w:color="auto" w:fill="CCFFCC"/>
          </w:tcPr>
          <w:p>
            <w:pPr>
              <w:spacing w:after="0"/>
              <w:rPr>
                <w:sz w:val="15"/>
                <w:szCs w:val="15"/>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466,341</w:t>
            </w:r>
          </w:p>
        </w:tc>
        <w:tc>
          <w:tcPr>
            <w:tcW w:w="13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100.0</w:t>
            </w:r>
          </w:p>
        </w:tc>
        <w:tc>
          <w:tcPr>
            <w:tcW w:w="140" w:type="dxa"/>
            <w:vAlign w:val="bottom"/>
            <w:vMerge w:val="continue"/>
            <w:shd w:val="clear" w:color="auto" w:fill="CCFFCC"/>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760" w:type="dxa"/>
            <w:vAlign w:val="bottom"/>
            <w:tcBorders>
              <w:top w:val="single" w:sz="8" w:color="CCFFCC"/>
            </w:tcBorders>
          </w:tcPr>
          <w:p>
            <w:pPr>
              <w:spacing w:after="0" w:line="20" w:lineRule="exact"/>
              <w:rPr>
                <w:sz w:val="1"/>
                <w:szCs w:val="1"/>
                <w:color w:val="auto"/>
              </w:rPr>
            </w:pPr>
          </w:p>
        </w:tc>
        <w:tc>
          <w:tcPr>
            <w:tcW w:w="1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1445"/>
              <w:spacing w:after="0"/>
              <w:rPr>
                <w:sz w:val="20"/>
                <w:szCs w:val="20"/>
                <w:color w:val="auto"/>
              </w:rPr>
            </w:pPr>
            <w:r>
              <w:rPr>
                <w:rFonts w:ascii="Arial" w:cs="Arial" w:eastAsia="Arial" w:hAnsi="Arial"/>
                <w:sz w:val="15"/>
                <w:szCs w:val="15"/>
                <w:color w:val="auto"/>
              </w:rPr>
              <w:t>60</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62" w:right="219" w:bottom="1440" w:gutter="0" w:footer="0" w:header="0"/>
        </w:sectPr>
      </w:pPr>
    </w:p>
    <w:bookmarkStart w:id="61" w:name="page62"/>
    <w:bookmarkEnd w:id="61"/>
    <w:p>
      <w:pPr>
        <w:ind w:left="540"/>
        <w:spacing w:after="0"/>
        <w:rPr>
          <w:sz w:val="20"/>
          <w:szCs w:val="20"/>
          <w:color w:val="auto"/>
        </w:rPr>
      </w:pPr>
      <w:r>
        <w:rPr>
          <w:rFonts w:ascii="Arial" w:cs="Arial" w:eastAsia="Arial" w:hAnsi="Arial"/>
          <w:sz w:val="14"/>
          <w:szCs w:val="14"/>
          <w:color w:val="auto"/>
        </w:rPr>
        <w:t>The following table summarizes the amortized cost and the fair value of investments and cash and cash equivalents as of December 31, 2012 (dollars in thousands):</w:t>
      </w:r>
    </w:p>
    <w:p>
      <w:pPr>
        <w:spacing w:after="0" w:line="197" w:lineRule="exact"/>
        <w:rPr>
          <w:sz w:val="20"/>
          <w:szCs w:val="20"/>
          <w:color w:val="auto"/>
        </w:rPr>
      </w:pPr>
    </w:p>
    <w:tbl>
      <w:tblPr>
        <w:tblLayout w:type="fixed"/>
        <w:tblInd w:w="260" w:type="dxa"/>
        <w:tblCellMar>
          <w:top w:w="0" w:type="dxa"/>
          <w:left w:w="0" w:type="dxa"/>
          <w:bottom w:w="0" w:type="dxa"/>
          <w:right w:w="0" w:type="dxa"/>
        </w:tblCellMar>
      </w:tblPr>
      <w:tr>
        <w:trPr>
          <w:trHeight w:val="181"/>
        </w:trPr>
        <w:tc>
          <w:tcPr>
            <w:tcW w:w="2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2"/>
          </w:tcPr>
          <w:p>
            <w:pPr>
              <w:jc w:val="center"/>
              <w:ind w:right="145"/>
              <w:spacing w:after="0"/>
              <w:rPr>
                <w:sz w:val="20"/>
                <w:szCs w:val="20"/>
                <w:color w:val="auto"/>
              </w:rPr>
            </w:pPr>
            <w:r>
              <w:rPr>
                <w:rFonts w:ascii="Arial" w:cs="Arial" w:eastAsia="Arial" w:hAnsi="Arial"/>
                <w:sz w:val="15"/>
                <w:szCs w:val="15"/>
                <w:b w:val="1"/>
                <w:bCs w:val="1"/>
                <w:color w:val="auto"/>
                <w:w w:val="91"/>
              </w:rPr>
              <w:t>Amortized Cost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center"/>
              <w:ind w:right="65"/>
              <w:spacing w:after="0"/>
              <w:rPr>
                <w:sz w:val="20"/>
                <w:szCs w:val="20"/>
                <w:color w:val="auto"/>
              </w:rPr>
            </w:pPr>
            <w:r>
              <w:rPr>
                <w:rFonts w:ascii="Arial" w:cs="Arial" w:eastAsia="Arial" w:hAnsi="Arial"/>
                <w:sz w:val="15"/>
                <w:szCs w:val="15"/>
                <w:b w:val="1"/>
                <w:bCs w:val="1"/>
                <w:color w:val="auto"/>
                <w:w w:val="91"/>
              </w:rPr>
              <w:t>Fair Value</w:t>
            </w:r>
          </w:p>
        </w:tc>
        <w:tc>
          <w:tcPr>
            <w:tcW w:w="0" w:type="dxa"/>
            <w:vAlign w:val="bottom"/>
          </w:tcPr>
          <w:p>
            <w:pPr>
              <w:spacing w:after="0"/>
              <w:rPr>
                <w:sz w:val="1"/>
                <w:szCs w:val="1"/>
                <w:color w:val="auto"/>
              </w:rPr>
            </w:pPr>
          </w:p>
        </w:tc>
      </w:tr>
      <w:tr>
        <w:trPr>
          <w:trHeight w:val="181"/>
        </w:trPr>
        <w:tc>
          <w:tcPr>
            <w:tcW w:w="2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5"/>
              </w:rPr>
              <w:t>Investments at</w:t>
            </w:r>
          </w:p>
        </w:tc>
        <w:tc>
          <w:tcPr>
            <w:tcW w:w="1880" w:type="dxa"/>
            <w:vAlign w:val="bottom"/>
            <w:gridSpan w:val="2"/>
          </w:tcPr>
          <w:p>
            <w:pPr>
              <w:jc w:val="center"/>
              <w:ind w:right="145"/>
              <w:spacing w:after="0"/>
              <w:rPr>
                <w:sz w:val="20"/>
                <w:szCs w:val="20"/>
                <w:color w:val="auto"/>
              </w:rPr>
            </w:pPr>
            <w:r>
              <w:rPr>
                <w:rFonts w:ascii="Arial" w:cs="Arial" w:eastAsia="Arial" w:hAnsi="Arial"/>
                <w:sz w:val="15"/>
                <w:szCs w:val="15"/>
                <w:b w:val="1"/>
                <w:bCs w:val="1"/>
                <w:color w:val="auto"/>
                <w:w w:val="86"/>
              </w:rPr>
              <w:t>Percentage of</w:t>
            </w:r>
          </w:p>
        </w:tc>
        <w:tc>
          <w:tcPr>
            <w:tcW w:w="140" w:type="dxa"/>
            <w:vAlign w:val="bottom"/>
          </w:tcPr>
          <w:p>
            <w:pPr>
              <w:spacing w:after="0"/>
              <w:rPr>
                <w:sz w:val="15"/>
                <w:szCs w:val="15"/>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3"/>
              </w:rPr>
              <w:t>Investments at</w:t>
            </w:r>
          </w:p>
        </w:tc>
        <w:tc>
          <w:tcPr>
            <w:tcW w:w="1480" w:type="dxa"/>
            <w:vAlign w:val="bottom"/>
            <w:gridSpan w:val="2"/>
          </w:tcPr>
          <w:p>
            <w:pPr>
              <w:jc w:val="center"/>
              <w:ind w:right="65"/>
              <w:spacing w:after="0"/>
              <w:rPr>
                <w:sz w:val="20"/>
                <w:szCs w:val="20"/>
                <w:color w:val="auto"/>
              </w:rPr>
            </w:pPr>
            <w:r>
              <w:rPr>
                <w:rFonts w:ascii="Arial" w:cs="Arial" w:eastAsia="Arial" w:hAnsi="Arial"/>
                <w:sz w:val="15"/>
                <w:szCs w:val="15"/>
                <w:b w:val="1"/>
                <w:bCs w:val="1"/>
                <w:color w:val="auto"/>
                <w:w w:val="86"/>
              </w:rPr>
              <w:t>Percentage of</w:t>
            </w:r>
          </w:p>
        </w:tc>
        <w:tc>
          <w:tcPr>
            <w:tcW w:w="0" w:type="dxa"/>
            <w:vAlign w:val="bottom"/>
          </w:tcPr>
          <w:p>
            <w:pPr>
              <w:spacing w:after="0"/>
              <w:rPr>
                <w:sz w:val="1"/>
                <w:szCs w:val="1"/>
                <w:color w:val="auto"/>
              </w:rPr>
            </w:pPr>
          </w:p>
        </w:tc>
      </w:tr>
      <w:tr>
        <w:trPr>
          <w:trHeight w:val="195"/>
        </w:trPr>
        <w:tc>
          <w:tcPr>
            <w:tcW w:w="2760" w:type="dxa"/>
            <w:vAlign w:val="bottom"/>
            <w:tcBorders>
              <w:bottom w:val="single" w:sz="8" w:color="CCFFCC"/>
            </w:tcBorders>
          </w:tcPr>
          <w:p>
            <w:pPr>
              <w:spacing w:after="0"/>
              <w:rPr>
                <w:sz w:val="16"/>
                <w:szCs w:val="16"/>
                <w:color w:val="auto"/>
              </w:rPr>
            </w:pPr>
          </w:p>
        </w:tc>
        <w:tc>
          <w:tcPr>
            <w:tcW w:w="1120" w:type="dxa"/>
            <w:vAlign w:val="bottom"/>
            <w:tcBorders>
              <w:bottom w:val="single" w:sz="8" w:color="CCFFC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93"/>
              </w:rPr>
              <w:t>Amortized Cost</w:t>
            </w:r>
          </w:p>
        </w:tc>
        <w:tc>
          <w:tcPr>
            <w:tcW w:w="200" w:type="dxa"/>
            <w:vAlign w:val="bottom"/>
            <w:tcBorders>
              <w:bottom w:val="single" w:sz="8" w:color="CCFFCC"/>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Total Portfolio</w:t>
            </w:r>
          </w:p>
        </w:tc>
        <w:tc>
          <w:tcPr>
            <w:tcW w:w="240" w:type="dxa"/>
            <w:vAlign w:val="bottom"/>
            <w:tcBorders>
              <w:bottom w:val="single" w:sz="8" w:color="CCFFC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Fair Value</w:t>
            </w:r>
          </w:p>
        </w:tc>
        <w:tc>
          <w:tcPr>
            <w:tcW w:w="200" w:type="dxa"/>
            <w:vAlign w:val="bottom"/>
            <w:tcBorders>
              <w:bottom w:val="single" w:sz="8" w:color="CCFFCC"/>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Total Portfolio</w:t>
            </w:r>
          </w:p>
        </w:tc>
        <w:tc>
          <w:tcPr>
            <w:tcW w:w="140" w:type="dxa"/>
            <w:vAlign w:val="bottom"/>
            <w:tcBorders>
              <w:bottom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760" w:type="dxa"/>
            <w:vAlign w:val="bottom"/>
            <w:shd w:val="clear" w:color="auto" w:fill="CCFFCC"/>
          </w:tcPr>
          <w:p>
            <w:pPr>
              <w:spacing w:after="0"/>
              <w:rPr>
                <w:sz w:val="20"/>
                <w:szCs w:val="20"/>
                <w:color w:val="auto"/>
              </w:rPr>
            </w:pPr>
            <w:r>
              <w:rPr>
                <w:rFonts w:ascii="Arial" w:cs="Arial" w:eastAsia="Arial" w:hAnsi="Arial"/>
                <w:sz w:val="15"/>
                <w:szCs w:val="15"/>
                <w:color w:val="auto"/>
              </w:rPr>
              <w:t>Senior Secured Debt</w:t>
            </w:r>
          </w:p>
        </w:tc>
        <w:tc>
          <w:tcPr>
            <w:tcW w:w="1120" w:type="dxa"/>
            <w:vAlign w:val="bottom"/>
            <w:shd w:val="clear" w:color="auto" w:fill="CCFFCC"/>
          </w:tcPr>
          <w:p>
            <w:pPr>
              <w:spacing w:after="0"/>
              <w:rPr>
                <w:sz w:val="15"/>
                <w:szCs w:val="15"/>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72,728</w:t>
            </w:r>
          </w:p>
        </w:tc>
        <w:tc>
          <w:tcPr>
            <w:tcW w:w="200" w:type="dxa"/>
            <w:vAlign w:val="bottom"/>
            <w:shd w:val="clear" w:color="auto" w:fill="CCFFCC"/>
          </w:tcPr>
          <w:p>
            <w:pPr>
              <w:spacing w:after="0"/>
              <w:rPr>
                <w:sz w:val="15"/>
                <w:szCs w:val="15"/>
                <w:color w:val="auto"/>
              </w:rPr>
            </w:pPr>
          </w:p>
        </w:tc>
        <w:tc>
          <w:tcPr>
            <w:tcW w:w="1880" w:type="dxa"/>
            <w:vAlign w:val="bottom"/>
            <w:tcBorders>
              <w:right w:val="single" w:sz="8" w:color="CCFFCC"/>
            </w:tcBorders>
            <w:gridSpan w:val="2"/>
            <w:shd w:val="clear" w:color="auto" w:fill="CCFFCC"/>
          </w:tcPr>
          <w:p>
            <w:pPr>
              <w:ind w:left="1380"/>
              <w:spacing w:after="0"/>
              <w:rPr>
                <w:sz w:val="20"/>
                <w:szCs w:val="20"/>
                <w:color w:val="auto"/>
              </w:rPr>
            </w:pPr>
            <w:r>
              <w:rPr>
                <w:rFonts w:ascii="Arial" w:cs="Arial" w:eastAsia="Arial" w:hAnsi="Arial"/>
                <w:sz w:val="15"/>
                <w:szCs w:val="15"/>
                <w:color w:val="auto"/>
              </w:rPr>
              <w:t>28.2%</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73,861</w:t>
            </w:r>
          </w:p>
        </w:tc>
        <w:tc>
          <w:tcPr>
            <w:tcW w:w="200" w:type="dxa"/>
            <w:vAlign w:val="bottom"/>
            <w:shd w:val="clear" w:color="auto" w:fill="CCFFCC"/>
          </w:tcPr>
          <w:p>
            <w:pPr>
              <w:spacing w:after="0"/>
              <w:rPr>
                <w:sz w:val="15"/>
                <w:szCs w:val="15"/>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rPr>
              <w:t>23.5%</w:t>
            </w:r>
          </w:p>
        </w:tc>
        <w:tc>
          <w:tcPr>
            <w:tcW w:w="0" w:type="dxa"/>
            <w:vAlign w:val="bottom"/>
          </w:tcPr>
          <w:p>
            <w:pPr>
              <w:spacing w:after="0"/>
              <w:rPr>
                <w:sz w:val="1"/>
                <w:szCs w:val="1"/>
                <w:color w:val="auto"/>
              </w:rPr>
            </w:pPr>
          </w:p>
        </w:tc>
      </w:tr>
      <w:tr>
        <w:trPr>
          <w:trHeight w:val="181"/>
        </w:trPr>
        <w:tc>
          <w:tcPr>
            <w:tcW w:w="2760" w:type="dxa"/>
            <w:vAlign w:val="bottom"/>
          </w:tcPr>
          <w:p>
            <w:pPr>
              <w:spacing w:after="0"/>
              <w:rPr>
                <w:sz w:val="20"/>
                <w:szCs w:val="20"/>
                <w:color w:val="auto"/>
              </w:rPr>
            </w:pPr>
            <w:r>
              <w:rPr>
                <w:rFonts w:ascii="Arial" w:cs="Arial" w:eastAsia="Arial" w:hAnsi="Arial"/>
                <w:sz w:val="15"/>
                <w:szCs w:val="15"/>
                <w:color w:val="auto"/>
              </w:rPr>
              <w:t>Subordinated Debt</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109,030</w:t>
            </w:r>
          </w:p>
        </w:tc>
        <w:tc>
          <w:tcPr>
            <w:tcW w:w="1880" w:type="dxa"/>
            <w:vAlign w:val="bottom"/>
            <w:gridSpan w:val="2"/>
          </w:tcPr>
          <w:p>
            <w:pPr>
              <w:ind w:left="1380"/>
              <w:spacing w:after="0"/>
              <w:rPr>
                <w:sz w:val="20"/>
                <w:szCs w:val="20"/>
                <w:color w:val="auto"/>
              </w:rPr>
            </w:pPr>
            <w:r>
              <w:rPr>
                <w:rFonts w:ascii="Arial" w:cs="Arial" w:eastAsia="Arial" w:hAnsi="Arial"/>
                <w:sz w:val="15"/>
                <w:szCs w:val="15"/>
                <w:color w:val="auto"/>
              </w:rPr>
              <w:t>42.2</w:t>
            </w:r>
          </w:p>
        </w:tc>
        <w:tc>
          <w:tcPr>
            <w:tcW w:w="1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101,659</w:t>
            </w:r>
          </w:p>
        </w:tc>
        <w:tc>
          <w:tcPr>
            <w:tcW w:w="1480" w:type="dxa"/>
            <w:vAlign w:val="bottom"/>
            <w:gridSpan w:val="2"/>
          </w:tcPr>
          <w:p>
            <w:pPr>
              <w:jc w:val="right"/>
              <w:ind w:right="65"/>
              <w:spacing w:after="0"/>
              <w:rPr>
                <w:sz w:val="20"/>
                <w:szCs w:val="20"/>
                <w:color w:val="auto"/>
              </w:rPr>
            </w:pPr>
            <w:r>
              <w:rPr>
                <w:rFonts w:ascii="Arial" w:cs="Arial" w:eastAsia="Arial" w:hAnsi="Arial"/>
                <w:sz w:val="15"/>
                <w:szCs w:val="15"/>
                <w:color w:val="auto"/>
              </w:rPr>
              <w:t>32.3</w:t>
            </w:r>
          </w:p>
        </w:tc>
        <w:tc>
          <w:tcPr>
            <w:tcW w:w="0" w:type="dxa"/>
            <w:vAlign w:val="bottom"/>
          </w:tcPr>
          <w:p>
            <w:pPr>
              <w:spacing w:after="0"/>
              <w:rPr>
                <w:sz w:val="1"/>
                <w:szCs w:val="1"/>
                <w:color w:val="auto"/>
              </w:rPr>
            </w:pPr>
          </w:p>
        </w:tc>
      </w:tr>
      <w:tr>
        <w:trPr>
          <w:trHeight w:val="181"/>
        </w:trPr>
        <w:tc>
          <w:tcPr>
            <w:tcW w:w="2760" w:type="dxa"/>
            <w:vAlign w:val="bottom"/>
            <w:shd w:val="clear" w:color="auto" w:fill="CCFFCC"/>
          </w:tcPr>
          <w:p>
            <w:pPr>
              <w:spacing w:after="0"/>
              <w:rPr>
                <w:sz w:val="20"/>
                <w:szCs w:val="20"/>
                <w:color w:val="auto"/>
              </w:rPr>
            </w:pPr>
            <w:r>
              <w:rPr>
                <w:rFonts w:ascii="Arial" w:cs="Arial" w:eastAsia="Arial" w:hAnsi="Arial"/>
                <w:sz w:val="15"/>
                <w:szCs w:val="15"/>
                <w:color w:val="auto"/>
              </w:rPr>
              <w:t>Equity and Warrants</w:t>
            </w:r>
          </w:p>
        </w:tc>
        <w:tc>
          <w:tcPr>
            <w:tcW w:w="1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45,940</w:t>
            </w:r>
          </w:p>
        </w:tc>
        <w:tc>
          <w:tcPr>
            <w:tcW w:w="1880" w:type="dxa"/>
            <w:vAlign w:val="bottom"/>
            <w:tcBorders>
              <w:right w:val="single" w:sz="8" w:color="CCFFCC"/>
            </w:tcBorders>
            <w:gridSpan w:val="2"/>
            <w:shd w:val="clear" w:color="auto" w:fill="CCFFCC"/>
          </w:tcPr>
          <w:p>
            <w:pPr>
              <w:ind w:left="1380"/>
              <w:spacing w:after="0"/>
              <w:rPr>
                <w:sz w:val="20"/>
                <w:szCs w:val="20"/>
                <w:color w:val="auto"/>
              </w:rPr>
            </w:pPr>
            <w:r>
              <w:rPr>
                <w:rFonts w:ascii="Arial" w:cs="Arial" w:eastAsia="Arial" w:hAnsi="Arial"/>
                <w:sz w:val="15"/>
                <w:szCs w:val="15"/>
                <w:color w:val="auto"/>
              </w:rPr>
              <w:t>17.8</w:t>
            </w:r>
          </w:p>
        </w:tc>
        <w:tc>
          <w:tcPr>
            <w:tcW w:w="140" w:type="dxa"/>
            <w:vAlign w:val="bottom"/>
            <w:shd w:val="clear" w:color="auto" w:fill="CCFFCC"/>
          </w:tcPr>
          <w:p>
            <w:pPr>
              <w:spacing w:after="0"/>
              <w:rPr>
                <w:sz w:val="15"/>
                <w:szCs w:val="15"/>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108,411</w:t>
            </w:r>
          </w:p>
        </w:tc>
        <w:tc>
          <w:tcPr>
            <w:tcW w:w="14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34.5</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30,467</w:t>
            </w:r>
          </w:p>
        </w:tc>
        <w:tc>
          <w:tcPr>
            <w:tcW w:w="1880" w:type="dxa"/>
            <w:vAlign w:val="bottom"/>
            <w:gridSpan w:val="2"/>
          </w:tcPr>
          <w:p>
            <w:pPr>
              <w:ind w:left="1400"/>
              <w:spacing w:after="0"/>
              <w:rPr>
                <w:sz w:val="20"/>
                <w:szCs w:val="20"/>
                <w:color w:val="auto"/>
              </w:rPr>
            </w:pPr>
            <w:r>
              <w:rPr>
                <w:rFonts w:ascii="Arial" w:cs="Arial" w:eastAsia="Arial" w:hAnsi="Arial"/>
                <w:sz w:val="15"/>
                <w:szCs w:val="15"/>
                <w:color w:val="auto"/>
              </w:rPr>
              <w:t>11.8</w:t>
            </w:r>
          </w:p>
        </w:tc>
        <w:tc>
          <w:tcPr>
            <w:tcW w:w="14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30,467</w:t>
            </w:r>
          </w:p>
        </w:tc>
        <w:tc>
          <w:tcPr>
            <w:tcW w:w="1480" w:type="dxa"/>
            <w:vAlign w:val="bottom"/>
            <w:gridSpan w:val="2"/>
          </w:tcPr>
          <w:p>
            <w:pPr>
              <w:jc w:val="right"/>
              <w:ind w:right="65"/>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20"/>
        </w:trPr>
        <w:tc>
          <w:tcPr>
            <w:tcW w:w="2760" w:type="dxa"/>
            <w:vAlign w:val="bottom"/>
            <w:vMerge w:val="restart"/>
            <w:shd w:val="clear" w:color="auto" w:fill="CCFFCC"/>
          </w:tcPr>
          <w:p>
            <w:pPr>
              <w:spacing w:after="0"/>
              <w:rPr>
                <w:sz w:val="20"/>
                <w:szCs w:val="20"/>
                <w:color w:val="auto"/>
              </w:rPr>
            </w:pPr>
            <w:r>
              <w:rPr>
                <w:rFonts w:ascii="Arial" w:cs="Arial" w:eastAsia="Arial" w:hAnsi="Arial"/>
                <w:sz w:val="15"/>
                <w:szCs w:val="15"/>
                <w:color w:val="auto"/>
              </w:rPr>
              <w:t>Total</w:t>
            </w:r>
          </w:p>
        </w:tc>
        <w:tc>
          <w:tcPr>
            <w:tcW w:w="11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vMerge w:val="restart"/>
            <w:shd w:val="clear" w:color="auto" w:fill="CCFFCC"/>
          </w:tcPr>
          <w:p>
            <w:pPr>
              <w:jc w:val="right"/>
              <w:ind w:right="25"/>
              <w:spacing w:after="0"/>
              <w:rPr>
                <w:sz w:val="20"/>
                <w:szCs w:val="20"/>
                <w:color w:val="auto"/>
              </w:rPr>
            </w:pPr>
            <w:r>
              <w:rPr>
                <w:rFonts w:ascii="Arial" w:cs="Arial" w:eastAsia="Arial" w:hAnsi="Arial"/>
                <w:sz w:val="15"/>
                <w:szCs w:val="15"/>
                <w:color w:val="auto"/>
                <w:w w:val="89"/>
              </w:rPr>
              <w:t>%</w:t>
            </w: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FFCC"/>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line="20" w:lineRule="exact"/>
              <w:rPr>
                <w:sz w:val="1"/>
                <w:szCs w:val="1"/>
                <w:color w:val="auto"/>
              </w:rPr>
            </w:pPr>
          </w:p>
        </w:tc>
      </w:tr>
      <w:tr>
        <w:trPr>
          <w:trHeight w:val="184"/>
        </w:trPr>
        <w:tc>
          <w:tcPr>
            <w:tcW w:w="2760" w:type="dxa"/>
            <w:vAlign w:val="bottom"/>
            <w:vMerge w:val="continue"/>
            <w:shd w:val="clear" w:color="auto" w:fill="CCFFCC"/>
          </w:tcPr>
          <w:p>
            <w:pPr>
              <w:spacing w:after="0"/>
              <w:rPr>
                <w:sz w:val="15"/>
                <w:szCs w:val="15"/>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258,165</w:t>
            </w:r>
          </w:p>
        </w:tc>
        <w:tc>
          <w:tcPr>
            <w:tcW w:w="1640" w:type="dxa"/>
            <w:vAlign w:val="bottom"/>
            <w:shd w:val="clear" w:color="auto" w:fill="CCFFCC"/>
          </w:tcPr>
          <w:p>
            <w:pPr>
              <w:ind w:left="1300"/>
              <w:spacing w:after="0"/>
              <w:rPr>
                <w:sz w:val="20"/>
                <w:szCs w:val="20"/>
                <w:color w:val="auto"/>
              </w:rPr>
            </w:pPr>
            <w:r>
              <w:rPr>
                <w:rFonts w:ascii="Arial" w:cs="Arial" w:eastAsia="Arial" w:hAnsi="Arial"/>
                <w:sz w:val="15"/>
                <w:szCs w:val="15"/>
                <w:color w:val="auto"/>
                <w:w w:val="85"/>
              </w:rPr>
              <w:t>100.0</w:t>
            </w:r>
          </w:p>
        </w:tc>
        <w:tc>
          <w:tcPr>
            <w:tcW w:w="240" w:type="dxa"/>
            <w:vAlign w:val="bottom"/>
            <w:tcBorders>
              <w:right w:val="single" w:sz="8" w:color="CCFFCC"/>
            </w:tcBorders>
            <w:vMerge w:val="continue"/>
            <w:shd w:val="clear" w:color="auto" w:fill="CCFFCC"/>
          </w:tcPr>
          <w:p>
            <w:pPr>
              <w:spacing w:after="0"/>
              <w:rPr>
                <w:sz w:val="15"/>
                <w:szCs w:val="15"/>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314,398</w:t>
            </w:r>
          </w:p>
        </w:tc>
        <w:tc>
          <w:tcPr>
            <w:tcW w:w="13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100.0</w:t>
            </w:r>
          </w:p>
        </w:tc>
        <w:tc>
          <w:tcPr>
            <w:tcW w:w="140" w:type="dxa"/>
            <w:vAlign w:val="bottom"/>
            <w:vMerge w:val="continue"/>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FFCC"/>
            </w:tcBorders>
          </w:tcPr>
          <w:p>
            <w:pPr>
              <w:spacing w:after="0" w:line="20" w:lineRule="exact"/>
              <w:rPr>
                <w:sz w:val="1"/>
                <w:szCs w:val="1"/>
                <w:color w:val="auto"/>
              </w:rPr>
            </w:pPr>
          </w:p>
        </w:tc>
        <w:tc>
          <w:tcPr>
            <w:tcW w:w="1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120" w:firstLine="738"/>
        <w:spacing w:after="0" w:line="264" w:lineRule="auto"/>
        <w:rPr>
          <w:sz w:val="20"/>
          <w:szCs w:val="20"/>
          <w:color w:val="auto"/>
        </w:rPr>
      </w:pPr>
      <w:r>
        <w:rPr>
          <w:rFonts w:ascii="Arial" w:cs="Arial" w:eastAsia="Arial" w:hAnsi="Arial"/>
          <w:sz w:val="15"/>
          <w:szCs w:val="15"/>
          <w:color w:val="auto"/>
        </w:rPr>
        <w:t>As of December 31, 2013, our income-bearing investment portfolio, which represented nearly 65% of our total portfolio, had a weighted average yield of approximately 13.7% all bearing a fixed rate of interest. As of December 31, 2012, our income-bearing investment portfolio, which represented nearly 62% of our total portfolio, had a weighted average yield of approximately 13.5% all bearing a fixed rate of interest.</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following table shows the portfolio composition by industry grouping at fair value (dollars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jc w:val="right"/>
              <w:ind w:right="785"/>
              <w:spacing w:after="0"/>
              <w:rPr>
                <w:sz w:val="20"/>
                <w:szCs w:val="20"/>
                <w:color w:val="auto"/>
              </w:rPr>
            </w:pPr>
            <w:r>
              <w:rPr>
                <w:rFonts w:ascii="Arial" w:cs="Arial" w:eastAsia="Arial" w:hAnsi="Arial"/>
                <w:sz w:val="15"/>
                <w:szCs w:val="15"/>
                <w:b w:val="1"/>
                <w:bCs w:val="1"/>
                <w:color w:val="auto"/>
              </w:rPr>
              <w:t>December 31, 2013</w:t>
            </w:r>
          </w:p>
        </w:tc>
        <w:tc>
          <w:tcPr>
            <w:tcW w:w="120" w:type="dxa"/>
            <w:vAlign w:val="bottom"/>
          </w:tcPr>
          <w:p>
            <w:pPr>
              <w:spacing w:after="0"/>
              <w:rPr>
                <w:sz w:val="16"/>
                <w:szCs w:val="16"/>
                <w:color w:val="auto"/>
              </w:rPr>
            </w:pPr>
          </w:p>
        </w:tc>
        <w:tc>
          <w:tcPr>
            <w:tcW w:w="2480" w:type="dxa"/>
            <w:vAlign w:val="bottom"/>
            <w:gridSpan w:val="4"/>
          </w:tcPr>
          <w:p>
            <w:pPr>
              <w:jc w:val="right"/>
              <w:ind w:right="685"/>
              <w:spacing w:after="0"/>
              <w:rPr>
                <w:sz w:val="20"/>
                <w:szCs w:val="20"/>
                <w:color w:val="auto"/>
              </w:rPr>
            </w:pPr>
            <w:r>
              <w:rPr>
                <w:rFonts w:ascii="Arial" w:cs="Arial" w:eastAsia="Arial" w:hAnsi="Arial"/>
                <w:sz w:val="15"/>
                <w:szCs w:val="15"/>
                <w:b w:val="1"/>
                <w:bCs w:val="1"/>
                <w:color w:val="auto"/>
              </w:rPr>
              <w:t>December 31, 2012</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b w:val="1"/>
                <w:bCs w:val="1"/>
                <w:color w:val="auto"/>
                <w:w w:val="86"/>
              </w:rPr>
              <w:t>Percentage</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b w:val="1"/>
                <w:bCs w:val="1"/>
                <w:color w:val="auto"/>
                <w:w w:val="86"/>
              </w:rPr>
              <w:t>Percentage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Investments</w:t>
            </w:r>
          </w:p>
        </w:tc>
        <w:tc>
          <w:tcPr>
            <w:tcW w:w="1380" w:type="dxa"/>
            <w:vAlign w:val="bottom"/>
            <w:gridSpan w:val="2"/>
          </w:tcPr>
          <w:p>
            <w:pPr>
              <w:jc w:val="center"/>
              <w:ind w:right="165"/>
              <w:spacing w:after="0"/>
              <w:rPr>
                <w:sz w:val="20"/>
                <w:szCs w:val="20"/>
                <w:color w:val="auto"/>
              </w:rPr>
            </w:pPr>
            <w:r>
              <w:rPr>
                <w:rFonts w:ascii="Arial" w:cs="Arial" w:eastAsia="Arial" w:hAnsi="Arial"/>
                <w:sz w:val="15"/>
                <w:szCs w:val="15"/>
                <w:b w:val="1"/>
                <w:bCs w:val="1"/>
                <w:color w:val="auto"/>
                <w:w w:val="98"/>
              </w:rPr>
              <w:t>of</w:t>
            </w:r>
          </w:p>
        </w:tc>
        <w:tc>
          <w:tcPr>
            <w:tcW w:w="1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Investments</w:t>
            </w:r>
          </w:p>
        </w:tc>
        <w:tc>
          <w:tcPr>
            <w:tcW w:w="1280" w:type="dxa"/>
            <w:vAlign w:val="bottom"/>
            <w:gridSpan w:val="2"/>
          </w:tcPr>
          <w:p>
            <w:pPr>
              <w:jc w:val="center"/>
              <w:ind w:right="45"/>
              <w:spacing w:after="0"/>
              <w:rPr>
                <w:sz w:val="20"/>
                <w:szCs w:val="20"/>
                <w:color w:val="auto"/>
              </w:rPr>
            </w:pPr>
            <w:r>
              <w:rPr>
                <w:rFonts w:ascii="Arial" w:cs="Arial" w:eastAsia="Arial" w:hAnsi="Arial"/>
                <w:sz w:val="15"/>
                <w:szCs w:val="15"/>
                <w:b w:val="1"/>
                <w:bCs w:val="1"/>
                <w:color w:val="auto"/>
                <w:w w:val="84"/>
              </w:rPr>
              <w:t>of</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9"/>
              </w:rPr>
              <w:t>at</w:t>
            </w:r>
          </w:p>
        </w:tc>
        <w:tc>
          <w:tcPr>
            <w:tcW w:w="1380" w:type="dxa"/>
            <w:vAlign w:val="bottom"/>
            <w:gridSpan w:val="2"/>
          </w:tcPr>
          <w:p>
            <w:pPr>
              <w:jc w:val="center"/>
              <w:ind w:right="165"/>
              <w:spacing w:after="0"/>
              <w:rPr>
                <w:sz w:val="20"/>
                <w:szCs w:val="20"/>
                <w:color w:val="auto"/>
              </w:rPr>
            </w:pPr>
            <w:r>
              <w:rPr>
                <w:rFonts w:ascii="Arial" w:cs="Arial" w:eastAsia="Arial" w:hAnsi="Arial"/>
                <w:sz w:val="15"/>
                <w:szCs w:val="15"/>
                <w:b w:val="1"/>
                <w:bCs w:val="1"/>
                <w:color w:val="auto"/>
                <w:w w:val="94"/>
              </w:rPr>
              <w:t>Total</w:t>
            </w:r>
          </w:p>
        </w:tc>
        <w:tc>
          <w:tcPr>
            <w:tcW w:w="1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9"/>
              </w:rPr>
              <w:t>at</w:t>
            </w:r>
          </w:p>
        </w:tc>
        <w:tc>
          <w:tcPr>
            <w:tcW w:w="1280" w:type="dxa"/>
            <w:vAlign w:val="bottom"/>
            <w:gridSpan w:val="2"/>
          </w:tcPr>
          <w:p>
            <w:pPr>
              <w:jc w:val="center"/>
              <w:ind w:right="65"/>
              <w:spacing w:after="0"/>
              <w:rPr>
                <w:sz w:val="20"/>
                <w:szCs w:val="20"/>
                <w:color w:val="auto"/>
              </w:rPr>
            </w:pPr>
            <w:r>
              <w:rPr>
                <w:rFonts w:ascii="Arial" w:cs="Arial" w:eastAsia="Arial" w:hAnsi="Arial"/>
                <w:sz w:val="15"/>
                <w:szCs w:val="15"/>
                <w:b w:val="1"/>
                <w:bCs w:val="1"/>
                <w:color w:val="auto"/>
                <w:w w:val="94"/>
              </w:rPr>
              <w:t>Total</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3940" w:type="dxa"/>
            <w:vAlign w:val="bottom"/>
            <w:tcBorders>
              <w:bottom w:val="single" w:sz="8" w:color="CCFFCC"/>
            </w:tcBorders>
          </w:tcPr>
          <w:p>
            <w:pPr>
              <w:spacing w:after="0"/>
              <w:rPr>
                <w:sz w:val="16"/>
                <w:szCs w:val="16"/>
                <w:color w:val="auto"/>
              </w:rPr>
            </w:pPr>
          </w:p>
        </w:tc>
        <w:tc>
          <w:tcPr>
            <w:tcW w:w="1060" w:type="dxa"/>
            <w:vAlign w:val="bottom"/>
            <w:tcBorders>
              <w:bottom w:val="single" w:sz="8" w:color="CCFFC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b w:val="1"/>
                <w:bCs w:val="1"/>
                <w:color w:val="auto"/>
                <w:w w:val="94"/>
              </w:rPr>
              <w:t>Fair Value</w:t>
            </w:r>
          </w:p>
        </w:tc>
        <w:tc>
          <w:tcPr>
            <w:tcW w:w="200" w:type="dxa"/>
            <w:vAlign w:val="bottom"/>
            <w:tcBorders>
              <w:bottom w:val="single" w:sz="8" w:color="CCFFCC"/>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Portfolio</w:t>
            </w:r>
          </w:p>
        </w:tc>
        <w:tc>
          <w:tcPr>
            <w:tcW w:w="240" w:type="dxa"/>
            <w:vAlign w:val="bottom"/>
            <w:tcBorders>
              <w:bottom w:val="single" w:sz="8" w:color="CCFFC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b w:val="1"/>
                <w:bCs w:val="1"/>
                <w:color w:val="auto"/>
                <w:w w:val="94"/>
              </w:rPr>
              <w:t>Fair Value</w:t>
            </w:r>
          </w:p>
        </w:tc>
        <w:tc>
          <w:tcPr>
            <w:tcW w:w="200" w:type="dxa"/>
            <w:vAlign w:val="bottom"/>
            <w:tcBorders>
              <w:bottom w:val="single" w:sz="8" w:color="CCFFCC"/>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Portfolio</w:t>
            </w:r>
          </w:p>
        </w:tc>
        <w:tc>
          <w:tcPr>
            <w:tcW w:w="140" w:type="dxa"/>
            <w:vAlign w:val="bottom"/>
            <w:tcBorders>
              <w:bottom w:val="single" w:sz="8" w:color="CCFFCC"/>
            </w:tcBorders>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Oil &amp; Gas Services</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25,321</w:t>
            </w:r>
          </w:p>
        </w:tc>
        <w:tc>
          <w:tcPr>
            <w:tcW w:w="200" w:type="dxa"/>
            <w:vAlign w:val="bottom"/>
            <w:shd w:val="clear" w:color="auto" w:fill="CCFFCC"/>
          </w:tcPr>
          <w:p>
            <w:pPr>
              <w:spacing w:after="0"/>
              <w:rPr>
                <w:sz w:val="15"/>
                <w:szCs w:val="15"/>
                <w:color w:val="auto"/>
              </w:rPr>
            </w:pPr>
          </w:p>
        </w:tc>
        <w:tc>
          <w:tcPr>
            <w:tcW w:w="1380" w:type="dxa"/>
            <w:vAlign w:val="bottom"/>
            <w:tcBorders>
              <w:right w:val="single" w:sz="8" w:color="CCFFCC"/>
            </w:tcBorders>
            <w:gridSpan w:val="2"/>
            <w:shd w:val="clear" w:color="auto" w:fill="CCFFCC"/>
          </w:tcPr>
          <w:p>
            <w:pPr>
              <w:jc w:val="right"/>
              <w:ind w:right="45"/>
              <w:spacing w:after="0"/>
              <w:rPr>
                <w:sz w:val="20"/>
                <w:szCs w:val="20"/>
                <w:color w:val="auto"/>
              </w:rPr>
            </w:pPr>
            <w:r>
              <w:rPr>
                <w:rFonts w:ascii="Arial" w:cs="Arial" w:eastAsia="Arial" w:hAnsi="Arial"/>
                <w:sz w:val="15"/>
                <w:szCs w:val="15"/>
                <w:color w:val="auto"/>
              </w:rPr>
              <w:t>7.0%</w:t>
            </w:r>
          </w:p>
        </w:tc>
        <w:tc>
          <w:tcPr>
            <w:tcW w:w="120" w:type="dxa"/>
            <w:vAlign w:val="bottom"/>
            <w:shd w:val="clear" w:color="auto" w:fill="CCFFCC"/>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6,240</w:t>
            </w:r>
          </w:p>
        </w:tc>
        <w:tc>
          <w:tcPr>
            <w:tcW w:w="200" w:type="dxa"/>
            <w:vAlign w:val="bottom"/>
            <w:shd w:val="clear" w:color="auto" w:fill="CCFFCC"/>
          </w:tcPr>
          <w:p>
            <w:pPr>
              <w:spacing w:after="0"/>
              <w:rPr>
                <w:sz w:val="15"/>
                <w:szCs w:val="15"/>
                <w:color w:val="auto"/>
              </w:rPr>
            </w:pP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rPr>
              <w:t>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QSR Franchisee</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24,787</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6.8</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29,950</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10.5</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Sales &amp; Marketing Services</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22,753</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6.3</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7,008</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2.5</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Professional Employer Organization</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22,677</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6.2</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15,229</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5.4</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Industrial Equipment Rental</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22,500</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6.2</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18,001</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6.4</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Printing Services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16,448</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8,185</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2.9</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Oil &amp; Gas Engineering and Consulting Services</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15,000</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4.1</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Footwear Retail</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14,807</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7,131</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2.5</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QSR Franchisor</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14,622</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4.0</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15,112</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5.3</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Personal Product Manufacturer</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14,073</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12,892</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4.5</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Specialty Clothing</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12,724</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3.5</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10,333</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3.6</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Medical Device Distributor</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11,121</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9,847</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3.5</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Retail Display &amp; Security Services</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10,823</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3.0</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Culinary Products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10,302</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2.8</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8,769</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3.1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Fuel Transportation Services</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10,274</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2.8</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9,043</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3.2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Aerospace Parts Manufacturer</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10,064</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2.8</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5,219</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1.8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Dental Practice Management</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9,273</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7,984</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2.8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Textile Equipment Manufacturer</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9,031</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8,433</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3.0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Energy Services</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8,783</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2.4</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7,287</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2.6</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Conglomerate</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7,630</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8,565</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3.0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Computer Supply Retail</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6,673</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1.8</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Produce Distribution</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6,631</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6,722</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2.4</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Replacement Window Manufacturer</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6,284</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1.7</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5,585</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2.0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Transportation</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6,000</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Environmental Services Products</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5,185</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Data Processing &amp; Digital Marketing</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5,061</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637</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0.2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Advertising &amp; Marketing Services</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4,911</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18,453</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6.5</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Western Wear Retail</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4,774</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19,928</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7.0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Metal Recycler</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3,950</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2,931</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1.0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Automotive Chemicals &amp; Lubricants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3,886</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3,283</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1.2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Petroleum Equipment Supplier</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3,624</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2,681</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0.9</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Industrial Manufacturing</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3,440</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0.9</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Specialty Defense Contractor</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2,799</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0.8</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467</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0.2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Building Supplies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2,509</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972</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0.3</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Online Travel Sales &amp; Marketing</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1,638</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1,421</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0.5</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Quick Lube Services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1,604</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13,248</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4.7</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Industrial Boiler Manufacturer</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1,536</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2,660</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0.9</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In-Home Healthcare Services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748</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374</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0.1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IT Hosting Services</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453</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372</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0.1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Usenet Hosting Services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6,214</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5"/>
                <w:szCs w:val="15"/>
                <w:color w:val="auto"/>
              </w:rPr>
              <w:t>Textile Manufacturer</w:t>
            </w:r>
          </w:p>
        </w:tc>
        <w:tc>
          <w:tcPr>
            <w:tcW w:w="1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w:t>
            </w:r>
          </w:p>
        </w:tc>
        <w:tc>
          <w:tcPr>
            <w:tcW w:w="1380" w:type="dxa"/>
            <w:vAlign w:val="bottom"/>
            <w:tcBorders>
              <w:right w:val="single" w:sz="8" w:color="CCFFCC"/>
            </w:tcBorders>
            <w:gridSpan w:val="2"/>
            <w:shd w:val="clear" w:color="auto" w:fill="CCFFCC"/>
          </w:tcPr>
          <w:p>
            <w:pPr>
              <w:jc w:val="right"/>
              <w:ind w:right="16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1,590</w:t>
            </w:r>
          </w:p>
        </w:tc>
        <w:tc>
          <w:tcPr>
            <w:tcW w:w="128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0.6</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Corporate Fulfillment</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16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1,165</w:t>
            </w:r>
          </w:p>
        </w:tc>
        <w:tc>
          <w:tcPr>
            <w:tcW w:w="1280" w:type="dxa"/>
            <w:vAlign w:val="bottom"/>
            <w:gridSpan w:val="2"/>
          </w:tcPr>
          <w:p>
            <w:pPr>
              <w:jc w:val="right"/>
              <w:ind w:right="65"/>
              <w:spacing w:after="0"/>
              <w:rPr>
                <w:sz w:val="20"/>
                <w:szCs w:val="20"/>
                <w:color w:val="auto"/>
              </w:rPr>
            </w:pPr>
            <w:r>
              <w:rPr>
                <w:rFonts w:ascii="Arial" w:cs="Arial" w:eastAsia="Arial" w:hAnsi="Arial"/>
                <w:sz w:val="15"/>
                <w:szCs w:val="15"/>
                <w:color w:val="auto"/>
              </w:rPr>
              <w:t>0.4</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940" w:type="dxa"/>
            <w:vAlign w:val="bottom"/>
            <w:vMerge w:val="restart"/>
            <w:shd w:val="clear" w:color="auto" w:fill="CCFFCC"/>
          </w:tcPr>
          <w:p>
            <w:pPr>
              <w:spacing w:after="0"/>
              <w:rPr>
                <w:sz w:val="20"/>
                <w:szCs w:val="20"/>
                <w:color w:val="auto"/>
              </w:rPr>
            </w:pPr>
            <w:r>
              <w:rPr>
                <w:rFonts w:ascii="Arial" w:cs="Arial" w:eastAsia="Arial" w:hAnsi="Arial"/>
                <w:sz w:val="15"/>
                <w:szCs w:val="15"/>
                <w:color w:val="auto"/>
              </w:rPr>
              <w:t>Total</w:t>
            </w:r>
          </w:p>
        </w:tc>
        <w:tc>
          <w:tcPr>
            <w:tcW w:w="10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vMerge w:val="restart"/>
            <w:shd w:val="clear" w:color="auto" w:fill="CCFFCC"/>
          </w:tcPr>
          <w:p>
            <w:pPr>
              <w:jc w:val="right"/>
              <w:ind w:right="45"/>
              <w:spacing w:after="0"/>
              <w:rPr>
                <w:sz w:val="20"/>
                <w:szCs w:val="20"/>
                <w:color w:val="auto"/>
              </w:rPr>
            </w:pPr>
            <w:r>
              <w:rPr>
                <w:rFonts w:ascii="Arial" w:cs="Arial" w:eastAsia="Arial" w:hAnsi="Arial"/>
                <w:sz w:val="15"/>
                <w:szCs w:val="15"/>
                <w:color w:val="auto"/>
                <w:w w:val="74"/>
              </w:rPr>
              <w:t>%</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FFCC"/>
          </w:tcPr>
          <w:p>
            <w:pPr>
              <w:jc w:val="right"/>
              <w:spacing w:after="0"/>
              <w:rPr>
                <w:sz w:val="20"/>
                <w:szCs w:val="20"/>
                <w:color w:val="auto"/>
              </w:rPr>
            </w:pPr>
            <w:r>
              <w:rPr>
                <w:rFonts w:ascii="Arial" w:cs="Arial" w:eastAsia="Arial" w:hAnsi="Arial"/>
                <w:sz w:val="15"/>
                <w:szCs w:val="15"/>
                <w:color w:val="auto"/>
                <w:w w:val="74"/>
              </w:rPr>
              <w:t>%</w:t>
            </w: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60" w:type="dxa"/>
            <w:vAlign w:val="bottom"/>
          </w:tcPr>
          <w:p>
            <w:pPr>
              <w:spacing w:after="0"/>
              <w:rPr>
                <w:sz w:val="15"/>
                <w:szCs w:val="15"/>
                <w:color w:val="auto"/>
              </w:rPr>
            </w:pPr>
          </w:p>
        </w:tc>
        <w:tc>
          <w:tcPr>
            <w:tcW w:w="3940" w:type="dxa"/>
            <w:vAlign w:val="bottom"/>
            <w:vMerge w:val="continue"/>
            <w:shd w:val="clear" w:color="auto" w:fill="CCFFCC"/>
          </w:tcPr>
          <w:p>
            <w:pPr>
              <w:spacing w:after="0"/>
              <w:rPr>
                <w:sz w:val="15"/>
                <w:szCs w:val="15"/>
                <w:color w:val="auto"/>
              </w:rPr>
            </w:pPr>
          </w:p>
        </w:tc>
        <w:tc>
          <w:tcPr>
            <w:tcW w:w="1180" w:type="dxa"/>
            <w:vAlign w:val="bottom"/>
            <w:gridSpan w:val="2"/>
            <w:shd w:val="clear" w:color="auto" w:fill="CCFFCC"/>
          </w:tcPr>
          <w:p>
            <w:pPr>
              <w:jc w:val="right"/>
              <w:ind w:right="12"/>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364,719</w:t>
            </w:r>
          </w:p>
        </w:tc>
        <w:tc>
          <w:tcPr>
            <w:tcW w:w="11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100.0</w:t>
            </w:r>
          </w:p>
        </w:tc>
        <w:tc>
          <w:tcPr>
            <w:tcW w:w="240" w:type="dxa"/>
            <w:vAlign w:val="bottom"/>
            <w:tcBorders>
              <w:right w:val="single" w:sz="8" w:color="CCFFCC"/>
            </w:tcBorders>
            <w:vMerge w:val="continue"/>
            <w:shd w:val="clear" w:color="auto" w:fill="CCFFCC"/>
          </w:tcPr>
          <w:p>
            <w:pPr>
              <w:spacing w:after="0"/>
              <w:rPr>
                <w:sz w:val="15"/>
                <w:szCs w:val="15"/>
                <w:color w:val="auto"/>
              </w:rPr>
            </w:pPr>
          </w:p>
        </w:tc>
        <w:tc>
          <w:tcPr>
            <w:tcW w:w="120" w:type="dxa"/>
            <w:vAlign w:val="bottom"/>
            <w:shd w:val="clear" w:color="auto" w:fill="CCFFCC"/>
          </w:tcPr>
          <w:p>
            <w:pPr>
              <w:jc w:val="right"/>
              <w:ind w:right="1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283,931</w:t>
            </w:r>
          </w:p>
        </w:tc>
        <w:tc>
          <w:tcPr>
            <w:tcW w:w="11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100.0</w:t>
            </w:r>
          </w:p>
        </w:tc>
        <w:tc>
          <w:tcPr>
            <w:tcW w:w="140" w:type="dxa"/>
            <w:vAlign w:val="bottom"/>
            <w:vMerge w:val="continue"/>
            <w:shd w:val="clear" w:color="auto" w:fill="CCFFCC"/>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940" w:type="dxa"/>
            <w:vAlign w:val="bottom"/>
            <w:tcBorders>
              <w:top w:val="single" w:sz="8" w:color="CCFFCC"/>
            </w:tcBorders>
          </w:tcPr>
          <w:p>
            <w:pPr>
              <w:spacing w:after="0" w:line="20" w:lineRule="exact"/>
              <w:rPr>
                <w:sz w:val="1"/>
                <w:szCs w:val="1"/>
                <w:color w:val="auto"/>
              </w:rPr>
            </w:pPr>
          </w:p>
        </w:tc>
        <w:tc>
          <w:tcPr>
            <w:tcW w:w="10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2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rPr>
              <w:t>61</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62" w:right="219" w:bottom="1440" w:gutter="0" w:footer="0" w:header="0"/>
        </w:sectPr>
      </w:pPr>
    </w:p>
    <w:bookmarkStart w:id="62" w:name="page63"/>
    <w:bookmarkEnd w:id="62"/>
    <w:p>
      <w:pPr>
        <w:ind w:right="180" w:firstLine="738"/>
        <w:spacing w:after="0" w:line="291" w:lineRule="auto"/>
        <w:rPr>
          <w:sz w:val="20"/>
          <w:szCs w:val="20"/>
          <w:color w:val="auto"/>
        </w:rPr>
      </w:pPr>
      <w:r>
        <w:rPr>
          <w:rFonts w:ascii="Arial" w:cs="Arial" w:eastAsia="Arial" w:hAnsi="Arial"/>
          <w:sz w:val="14"/>
          <w:szCs w:val="14"/>
          <w:color w:val="auto"/>
        </w:rPr>
        <w:t>All investments made by the Company as of December 31, 2013 and December 31, 2012 were made in portfolio companies located in the U.S.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at December 31, 2013 and December 31, 2012 (dollars in thousands):</w:t>
      </w:r>
    </w:p>
    <w:p>
      <w:pPr>
        <w:sectPr>
          <w:pgSz w:w="11900" w:h="16838" w:orient="portrait"/>
          <w:cols w:equalWidth="0" w:num="1">
            <w:col w:w="11440"/>
          </w:cols>
          <w:pgMar w:left="240" w:top="78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South</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West</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Northeast</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Midwest</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tcPr>
          <w:p>
            <w:pPr>
              <w:jc w:val="right"/>
              <w:ind w:right="625"/>
              <w:spacing w:after="0"/>
              <w:rPr>
                <w:sz w:val="20"/>
                <w:szCs w:val="20"/>
                <w:color w:val="auto"/>
              </w:rPr>
            </w:pPr>
            <w:r>
              <w:rPr>
                <w:rFonts w:ascii="Arial" w:cs="Arial" w:eastAsia="Arial" w:hAnsi="Arial"/>
                <w:sz w:val="15"/>
                <w:szCs w:val="15"/>
                <w:b w:val="1"/>
                <w:bCs w:val="1"/>
                <w:color w:val="auto"/>
              </w:rPr>
              <w:t>At December 31, 2013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tcPr>
          <w:p>
            <w:pPr>
              <w:jc w:val="right"/>
              <w:ind w:right="581"/>
              <w:spacing w:after="0"/>
              <w:rPr>
                <w:sz w:val="20"/>
                <w:szCs w:val="20"/>
                <w:color w:val="auto"/>
              </w:rPr>
            </w:pPr>
            <w:r>
              <w:rPr>
                <w:rFonts w:ascii="Arial" w:cs="Arial" w:eastAsia="Arial" w:hAnsi="Arial"/>
                <w:sz w:val="15"/>
                <w:szCs w:val="15"/>
                <w:b w:val="1"/>
                <w:bCs w:val="1"/>
                <w:color w:val="auto"/>
              </w:rPr>
              <w:t>At December 31, 2012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b w:val="1"/>
                <w:bCs w:val="1"/>
                <w:color w:val="auto"/>
                <w:w w:val="86"/>
              </w:rPr>
              <w:t>Percentage</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b w:val="1"/>
                <w:bCs w:val="1"/>
                <w:color w:val="auto"/>
                <w:w w:val="86"/>
              </w:rPr>
              <w:t>Percentage</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Investments</w:t>
            </w:r>
          </w:p>
        </w:tc>
        <w:tc>
          <w:tcPr>
            <w:tcW w:w="1320" w:type="dxa"/>
            <w:vAlign w:val="bottom"/>
            <w:gridSpan w:val="2"/>
          </w:tcPr>
          <w:p>
            <w:pPr>
              <w:jc w:val="center"/>
              <w:ind w:right="105"/>
              <w:spacing w:after="0"/>
              <w:rPr>
                <w:sz w:val="20"/>
                <w:szCs w:val="20"/>
                <w:color w:val="auto"/>
              </w:rPr>
            </w:pPr>
            <w:r>
              <w:rPr>
                <w:rFonts w:ascii="Arial" w:cs="Arial" w:eastAsia="Arial" w:hAnsi="Arial"/>
                <w:sz w:val="15"/>
                <w:szCs w:val="15"/>
                <w:b w:val="1"/>
                <w:bCs w:val="1"/>
                <w:color w:val="auto"/>
                <w:w w:val="98"/>
              </w:rPr>
              <w:t>of</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Investments</w:t>
            </w:r>
          </w:p>
        </w:tc>
        <w:tc>
          <w:tcPr>
            <w:tcW w:w="1260" w:type="dxa"/>
            <w:vAlign w:val="bottom"/>
            <w:gridSpan w:val="3"/>
          </w:tcPr>
          <w:p>
            <w:pPr>
              <w:jc w:val="center"/>
              <w:ind w:right="41"/>
              <w:spacing w:after="0"/>
              <w:rPr>
                <w:sz w:val="20"/>
                <w:szCs w:val="20"/>
                <w:color w:val="auto"/>
              </w:rPr>
            </w:pPr>
            <w:r>
              <w:rPr>
                <w:rFonts w:ascii="Arial" w:cs="Arial" w:eastAsia="Arial" w:hAnsi="Arial"/>
                <w:sz w:val="15"/>
                <w:szCs w:val="15"/>
                <w:b w:val="1"/>
                <w:bCs w:val="1"/>
                <w:color w:val="auto"/>
                <w:w w:val="84"/>
              </w:rPr>
              <w:t>of</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9"/>
              </w:rPr>
              <w:t>at</w:t>
            </w:r>
          </w:p>
        </w:tc>
        <w:tc>
          <w:tcPr>
            <w:tcW w:w="1320" w:type="dxa"/>
            <w:vAlign w:val="bottom"/>
            <w:gridSpan w:val="2"/>
          </w:tcPr>
          <w:p>
            <w:pPr>
              <w:jc w:val="center"/>
              <w:ind w:right="105"/>
              <w:spacing w:after="0"/>
              <w:rPr>
                <w:sz w:val="20"/>
                <w:szCs w:val="20"/>
                <w:color w:val="auto"/>
              </w:rPr>
            </w:pPr>
            <w:r>
              <w:rPr>
                <w:rFonts w:ascii="Arial" w:cs="Arial" w:eastAsia="Arial" w:hAnsi="Arial"/>
                <w:sz w:val="15"/>
                <w:szCs w:val="15"/>
                <w:b w:val="1"/>
                <w:bCs w:val="1"/>
                <w:color w:val="auto"/>
                <w:w w:val="94"/>
              </w:rPr>
              <w:t>Total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9"/>
              </w:rPr>
              <w:t>at</w:t>
            </w:r>
          </w:p>
        </w:tc>
        <w:tc>
          <w:tcPr>
            <w:tcW w:w="1260" w:type="dxa"/>
            <w:vAlign w:val="bottom"/>
            <w:gridSpan w:val="3"/>
          </w:tcPr>
          <w:p>
            <w:pPr>
              <w:jc w:val="center"/>
              <w:ind w:right="61"/>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b w:val="1"/>
                <w:bCs w:val="1"/>
                <w:color w:val="auto"/>
                <w:w w:val="94"/>
              </w:rPr>
              <w:t>Fair Value</w:t>
            </w:r>
          </w:p>
        </w:tc>
        <w:tc>
          <w:tcPr>
            <w:tcW w:w="2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Portfolio</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b w:val="1"/>
                <w:bCs w:val="1"/>
                <w:color w:val="auto"/>
                <w:w w:val="94"/>
              </w:rPr>
              <w:t>Fair Value</w:t>
            </w:r>
          </w:p>
        </w:tc>
        <w:tc>
          <w:tcPr>
            <w:tcW w:w="2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Portfolio</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254,143</w:t>
            </w:r>
          </w:p>
        </w:tc>
        <w:tc>
          <w:tcPr>
            <w:tcW w:w="200" w:type="dxa"/>
            <w:vAlign w:val="bottom"/>
          </w:tcPr>
          <w:p>
            <w:pPr>
              <w:spacing w:after="0"/>
              <w:rPr>
                <w:sz w:val="14"/>
                <w:szCs w:val="14"/>
                <w:color w:val="auto"/>
              </w:rPr>
            </w:pPr>
          </w:p>
        </w:tc>
        <w:tc>
          <w:tcPr>
            <w:tcW w:w="13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69.7%</w:t>
            </w:r>
          </w:p>
        </w:tc>
        <w:tc>
          <w:tcPr>
            <w:tcW w:w="6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202,429</w:t>
            </w:r>
          </w:p>
        </w:tc>
        <w:tc>
          <w:tcPr>
            <w:tcW w:w="200" w:type="dxa"/>
            <w:vAlign w:val="bottom"/>
          </w:tcPr>
          <w:p>
            <w:pPr>
              <w:spacing w:after="0"/>
              <w:rPr>
                <w:sz w:val="14"/>
                <w:szCs w:val="14"/>
                <w:color w:val="auto"/>
              </w:rPr>
            </w:pPr>
          </w:p>
        </w:tc>
        <w:tc>
          <w:tcPr>
            <w:tcW w:w="12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71.3%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66,637</w:t>
            </w:r>
          </w:p>
        </w:tc>
        <w:tc>
          <w:tcPr>
            <w:tcW w:w="1320" w:type="dxa"/>
            <w:vAlign w:val="bottom"/>
            <w:gridSpan w:val="2"/>
          </w:tcPr>
          <w:p>
            <w:pPr>
              <w:jc w:val="right"/>
              <w:ind w:right="105"/>
              <w:spacing w:after="0"/>
              <w:rPr>
                <w:sz w:val="20"/>
                <w:szCs w:val="20"/>
                <w:color w:val="auto"/>
              </w:rPr>
            </w:pPr>
            <w:r>
              <w:rPr>
                <w:rFonts w:ascii="Arial" w:cs="Arial" w:eastAsia="Arial" w:hAnsi="Arial"/>
                <w:sz w:val="15"/>
                <w:szCs w:val="15"/>
                <w:color w:val="auto"/>
              </w:rPr>
              <w:t>18.3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47,931</w:t>
            </w:r>
          </w:p>
        </w:tc>
        <w:tc>
          <w:tcPr>
            <w:tcW w:w="1160" w:type="dxa"/>
            <w:vAlign w:val="bottom"/>
            <w:gridSpan w:val="2"/>
          </w:tcPr>
          <w:p>
            <w:pPr>
              <w:jc w:val="right"/>
              <w:ind w:right="20"/>
              <w:spacing w:after="0"/>
              <w:rPr>
                <w:sz w:val="20"/>
                <w:szCs w:val="20"/>
                <w:color w:val="auto"/>
              </w:rPr>
            </w:pPr>
            <w:r>
              <w:rPr>
                <w:rFonts w:ascii="Arial" w:cs="Arial" w:eastAsia="Arial" w:hAnsi="Arial"/>
                <w:sz w:val="15"/>
                <w:szCs w:val="15"/>
                <w:color w:val="auto"/>
              </w:rPr>
              <w:t>16.9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23,436</w:t>
            </w:r>
          </w:p>
        </w:tc>
        <w:tc>
          <w:tcPr>
            <w:tcW w:w="1320" w:type="dxa"/>
            <w:vAlign w:val="bottom"/>
            <w:gridSpan w:val="2"/>
          </w:tcPr>
          <w:p>
            <w:pPr>
              <w:jc w:val="right"/>
              <w:ind w:right="105"/>
              <w:spacing w:after="0"/>
              <w:rPr>
                <w:sz w:val="20"/>
                <w:szCs w:val="20"/>
                <w:color w:val="auto"/>
              </w:rPr>
            </w:pPr>
            <w:r>
              <w:rPr>
                <w:rFonts w:ascii="Arial" w:cs="Arial" w:eastAsia="Arial" w:hAnsi="Arial"/>
                <w:sz w:val="15"/>
                <w:szCs w:val="15"/>
                <w:color w:val="auto"/>
              </w:rPr>
              <w:t>6.4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18,419</w:t>
            </w:r>
          </w:p>
        </w:tc>
        <w:tc>
          <w:tcPr>
            <w:tcW w:w="1160" w:type="dxa"/>
            <w:vAlign w:val="bottom"/>
            <w:gridSpan w:val="2"/>
          </w:tcPr>
          <w:p>
            <w:pPr>
              <w:jc w:val="right"/>
              <w:ind w:right="20"/>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20,503</w:t>
            </w:r>
          </w:p>
        </w:tc>
        <w:tc>
          <w:tcPr>
            <w:tcW w:w="1320" w:type="dxa"/>
            <w:vAlign w:val="bottom"/>
            <w:gridSpan w:val="2"/>
          </w:tcPr>
          <w:p>
            <w:pPr>
              <w:jc w:val="right"/>
              <w:ind w:right="105"/>
              <w:spacing w:after="0"/>
              <w:rPr>
                <w:sz w:val="20"/>
                <w:szCs w:val="20"/>
                <w:color w:val="auto"/>
              </w:rPr>
            </w:pPr>
            <w:r>
              <w:rPr>
                <w:rFonts w:ascii="Arial" w:cs="Arial" w:eastAsia="Arial" w:hAnsi="Arial"/>
                <w:sz w:val="15"/>
                <w:szCs w:val="15"/>
                <w:color w:val="auto"/>
              </w:rPr>
              <w:t>5.6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15,152</w:t>
            </w:r>
          </w:p>
        </w:tc>
        <w:tc>
          <w:tcPr>
            <w:tcW w:w="1160" w:type="dxa"/>
            <w:vAlign w:val="bottom"/>
            <w:gridSpan w:val="2"/>
          </w:tcPr>
          <w:p>
            <w:pPr>
              <w:jc w:val="right"/>
              <w:ind w:right="20"/>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w w:val="74"/>
              </w:rPr>
              <w:t>%</w:t>
            </w: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line="20" w:lineRule="exact"/>
              <w:rPr>
                <w:sz w:val="1"/>
                <w:szCs w:val="1"/>
                <w:color w:val="auto"/>
              </w:rPr>
            </w:pPr>
          </w:p>
        </w:tc>
      </w:tr>
      <w:tr>
        <w:trPr>
          <w:trHeight w:val="184"/>
        </w:trPr>
        <w:tc>
          <w:tcPr>
            <w:tcW w:w="120" w:type="dxa"/>
            <w:vAlign w:val="bottom"/>
            <w:gridSpan w:val="2"/>
          </w:tcPr>
          <w:p>
            <w:pPr>
              <w:jc w:val="right"/>
              <w:ind w:right="33"/>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364,719</w:t>
            </w:r>
          </w:p>
        </w:tc>
        <w:tc>
          <w:tcPr>
            <w:tcW w:w="1140" w:type="dxa"/>
            <w:vAlign w:val="bottom"/>
          </w:tcPr>
          <w:p>
            <w:pPr>
              <w:jc w:val="right"/>
              <w:spacing w:after="0"/>
              <w:rPr>
                <w:sz w:val="20"/>
                <w:szCs w:val="20"/>
                <w:color w:val="auto"/>
              </w:rPr>
            </w:pPr>
            <w:r>
              <w:rPr>
                <w:rFonts w:ascii="Arial" w:cs="Arial" w:eastAsia="Arial" w:hAnsi="Arial"/>
                <w:sz w:val="15"/>
                <w:szCs w:val="15"/>
                <w:color w:val="auto"/>
              </w:rPr>
              <w:t>100.0</w:t>
            </w:r>
          </w:p>
        </w:tc>
        <w:tc>
          <w:tcPr>
            <w:tcW w:w="180" w:type="dxa"/>
            <w:vAlign w:val="bottom"/>
            <w:vMerge w:val="continue"/>
          </w:tcPr>
          <w:p>
            <w:pPr>
              <w:spacing w:after="0"/>
              <w:rPr>
                <w:sz w:val="16"/>
                <w:szCs w:val="16"/>
                <w:color w:val="auto"/>
              </w:rPr>
            </w:pPr>
          </w:p>
        </w:tc>
        <w:tc>
          <w:tcPr>
            <w:tcW w:w="180" w:type="dxa"/>
            <w:vAlign w:val="bottom"/>
            <w:gridSpan w:val="2"/>
          </w:tcPr>
          <w:p>
            <w:pPr>
              <w:jc w:val="right"/>
              <w:ind w:right="12"/>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5"/>
                <w:szCs w:val="15"/>
                <w:color w:val="auto"/>
              </w:rPr>
              <w:t>283,931</w:t>
            </w:r>
          </w:p>
        </w:tc>
        <w:tc>
          <w:tcPr>
            <w:tcW w:w="1160" w:type="dxa"/>
            <w:vAlign w:val="bottom"/>
            <w:gridSpan w:val="2"/>
          </w:tcPr>
          <w:p>
            <w:pPr>
              <w:jc w:val="right"/>
              <w:ind w:right="20"/>
              <w:spacing w:after="0"/>
              <w:rPr>
                <w:sz w:val="20"/>
                <w:szCs w:val="20"/>
                <w:color w:val="auto"/>
              </w:rPr>
            </w:pPr>
            <w:r>
              <w:rPr>
                <w:rFonts w:ascii="Arial" w:cs="Arial" w:eastAsia="Arial" w:hAnsi="Arial"/>
                <w:sz w:val="15"/>
                <w:szCs w:val="15"/>
                <w:color w:val="auto"/>
              </w:rPr>
              <w:t>100.0</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-624205</wp:posOffset>
            </wp:positionV>
            <wp:extent cx="6536055" cy="1219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36055" cy="121920"/>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-387350</wp:posOffset>
            </wp:positionV>
            <wp:extent cx="6536055" cy="1149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36055" cy="114935"/>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-150495</wp:posOffset>
            </wp:positionV>
            <wp:extent cx="6536055" cy="136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36055" cy="13652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4540" w:space="720"/>
            <w:col w:w="6180"/>
          </w:cols>
          <w:pgMar w:left="240" w:top="785" w:right="219" w:bottom="1440" w:gutter="0" w:footer="0" w:header="0"/>
          <w:type w:val="continuous"/>
        </w:sectPr>
      </w:pPr>
    </w:p>
    <w:p>
      <w:pPr>
        <w:ind w:left="720"/>
        <w:spacing w:after="0"/>
        <w:rPr>
          <w:sz w:val="20"/>
          <w:szCs w:val="20"/>
          <w:color w:val="auto"/>
        </w:rPr>
      </w:pPr>
      <w:r>
        <w:rPr>
          <w:rFonts w:ascii="Arial" w:cs="Arial" w:eastAsia="Arial" w:hAnsi="Arial"/>
          <w:sz w:val="14"/>
          <w:szCs w:val="14"/>
          <w:color w:val="auto"/>
        </w:rPr>
        <w:t>The Investment Advisor regularly assesses the risk profile of each of our investments and rates each of them based on the following categories, which we refer to as the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Investment Advisor’s investment credit rating: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40" w:type="dxa"/>
            <w:vAlign w:val="bottom"/>
            <w:gridSpan w:val="3"/>
          </w:tcPr>
          <w:p>
            <w:pPr>
              <w:spacing w:after="0"/>
              <w:rPr>
                <w:sz w:val="20"/>
                <w:szCs w:val="20"/>
                <w:color w:val="auto"/>
              </w:rPr>
            </w:pPr>
            <w:r>
              <w:rPr>
                <w:rFonts w:ascii="Arial" w:cs="Arial" w:eastAsia="Arial" w:hAnsi="Arial"/>
                <w:sz w:val="15"/>
                <w:szCs w:val="15"/>
                <w:b w:val="1"/>
                <w:bCs w:val="1"/>
                <w:color w:val="auto"/>
              </w:rPr>
              <w:t>Credit Rating</w:t>
            </w:r>
          </w:p>
        </w:tc>
        <w:tc>
          <w:tcPr>
            <w:tcW w:w="9500" w:type="dxa"/>
            <w:vAlign w:val="bottom"/>
          </w:tcPr>
          <w:p>
            <w:pPr>
              <w:ind w:left="100"/>
              <w:spacing w:after="0"/>
              <w:rPr>
                <w:sz w:val="20"/>
                <w:szCs w:val="20"/>
                <w:color w:val="auto"/>
              </w:rPr>
            </w:pPr>
            <w:r>
              <w:rPr>
                <w:rFonts w:ascii="Arial" w:cs="Arial" w:eastAsia="Arial" w:hAnsi="Arial"/>
                <w:sz w:val="15"/>
                <w:szCs w:val="15"/>
                <w:b w:val="1"/>
                <w:bCs w:val="1"/>
                <w:color w:val="auto"/>
              </w:rPr>
              <w:t>Definition</w:t>
            </w:r>
          </w:p>
        </w:tc>
      </w:tr>
      <w:tr>
        <w:trPr>
          <w:trHeight w:val="182"/>
        </w:trPr>
        <w:tc>
          <w:tcPr>
            <w:tcW w:w="20" w:type="dxa"/>
            <w:vAlign w:val="bottom"/>
          </w:tcPr>
          <w:p>
            <w:pPr>
              <w:spacing w:after="0"/>
              <w:rPr>
                <w:sz w:val="15"/>
                <w:szCs w:val="15"/>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1</w:t>
            </w:r>
          </w:p>
        </w:tc>
        <w:tc>
          <w:tcPr>
            <w:tcW w:w="340" w:type="dxa"/>
            <w:vAlign w:val="bottom"/>
          </w:tcPr>
          <w:p>
            <w:pPr>
              <w:spacing w:after="0"/>
              <w:rPr>
                <w:sz w:val="15"/>
                <w:szCs w:val="15"/>
                <w:color w:val="auto"/>
              </w:rPr>
            </w:pPr>
          </w:p>
        </w:tc>
        <w:tc>
          <w:tcPr>
            <w:tcW w:w="9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Investments that are performing above expectations.</w:t>
            </w:r>
          </w:p>
        </w:tc>
      </w:tr>
      <w:tr>
        <w:trPr>
          <w:trHeight w:val="351"/>
        </w:trPr>
        <w:tc>
          <w:tcPr>
            <w:tcW w:w="1600" w:type="dxa"/>
            <w:vAlign w:val="bottom"/>
            <w:gridSpan w:val="2"/>
          </w:tcPr>
          <w:p>
            <w:pPr>
              <w:spacing w:after="0"/>
              <w:rPr>
                <w:sz w:val="20"/>
                <w:szCs w:val="20"/>
                <w:color w:val="auto"/>
              </w:rPr>
            </w:pPr>
            <w:r>
              <w:rPr>
                <w:rFonts w:ascii="Arial" w:cs="Arial" w:eastAsia="Arial" w:hAnsi="Arial"/>
                <w:sz w:val="15"/>
                <w:szCs w:val="15"/>
                <w:color w:val="auto"/>
              </w:rPr>
              <w:t>2</w:t>
            </w:r>
          </w:p>
        </w:tc>
        <w:tc>
          <w:tcPr>
            <w:tcW w:w="34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15"/>
                <w:szCs w:val="15"/>
                <w:color w:val="auto"/>
              </w:rPr>
              <w:t>Investments that are performing within expectations, with risks that are neutral or favorable compared to risks at the time of origination.</w:t>
            </w:r>
          </w:p>
        </w:tc>
      </w:tr>
      <w:tr>
        <w:trPr>
          <w:trHeight w:val="362"/>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15"/>
                <w:szCs w:val="15"/>
                <w:color w:val="auto"/>
              </w:rPr>
              <w:t>All new loans are rated ‘2’.</w:t>
            </w:r>
          </w:p>
        </w:tc>
      </w:tr>
      <w:tr>
        <w:trPr>
          <w:trHeight w:val="353"/>
        </w:trPr>
        <w:tc>
          <w:tcPr>
            <w:tcW w:w="1600" w:type="dxa"/>
            <w:vAlign w:val="bottom"/>
            <w:gridSpan w:val="2"/>
          </w:tcPr>
          <w:p>
            <w:pPr>
              <w:spacing w:after="0"/>
              <w:rPr>
                <w:sz w:val="20"/>
                <w:szCs w:val="20"/>
                <w:color w:val="auto"/>
              </w:rPr>
            </w:pPr>
            <w:r>
              <w:rPr>
                <w:rFonts w:ascii="Arial" w:cs="Arial" w:eastAsia="Arial" w:hAnsi="Arial"/>
                <w:sz w:val="15"/>
                <w:szCs w:val="15"/>
                <w:color w:val="auto"/>
              </w:rPr>
              <w:t>3</w:t>
            </w:r>
          </w:p>
        </w:tc>
        <w:tc>
          <w:tcPr>
            <w:tcW w:w="34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15"/>
                <w:szCs w:val="15"/>
                <w:color w:val="auto"/>
              </w:rPr>
              <w:t>Investments that are performing below expectations and that require closer monitoring, but where no loss</w:t>
            </w:r>
          </w:p>
        </w:tc>
      </w:tr>
      <w:tr>
        <w:trPr>
          <w:trHeight w:val="190"/>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500" w:type="dxa"/>
            <w:vAlign w:val="bottom"/>
          </w:tcPr>
          <w:p>
            <w:pPr>
              <w:spacing w:after="0"/>
              <w:rPr>
                <w:sz w:val="20"/>
                <w:szCs w:val="20"/>
                <w:color w:val="auto"/>
              </w:rPr>
            </w:pPr>
            <w:r>
              <w:rPr>
                <w:rFonts w:ascii="Arial" w:cs="Arial" w:eastAsia="Arial" w:hAnsi="Arial"/>
                <w:sz w:val="15"/>
                <w:szCs w:val="15"/>
                <w:color w:val="auto"/>
              </w:rPr>
              <w:t>of interest, dividend or principal is expected.</w:t>
            </w:r>
          </w:p>
        </w:tc>
      </w:tr>
      <w:tr>
        <w:trPr>
          <w:trHeight w:val="362"/>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15"/>
                <w:szCs w:val="15"/>
                <w:color w:val="auto"/>
              </w:rPr>
              <w:t>Companies rated ‘3’ may be out of compliance with financial covenants, however, loan payments are generally not past due.</w:t>
            </w:r>
          </w:p>
        </w:tc>
      </w:tr>
      <w:tr>
        <w:trPr>
          <w:trHeight w:val="362"/>
        </w:trPr>
        <w:tc>
          <w:tcPr>
            <w:tcW w:w="1600" w:type="dxa"/>
            <w:vAlign w:val="bottom"/>
            <w:gridSpan w:val="2"/>
          </w:tcPr>
          <w:p>
            <w:pPr>
              <w:spacing w:after="0"/>
              <w:rPr>
                <w:sz w:val="20"/>
                <w:szCs w:val="20"/>
                <w:color w:val="auto"/>
              </w:rPr>
            </w:pPr>
            <w:r>
              <w:rPr>
                <w:rFonts w:ascii="Arial" w:cs="Arial" w:eastAsia="Arial" w:hAnsi="Arial"/>
                <w:sz w:val="15"/>
                <w:szCs w:val="15"/>
                <w:color w:val="auto"/>
              </w:rPr>
              <w:t>4</w:t>
            </w:r>
          </w:p>
        </w:tc>
        <w:tc>
          <w:tcPr>
            <w:tcW w:w="34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15"/>
                <w:szCs w:val="15"/>
                <w:color w:val="auto"/>
              </w:rPr>
              <w:t>Investments that are performing below expectations and for which risk has increased materially since origination.</w:t>
            </w:r>
          </w:p>
        </w:tc>
      </w:tr>
      <w:tr>
        <w:trPr>
          <w:trHeight w:val="362"/>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15"/>
                <w:szCs w:val="15"/>
                <w:color w:val="auto"/>
              </w:rPr>
              <w:t>Some loss of interest or dividend is expected but no loss of principal.</w:t>
            </w:r>
          </w:p>
        </w:tc>
      </w:tr>
      <w:tr>
        <w:trPr>
          <w:trHeight w:val="353"/>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15"/>
                <w:szCs w:val="15"/>
                <w:color w:val="auto"/>
                <w:w w:val="93"/>
              </w:rPr>
              <w:t>In addition to the borrower being generally out of compliance with debt covenants, loan payments may be past due (but generally not more than 180 days</w:t>
            </w:r>
          </w:p>
        </w:tc>
      </w:tr>
      <w:tr>
        <w:trPr>
          <w:trHeight w:val="190"/>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500" w:type="dxa"/>
            <w:vAlign w:val="bottom"/>
          </w:tcPr>
          <w:p>
            <w:pPr>
              <w:spacing w:after="0"/>
              <w:rPr>
                <w:sz w:val="20"/>
                <w:szCs w:val="20"/>
                <w:color w:val="auto"/>
              </w:rPr>
            </w:pPr>
            <w:r>
              <w:rPr>
                <w:rFonts w:ascii="Arial" w:cs="Arial" w:eastAsia="Arial" w:hAnsi="Arial"/>
                <w:sz w:val="15"/>
                <w:szCs w:val="15"/>
                <w:color w:val="auto"/>
              </w:rPr>
              <w:t>past due).</w:t>
            </w:r>
          </w:p>
        </w:tc>
      </w:tr>
      <w:tr>
        <w:trPr>
          <w:trHeight w:val="362"/>
        </w:trPr>
        <w:tc>
          <w:tcPr>
            <w:tcW w:w="1600" w:type="dxa"/>
            <w:vAlign w:val="bottom"/>
            <w:gridSpan w:val="2"/>
          </w:tcPr>
          <w:p>
            <w:pPr>
              <w:spacing w:after="0"/>
              <w:rPr>
                <w:sz w:val="20"/>
                <w:szCs w:val="20"/>
                <w:color w:val="auto"/>
              </w:rPr>
            </w:pPr>
            <w:r>
              <w:rPr>
                <w:rFonts w:ascii="Arial" w:cs="Arial" w:eastAsia="Arial" w:hAnsi="Arial"/>
                <w:sz w:val="15"/>
                <w:szCs w:val="15"/>
                <w:color w:val="auto"/>
              </w:rPr>
              <w:t>5</w:t>
            </w:r>
          </w:p>
        </w:tc>
        <w:tc>
          <w:tcPr>
            <w:tcW w:w="34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15"/>
                <w:szCs w:val="15"/>
                <w:color w:val="auto"/>
              </w:rPr>
              <w:t>Investments that are performing substantially below expectations and whose risks have increased substantially since origination.</w:t>
            </w:r>
          </w:p>
        </w:tc>
      </w:tr>
      <w:tr>
        <w:trPr>
          <w:trHeight w:val="362"/>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15"/>
                <w:szCs w:val="15"/>
                <w:color w:val="auto"/>
              </w:rPr>
              <w:t>Most or all of the debt covenants are out of compliance and payments are substantially delinquent.</w:t>
            </w:r>
          </w:p>
        </w:tc>
      </w:tr>
      <w:tr>
        <w:trPr>
          <w:trHeight w:val="362"/>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15"/>
                <w:szCs w:val="15"/>
                <w:color w:val="auto"/>
              </w:rPr>
              <w:t>Some loss of principal is expected.</w:t>
            </w:r>
          </w:p>
        </w:tc>
      </w:tr>
      <w:tr>
        <w:trPr>
          <w:trHeight w:val="544"/>
        </w:trPr>
        <w:tc>
          <w:tcPr>
            <w:tcW w:w="2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3700"/>
              <w:spacing w:after="0"/>
              <w:rPr>
                <w:sz w:val="20"/>
                <w:szCs w:val="20"/>
                <w:color w:val="auto"/>
              </w:rPr>
            </w:pPr>
            <w:r>
              <w:rPr>
                <w:rFonts w:ascii="Arial" w:cs="Arial" w:eastAsia="Arial" w:hAnsi="Arial"/>
                <w:sz w:val="15"/>
                <w:szCs w:val="15"/>
                <w:color w:val="auto"/>
              </w:rPr>
              <w:t>62</w:t>
            </w:r>
          </w:p>
        </w:tc>
      </w:tr>
    </w:tbl>
    <w:p>
      <w:pPr>
        <w:sectPr>
          <w:pgSz w:w="11900" w:h="16838" w:orient="portrait"/>
          <w:cols w:equalWidth="0" w:num="1">
            <w:col w:w="11440"/>
          </w:cols>
          <w:pgMar w:left="240" w:top="785" w:right="219" w:bottom="1440" w:gutter="0" w:footer="0" w:header="0"/>
          <w:type w:val="continuous"/>
        </w:sectPr>
      </w:pPr>
    </w:p>
    <w:bookmarkStart w:id="63" w:name="page64"/>
    <w:bookmarkEnd w:id="63"/>
    <w:p>
      <w:pPr>
        <w:ind w:left="720"/>
        <w:spacing w:after="0"/>
        <w:rPr>
          <w:sz w:val="20"/>
          <w:szCs w:val="20"/>
          <w:color w:val="auto"/>
        </w:rPr>
      </w:pPr>
      <w:r>
        <w:rPr>
          <w:rFonts w:ascii="Arial" w:cs="Arial" w:eastAsia="Arial" w:hAnsi="Arial"/>
          <w:sz w:val="14"/>
          <w:szCs w:val="14"/>
          <w:color w:val="auto"/>
        </w:rPr>
        <w:t>The following table shows the distribution of our investments on the 1 to 5 investment performance rating scale at fair value as of December 31, 2013 (dollars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3"/>
          </w:tcPr>
          <w:p>
            <w:pPr>
              <w:jc w:val="center"/>
              <w:ind w:right="500"/>
              <w:spacing w:after="0"/>
              <w:rPr>
                <w:sz w:val="20"/>
                <w:szCs w:val="20"/>
                <w:color w:val="auto"/>
              </w:rPr>
            </w:pPr>
            <w:r>
              <w:rPr>
                <w:rFonts w:ascii="Arial" w:cs="Arial" w:eastAsia="Arial" w:hAnsi="Arial"/>
                <w:sz w:val="15"/>
                <w:szCs w:val="15"/>
                <w:b w:val="1"/>
                <w:bCs w:val="1"/>
                <w:color w:val="auto"/>
                <w:w w:val="89"/>
              </w:rPr>
              <w:t>Investments</w:t>
            </w:r>
          </w:p>
        </w:tc>
        <w:tc>
          <w:tcPr>
            <w:tcW w:w="128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86"/>
              </w:rPr>
              <w:t>Percentage</w:t>
            </w:r>
          </w:p>
        </w:tc>
      </w:tr>
      <w:tr>
        <w:trPr>
          <w:trHeight w:val="181"/>
        </w:trPr>
        <w:tc>
          <w:tcPr>
            <w:tcW w:w="8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3"/>
          </w:tcPr>
          <w:p>
            <w:pPr>
              <w:jc w:val="center"/>
              <w:ind w:right="480"/>
              <w:spacing w:after="0"/>
              <w:rPr>
                <w:sz w:val="20"/>
                <w:szCs w:val="20"/>
                <w:color w:val="auto"/>
              </w:rPr>
            </w:pPr>
            <w:r>
              <w:rPr>
                <w:rFonts w:ascii="Arial" w:cs="Arial" w:eastAsia="Arial" w:hAnsi="Arial"/>
                <w:sz w:val="15"/>
                <w:szCs w:val="15"/>
                <w:b w:val="1"/>
                <w:bCs w:val="1"/>
                <w:color w:val="auto"/>
                <w:w w:val="97"/>
              </w:rPr>
              <w:t>at Fair</w:t>
            </w:r>
          </w:p>
        </w:tc>
        <w:tc>
          <w:tcPr>
            <w:tcW w:w="128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92"/>
              </w:rPr>
              <w:t>of Total</w:t>
            </w:r>
          </w:p>
        </w:tc>
      </w:tr>
      <w:tr>
        <w:trPr>
          <w:trHeight w:val="195"/>
        </w:trPr>
        <w:tc>
          <w:tcPr>
            <w:tcW w:w="84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Investment Performance Rating</w:t>
            </w:r>
          </w:p>
        </w:tc>
        <w:tc>
          <w:tcPr>
            <w:tcW w:w="100" w:type="dxa"/>
            <w:vAlign w:val="bottom"/>
            <w:tcBorders>
              <w:bottom w:val="single" w:sz="8" w:color="CCFFC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Borders>
              <w:bottom w:val="single" w:sz="8" w:color="CCFFC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b w:val="1"/>
                <w:bCs w:val="1"/>
                <w:color w:val="auto"/>
                <w:w w:val="89"/>
              </w:rPr>
              <w:t>Investments</w:t>
            </w:r>
          </w:p>
        </w:tc>
        <w:tc>
          <w:tcPr>
            <w:tcW w:w="140" w:type="dxa"/>
            <w:vAlign w:val="bottom"/>
            <w:tcBorders>
              <w:bottom w:val="single" w:sz="8" w:color="CCFFCC"/>
            </w:tcBorders>
            <w:gridSpan w:val="2"/>
          </w:tcPr>
          <w:p>
            <w:pPr>
              <w:spacing w:after="0"/>
              <w:rPr>
                <w:sz w:val="16"/>
                <w:szCs w:val="16"/>
                <w:color w:val="auto"/>
              </w:rPr>
            </w:pPr>
          </w:p>
        </w:tc>
      </w:tr>
      <w:tr>
        <w:trPr>
          <w:trHeight w:val="173"/>
        </w:trPr>
        <w:tc>
          <w:tcPr>
            <w:tcW w:w="8460" w:type="dxa"/>
            <w:vAlign w:val="bottom"/>
            <w:shd w:val="clear" w:color="auto" w:fill="CCFFCC"/>
          </w:tcPr>
          <w:p>
            <w:pPr>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FFCC"/>
          </w:tcPr>
          <w:p>
            <w:pPr>
              <w:spacing w:after="0"/>
              <w:rPr>
                <w:sz w:val="15"/>
                <w:szCs w:val="15"/>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183,194</w:t>
            </w:r>
          </w:p>
        </w:tc>
        <w:tc>
          <w:tcPr>
            <w:tcW w:w="2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80" w:type="dxa"/>
            <w:vAlign w:val="bottom"/>
            <w:gridSpan w:val="3"/>
            <w:shd w:val="clear" w:color="auto" w:fill="CCFFCC"/>
          </w:tcPr>
          <w:p>
            <w:pPr>
              <w:jc w:val="right"/>
              <w:ind w:right="20"/>
              <w:spacing w:after="0"/>
              <w:rPr>
                <w:sz w:val="20"/>
                <w:szCs w:val="20"/>
                <w:color w:val="auto"/>
              </w:rPr>
            </w:pPr>
            <w:r>
              <w:rPr>
                <w:rFonts w:ascii="Arial" w:cs="Arial" w:eastAsia="Arial" w:hAnsi="Arial"/>
                <w:sz w:val="15"/>
                <w:szCs w:val="15"/>
                <w:color w:val="auto"/>
              </w:rPr>
              <w:t>50.2%</w:t>
            </w:r>
          </w:p>
        </w:tc>
      </w:tr>
      <w:tr>
        <w:trPr>
          <w:trHeight w:val="181"/>
        </w:trPr>
        <w:tc>
          <w:tcPr>
            <w:tcW w:w="8460" w:type="dxa"/>
            <w:vAlign w:val="bottom"/>
          </w:tcPr>
          <w:p>
            <w:pPr>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129,721</w:t>
            </w:r>
          </w:p>
        </w:tc>
        <w:tc>
          <w:tcPr>
            <w:tcW w:w="120" w:type="dxa"/>
            <w:vAlign w:val="bottom"/>
          </w:tcPr>
          <w:p>
            <w:pPr>
              <w:spacing w:after="0"/>
              <w:rPr>
                <w:sz w:val="15"/>
                <w:szCs w:val="15"/>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5"/>
                <w:szCs w:val="15"/>
                <w:color w:val="auto"/>
              </w:rPr>
              <w:t>35.5</w:t>
            </w:r>
          </w:p>
        </w:tc>
      </w:tr>
      <w:tr>
        <w:trPr>
          <w:trHeight w:val="181"/>
        </w:trPr>
        <w:tc>
          <w:tcPr>
            <w:tcW w:w="8460" w:type="dxa"/>
            <w:vAlign w:val="bottom"/>
            <w:shd w:val="clear" w:color="auto" w:fill="CCFFCC"/>
          </w:tcPr>
          <w:p>
            <w:pPr>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44,680</w:t>
            </w:r>
          </w:p>
        </w:tc>
        <w:tc>
          <w:tcPr>
            <w:tcW w:w="120" w:type="dxa"/>
            <w:vAlign w:val="bottom"/>
            <w:shd w:val="clear" w:color="auto" w:fill="CCFFCC"/>
          </w:tcPr>
          <w:p>
            <w:pPr>
              <w:spacing w:after="0"/>
              <w:rPr>
                <w:sz w:val="15"/>
                <w:szCs w:val="15"/>
                <w:color w:val="auto"/>
              </w:rPr>
            </w:pPr>
          </w:p>
        </w:tc>
        <w:tc>
          <w:tcPr>
            <w:tcW w:w="1280" w:type="dxa"/>
            <w:vAlign w:val="bottom"/>
            <w:gridSpan w:val="3"/>
            <w:shd w:val="clear" w:color="auto" w:fill="CCFFCC"/>
          </w:tcPr>
          <w:p>
            <w:pPr>
              <w:jc w:val="right"/>
              <w:ind w:right="140"/>
              <w:spacing w:after="0"/>
              <w:rPr>
                <w:sz w:val="20"/>
                <w:szCs w:val="20"/>
                <w:color w:val="auto"/>
              </w:rPr>
            </w:pPr>
            <w:r>
              <w:rPr>
                <w:rFonts w:ascii="Arial" w:cs="Arial" w:eastAsia="Arial" w:hAnsi="Arial"/>
                <w:sz w:val="15"/>
                <w:szCs w:val="15"/>
                <w:color w:val="auto"/>
              </w:rPr>
              <w:t>12.3</w:t>
            </w:r>
          </w:p>
        </w:tc>
      </w:tr>
      <w:tr>
        <w:trPr>
          <w:trHeight w:val="181"/>
        </w:trPr>
        <w:tc>
          <w:tcPr>
            <w:tcW w:w="8460" w:type="dxa"/>
            <w:vAlign w:val="bottom"/>
          </w:tcPr>
          <w:p>
            <w:pPr>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7,124</w:t>
            </w:r>
          </w:p>
        </w:tc>
        <w:tc>
          <w:tcPr>
            <w:tcW w:w="1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2.0</w:t>
            </w:r>
          </w:p>
        </w:tc>
        <w:tc>
          <w:tcPr>
            <w:tcW w:w="120" w:type="dxa"/>
            <w:vAlign w:val="bottom"/>
          </w:tcPr>
          <w:p>
            <w:pPr>
              <w:spacing w:after="0"/>
              <w:rPr>
                <w:sz w:val="15"/>
                <w:szCs w:val="15"/>
                <w:color w:val="auto"/>
              </w:rPr>
            </w:pPr>
          </w:p>
        </w:tc>
      </w:tr>
      <w:tr>
        <w:trPr>
          <w:trHeight w:val="192"/>
        </w:trPr>
        <w:tc>
          <w:tcPr>
            <w:tcW w:w="8460" w:type="dxa"/>
            <w:vAlign w:val="bottom"/>
            <w:shd w:val="clear" w:color="auto" w:fill="CCFFCC"/>
          </w:tcPr>
          <w:p>
            <w:pPr>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280" w:type="dxa"/>
            <w:vAlign w:val="bottom"/>
            <w:gridSpan w:val="3"/>
            <w:shd w:val="clear" w:color="auto" w:fill="CCFFCC"/>
          </w:tcPr>
          <w:p>
            <w:pPr>
              <w:jc w:val="right"/>
              <w:ind w:right="140"/>
              <w:spacing w:after="0"/>
              <w:rPr>
                <w:sz w:val="20"/>
                <w:szCs w:val="20"/>
                <w:color w:val="auto"/>
              </w:rPr>
            </w:pPr>
            <w:r>
              <w:rPr>
                <w:rFonts w:ascii="Arial" w:cs="Arial" w:eastAsia="Arial" w:hAnsi="Arial"/>
                <w:sz w:val="15"/>
                <w:szCs w:val="15"/>
                <w:color w:val="auto"/>
              </w:rPr>
              <w:t>—</w:t>
            </w:r>
          </w:p>
        </w:tc>
      </w:tr>
      <w:tr>
        <w:trPr>
          <w:trHeight w:val="194"/>
        </w:trPr>
        <w:tc>
          <w:tcPr>
            <w:tcW w:w="8460" w:type="dxa"/>
            <w:vAlign w:val="bottom"/>
          </w:tcPr>
          <w:p>
            <w:pPr>
              <w:spacing w:after="0" w:line="172" w:lineRule="exact"/>
              <w:rPr>
                <w:sz w:val="20"/>
                <w:szCs w:val="20"/>
                <w:color w:val="auto"/>
              </w:rPr>
            </w:pPr>
            <w:r>
              <w:rPr>
                <w:rFonts w:ascii="Arial" w:cs="Arial" w:eastAsia="Arial" w:hAnsi="Arial"/>
                <w:sz w:val="15"/>
                <w:szCs w:val="15"/>
                <w:color w:val="auto"/>
              </w:rPr>
              <w:t>Total</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364,719</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140" w:type="dxa"/>
            <w:vAlign w:val="bottom"/>
            <w:gridSpan w:val="2"/>
          </w:tcPr>
          <w:p>
            <w:pPr>
              <w:jc w:val="right"/>
              <w:ind w:right="20"/>
              <w:spacing w:after="0" w:line="172" w:lineRule="exact"/>
              <w:rPr>
                <w:sz w:val="20"/>
                <w:szCs w:val="20"/>
                <w:color w:val="auto"/>
              </w:rPr>
            </w:pPr>
            <w:r>
              <w:rPr>
                <w:rFonts w:ascii="Arial" w:cs="Arial" w:eastAsia="Arial" w:hAnsi="Arial"/>
                <w:sz w:val="15"/>
                <w:szCs w:val="15"/>
                <w:color w:val="auto"/>
                <w:w w:val="74"/>
              </w:rPr>
              <w:t>%</w:t>
            </w:r>
          </w:p>
        </w:tc>
      </w:tr>
      <w:tr>
        <w:trPr>
          <w:trHeight w:val="20"/>
        </w:trPr>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The following table shows the distribution of our investments on the 1 to 5 investment performance rating scale at fair value as of December 31, 2012 (dollars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3"/>
          </w:tcPr>
          <w:p>
            <w:pPr>
              <w:jc w:val="center"/>
              <w:ind w:right="500"/>
              <w:spacing w:after="0"/>
              <w:rPr>
                <w:sz w:val="20"/>
                <w:szCs w:val="20"/>
                <w:color w:val="auto"/>
              </w:rPr>
            </w:pPr>
            <w:r>
              <w:rPr>
                <w:rFonts w:ascii="Arial" w:cs="Arial" w:eastAsia="Arial" w:hAnsi="Arial"/>
                <w:sz w:val="15"/>
                <w:szCs w:val="15"/>
                <w:b w:val="1"/>
                <w:bCs w:val="1"/>
                <w:color w:val="auto"/>
                <w:w w:val="89"/>
              </w:rPr>
              <w:t>Investments</w:t>
            </w:r>
          </w:p>
        </w:tc>
        <w:tc>
          <w:tcPr>
            <w:tcW w:w="128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86"/>
              </w:rPr>
              <w:t>Percentage</w:t>
            </w:r>
          </w:p>
        </w:tc>
      </w:tr>
      <w:tr>
        <w:trPr>
          <w:trHeight w:val="181"/>
        </w:trPr>
        <w:tc>
          <w:tcPr>
            <w:tcW w:w="8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3"/>
          </w:tcPr>
          <w:p>
            <w:pPr>
              <w:jc w:val="center"/>
              <w:ind w:right="480"/>
              <w:spacing w:after="0"/>
              <w:rPr>
                <w:sz w:val="20"/>
                <w:szCs w:val="20"/>
                <w:color w:val="auto"/>
              </w:rPr>
            </w:pPr>
            <w:r>
              <w:rPr>
                <w:rFonts w:ascii="Arial" w:cs="Arial" w:eastAsia="Arial" w:hAnsi="Arial"/>
                <w:sz w:val="15"/>
                <w:szCs w:val="15"/>
                <w:b w:val="1"/>
                <w:bCs w:val="1"/>
                <w:color w:val="auto"/>
                <w:w w:val="97"/>
              </w:rPr>
              <w:t>at Fair</w:t>
            </w:r>
          </w:p>
        </w:tc>
        <w:tc>
          <w:tcPr>
            <w:tcW w:w="128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92"/>
              </w:rPr>
              <w:t>of Total</w:t>
            </w:r>
          </w:p>
        </w:tc>
      </w:tr>
      <w:tr>
        <w:trPr>
          <w:trHeight w:val="195"/>
        </w:trPr>
        <w:tc>
          <w:tcPr>
            <w:tcW w:w="84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Investment Performance Rating</w:t>
            </w:r>
          </w:p>
        </w:tc>
        <w:tc>
          <w:tcPr>
            <w:tcW w:w="100" w:type="dxa"/>
            <w:vAlign w:val="bottom"/>
            <w:tcBorders>
              <w:bottom w:val="single" w:sz="8" w:color="CCFFC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Borders>
              <w:bottom w:val="single" w:sz="8" w:color="CCFFC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b w:val="1"/>
                <w:bCs w:val="1"/>
                <w:color w:val="auto"/>
                <w:w w:val="89"/>
              </w:rPr>
              <w:t>Investments</w:t>
            </w:r>
          </w:p>
        </w:tc>
        <w:tc>
          <w:tcPr>
            <w:tcW w:w="140" w:type="dxa"/>
            <w:vAlign w:val="bottom"/>
            <w:tcBorders>
              <w:bottom w:val="single" w:sz="8" w:color="CCFFCC"/>
            </w:tcBorders>
            <w:gridSpan w:val="2"/>
          </w:tcPr>
          <w:p>
            <w:pPr>
              <w:spacing w:after="0"/>
              <w:rPr>
                <w:sz w:val="16"/>
                <w:szCs w:val="16"/>
                <w:color w:val="auto"/>
              </w:rPr>
            </w:pPr>
          </w:p>
        </w:tc>
      </w:tr>
      <w:tr>
        <w:trPr>
          <w:trHeight w:val="173"/>
        </w:trPr>
        <w:tc>
          <w:tcPr>
            <w:tcW w:w="8460" w:type="dxa"/>
            <w:vAlign w:val="bottom"/>
            <w:shd w:val="clear" w:color="auto" w:fill="CCFFCC"/>
          </w:tcPr>
          <w:p>
            <w:pPr>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FFCC"/>
          </w:tcPr>
          <w:p>
            <w:pPr>
              <w:spacing w:after="0"/>
              <w:rPr>
                <w:sz w:val="15"/>
                <w:szCs w:val="15"/>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172,598</w:t>
            </w:r>
          </w:p>
        </w:tc>
        <w:tc>
          <w:tcPr>
            <w:tcW w:w="2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80" w:type="dxa"/>
            <w:vAlign w:val="bottom"/>
            <w:gridSpan w:val="3"/>
            <w:shd w:val="clear" w:color="auto" w:fill="CCFFCC"/>
          </w:tcPr>
          <w:p>
            <w:pPr>
              <w:jc w:val="right"/>
              <w:ind w:right="20"/>
              <w:spacing w:after="0"/>
              <w:rPr>
                <w:sz w:val="20"/>
                <w:szCs w:val="20"/>
                <w:color w:val="auto"/>
              </w:rPr>
            </w:pPr>
            <w:r>
              <w:rPr>
                <w:rFonts w:ascii="Arial" w:cs="Arial" w:eastAsia="Arial" w:hAnsi="Arial"/>
                <w:sz w:val="15"/>
                <w:szCs w:val="15"/>
                <w:color w:val="auto"/>
              </w:rPr>
              <w:t>60.8%</w:t>
            </w:r>
          </w:p>
        </w:tc>
      </w:tr>
      <w:tr>
        <w:trPr>
          <w:trHeight w:val="181"/>
        </w:trPr>
        <w:tc>
          <w:tcPr>
            <w:tcW w:w="8460" w:type="dxa"/>
            <w:vAlign w:val="bottom"/>
          </w:tcPr>
          <w:p>
            <w:pPr>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80,676</w:t>
            </w:r>
          </w:p>
        </w:tc>
        <w:tc>
          <w:tcPr>
            <w:tcW w:w="120" w:type="dxa"/>
            <w:vAlign w:val="bottom"/>
          </w:tcPr>
          <w:p>
            <w:pPr>
              <w:spacing w:after="0"/>
              <w:rPr>
                <w:sz w:val="15"/>
                <w:szCs w:val="15"/>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5"/>
                <w:szCs w:val="15"/>
                <w:color w:val="auto"/>
              </w:rPr>
              <w:t>28.4</w:t>
            </w:r>
          </w:p>
        </w:tc>
      </w:tr>
      <w:tr>
        <w:trPr>
          <w:trHeight w:val="181"/>
        </w:trPr>
        <w:tc>
          <w:tcPr>
            <w:tcW w:w="8460" w:type="dxa"/>
            <w:vAlign w:val="bottom"/>
            <w:shd w:val="clear" w:color="auto" w:fill="CCFFCC"/>
          </w:tcPr>
          <w:p>
            <w:pPr>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21,870</w:t>
            </w:r>
          </w:p>
        </w:tc>
        <w:tc>
          <w:tcPr>
            <w:tcW w:w="120" w:type="dxa"/>
            <w:vAlign w:val="bottom"/>
            <w:shd w:val="clear" w:color="auto" w:fill="CCFFCC"/>
          </w:tcPr>
          <w:p>
            <w:pPr>
              <w:spacing w:after="0"/>
              <w:rPr>
                <w:sz w:val="15"/>
                <w:szCs w:val="15"/>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rPr>
              <w:t>7.7</w:t>
            </w:r>
          </w:p>
        </w:tc>
        <w:tc>
          <w:tcPr>
            <w:tcW w:w="120" w:type="dxa"/>
            <w:vAlign w:val="bottom"/>
            <w:shd w:val="clear" w:color="auto" w:fill="CCFFCC"/>
          </w:tcPr>
          <w:p>
            <w:pPr>
              <w:spacing w:after="0"/>
              <w:rPr>
                <w:sz w:val="15"/>
                <w:szCs w:val="15"/>
                <w:color w:val="auto"/>
              </w:rPr>
            </w:pPr>
          </w:p>
        </w:tc>
      </w:tr>
      <w:tr>
        <w:trPr>
          <w:trHeight w:val="181"/>
        </w:trPr>
        <w:tc>
          <w:tcPr>
            <w:tcW w:w="8460" w:type="dxa"/>
            <w:vAlign w:val="bottom"/>
          </w:tcPr>
          <w:p>
            <w:pPr>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8,787</w:t>
            </w:r>
          </w:p>
        </w:tc>
        <w:tc>
          <w:tcPr>
            <w:tcW w:w="1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15"/>
                <w:szCs w:val="15"/>
                <w:color w:val="auto"/>
              </w:rPr>
            </w:pPr>
          </w:p>
        </w:tc>
      </w:tr>
      <w:tr>
        <w:trPr>
          <w:trHeight w:val="192"/>
        </w:trPr>
        <w:tc>
          <w:tcPr>
            <w:tcW w:w="8460" w:type="dxa"/>
            <w:vAlign w:val="bottom"/>
            <w:shd w:val="clear" w:color="auto" w:fill="CCFFCC"/>
          </w:tcPr>
          <w:p>
            <w:pPr>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280" w:type="dxa"/>
            <w:vAlign w:val="bottom"/>
            <w:gridSpan w:val="3"/>
            <w:shd w:val="clear" w:color="auto" w:fill="CCFFCC"/>
          </w:tcPr>
          <w:p>
            <w:pPr>
              <w:jc w:val="right"/>
              <w:ind w:right="140"/>
              <w:spacing w:after="0"/>
              <w:rPr>
                <w:sz w:val="20"/>
                <w:szCs w:val="20"/>
                <w:color w:val="auto"/>
              </w:rPr>
            </w:pPr>
            <w:r>
              <w:rPr>
                <w:rFonts w:ascii="Arial" w:cs="Arial" w:eastAsia="Arial" w:hAnsi="Arial"/>
                <w:sz w:val="15"/>
                <w:szCs w:val="15"/>
                <w:color w:val="auto"/>
              </w:rPr>
              <w:t>—</w:t>
            </w:r>
          </w:p>
        </w:tc>
      </w:tr>
      <w:tr>
        <w:trPr>
          <w:trHeight w:val="194"/>
        </w:trPr>
        <w:tc>
          <w:tcPr>
            <w:tcW w:w="8460" w:type="dxa"/>
            <w:vAlign w:val="bottom"/>
          </w:tcPr>
          <w:p>
            <w:pPr>
              <w:spacing w:after="0" w:line="172" w:lineRule="exact"/>
              <w:rPr>
                <w:sz w:val="20"/>
                <w:szCs w:val="20"/>
                <w:color w:val="auto"/>
              </w:rPr>
            </w:pPr>
            <w:r>
              <w:rPr>
                <w:rFonts w:ascii="Arial" w:cs="Arial" w:eastAsia="Arial" w:hAnsi="Arial"/>
                <w:sz w:val="15"/>
                <w:szCs w:val="15"/>
                <w:color w:val="auto"/>
              </w:rPr>
              <w:t>Total</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283,931</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140" w:type="dxa"/>
            <w:vAlign w:val="bottom"/>
            <w:gridSpan w:val="2"/>
          </w:tcPr>
          <w:p>
            <w:pPr>
              <w:jc w:val="right"/>
              <w:ind w:right="20"/>
              <w:spacing w:after="0" w:line="172" w:lineRule="exact"/>
              <w:rPr>
                <w:sz w:val="20"/>
                <w:szCs w:val="20"/>
                <w:color w:val="auto"/>
              </w:rPr>
            </w:pPr>
            <w:r>
              <w:rPr>
                <w:rFonts w:ascii="Arial" w:cs="Arial" w:eastAsia="Arial" w:hAnsi="Arial"/>
                <w:sz w:val="15"/>
                <w:szCs w:val="15"/>
                <w:color w:val="auto"/>
                <w:w w:val="74"/>
              </w:rPr>
              <w:t>%</w:t>
            </w:r>
          </w:p>
        </w:tc>
      </w:tr>
      <w:tr>
        <w:trPr>
          <w:trHeight w:val="20"/>
        </w:trPr>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The Company had non-accrual loans outstanding with a fair market value of $6.5 million and $5.1 million as of December 31, 2013 and December 31, 2012,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Operating results for the years ended December 31, 2013, 2012, and, 2011 are as follows (dollars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8"/>
          </w:tcPr>
          <w:p>
            <w:pPr>
              <w:jc w:val="right"/>
              <w:ind w:right="92"/>
              <w:spacing w:after="0"/>
              <w:rPr>
                <w:sz w:val="20"/>
                <w:szCs w:val="20"/>
                <w:color w:val="auto"/>
              </w:rPr>
            </w:pPr>
            <w:r>
              <w:rPr>
                <w:rFonts w:ascii="Arial" w:cs="Arial" w:eastAsia="Arial" w:hAnsi="Arial"/>
                <w:sz w:val="15"/>
                <w:szCs w:val="15"/>
                <w:b w:val="1"/>
                <w:bCs w:val="1"/>
                <w:color w:val="auto"/>
                <w:w w:val="99"/>
              </w:rPr>
              <w:t>For the Year Ended December 31</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080" w:type="dxa"/>
            <w:vAlign w:val="bottom"/>
            <w:tcBorders>
              <w:bottom w:val="single" w:sz="8" w:color="CCFFCC"/>
            </w:tcBorders>
          </w:tcPr>
          <w:p>
            <w:pPr>
              <w:spacing w:after="0"/>
              <w:rPr>
                <w:sz w:val="16"/>
                <w:szCs w:val="16"/>
                <w:color w:val="auto"/>
              </w:rPr>
            </w:pPr>
          </w:p>
        </w:tc>
        <w:tc>
          <w:tcPr>
            <w:tcW w:w="2020" w:type="dxa"/>
            <w:vAlign w:val="bottom"/>
            <w:tcBorders>
              <w:bottom w:val="single" w:sz="8" w:color="CCFFCC"/>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2013</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2012</w:t>
            </w:r>
          </w:p>
        </w:tc>
        <w:tc>
          <w:tcPr>
            <w:tcW w:w="220" w:type="dxa"/>
            <w:vAlign w:val="bottom"/>
            <w:tcBorders>
              <w:bottom w:val="single" w:sz="8" w:color="CCFFCC"/>
            </w:tcBorders>
          </w:tcPr>
          <w:p>
            <w:pPr>
              <w:spacing w:after="0"/>
              <w:rPr>
                <w:sz w:val="16"/>
                <w:szCs w:val="16"/>
                <w:color w:val="auto"/>
              </w:rPr>
            </w:pPr>
          </w:p>
        </w:tc>
        <w:tc>
          <w:tcPr>
            <w:tcW w:w="20" w:type="dxa"/>
            <w:vAlign w:val="bottom"/>
            <w:tcBorders>
              <w:bottom w:val="single" w:sz="8" w:color="CCFFC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2011</w:t>
            </w:r>
          </w:p>
        </w:tc>
        <w:tc>
          <w:tcPr>
            <w:tcW w:w="20" w:type="dxa"/>
            <w:vAlign w:val="bottom"/>
            <w:tcBorders>
              <w:bottom w:val="single" w:sz="8" w:color="CCFFCC"/>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080" w:type="dxa"/>
            <w:vAlign w:val="bottom"/>
            <w:shd w:val="clear" w:color="auto" w:fill="CCFFCC"/>
          </w:tcPr>
          <w:p>
            <w:pPr>
              <w:spacing w:after="0" w:line="172" w:lineRule="exact"/>
              <w:rPr>
                <w:sz w:val="20"/>
                <w:szCs w:val="20"/>
                <w:color w:val="auto"/>
              </w:rPr>
            </w:pPr>
            <w:r>
              <w:rPr>
                <w:rFonts w:ascii="Arial" w:cs="Arial" w:eastAsia="Arial" w:hAnsi="Arial"/>
                <w:sz w:val="15"/>
                <w:szCs w:val="15"/>
                <w:color w:val="auto"/>
              </w:rPr>
              <w:t>Total investment income</w:t>
            </w:r>
          </w:p>
        </w:tc>
        <w:tc>
          <w:tcPr>
            <w:tcW w:w="2020" w:type="dxa"/>
            <w:vAlign w:val="bottom"/>
            <w:shd w:val="clear" w:color="auto" w:fill="CCFFCC"/>
          </w:tcPr>
          <w:p>
            <w:pPr>
              <w:spacing w:after="0"/>
              <w:rPr>
                <w:sz w:val="14"/>
                <w:szCs w:val="14"/>
                <w:color w:val="auto"/>
              </w:rPr>
            </w:pPr>
          </w:p>
        </w:tc>
        <w:tc>
          <w:tcPr>
            <w:tcW w:w="820" w:type="dxa"/>
            <w:vAlign w:val="bottom"/>
            <w:shd w:val="clear" w:color="auto" w:fill="CCFFCC"/>
          </w:tcPr>
          <w:p>
            <w:pPr>
              <w:jc w:val="right"/>
              <w:ind w:right="665"/>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91"/>
              </w:rPr>
              <w:t>35,433</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24,939</w:t>
            </w:r>
          </w:p>
        </w:tc>
        <w:tc>
          <w:tcPr>
            <w:tcW w:w="22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340" w:type="dxa"/>
            <w:vAlign w:val="bottom"/>
            <w:shd w:val="clear" w:color="auto" w:fill="CCFFCC"/>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17,625</w:t>
            </w:r>
          </w:p>
        </w:tc>
        <w:tc>
          <w:tcPr>
            <w:tcW w:w="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080" w:type="dxa"/>
            <w:vAlign w:val="bottom"/>
          </w:tcPr>
          <w:p>
            <w:pPr>
              <w:spacing w:after="0"/>
              <w:rPr>
                <w:sz w:val="20"/>
                <w:szCs w:val="20"/>
                <w:color w:val="auto"/>
              </w:rPr>
            </w:pPr>
            <w:r>
              <w:rPr>
                <w:rFonts w:ascii="Arial" w:cs="Arial" w:eastAsia="Arial" w:hAnsi="Arial"/>
                <w:sz w:val="15"/>
                <w:szCs w:val="15"/>
                <w:color w:val="auto"/>
              </w:rPr>
              <w:t>Total expenses</w:t>
            </w:r>
          </w:p>
        </w:tc>
        <w:tc>
          <w:tcPr>
            <w:tcW w:w="2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w w:val="91"/>
              </w:rPr>
              <w:t>15,949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12,015</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8,712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080" w:type="dxa"/>
            <w:vAlign w:val="bottom"/>
            <w:tcBorders>
              <w:top w:val="single" w:sz="8" w:color="CCFFCC"/>
            </w:tcBorders>
            <w:shd w:val="clear" w:color="auto" w:fill="CCFFCC"/>
          </w:tcPr>
          <w:p>
            <w:pPr>
              <w:ind w:left="140"/>
              <w:spacing w:after="0"/>
              <w:rPr>
                <w:sz w:val="20"/>
                <w:szCs w:val="20"/>
                <w:color w:val="auto"/>
              </w:rPr>
            </w:pPr>
            <w:r>
              <w:rPr>
                <w:rFonts w:ascii="Arial" w:cs="Arial" w:eastAsia="Arial" w:hAnsi="Arial"/>
                <w:sz w:val="15"/>
                <w:szCs w:val="15"/>
                <w:color w:val="auto"/>
              </w:rPr>
              <w:t>Net investment income</w:t>
            </w:r>
          </w:p>
        </w:tc>
        <w:tc>
          <w:tcPr>
            <w:tcW w:w="2020" w:type="dxa"/>
            <w:vAlign w:val="bottom"/>
            <w:tcBorders>
              <w:top w:val="single" w:sz="8" w:color="CCFFCC"/>
            </w:tcBorders>
            <w:shd w:val="clear" w:color="auto" w:fill="CCFFCC"/>
          </w:tcPr>
          <w:p>
            <w:pPr>
              <w:spacing w:after="0"/>
              <w:rPr>
                <w:sz w:val="15"/>
                <w:szCs w:val="15"/>
                <w:color w:val="auto"/>
              </w:rPr>
            </w:pPr>
          </w:p>
        </w:tc>
        <w:tc>
          <w:tcPr>
            <w:tcW w:w="820" w:type="dxa"/>
            <w:vAlign w:val="bottom"/>
            <w:tcBorders>
              <w:top w:val="single" w:sz="8" w:color="auto"/>
            </w:tcBorders>
            <w:shd w:val="clear" w:color="auto" w:fill="CCFFCC"/>
          </w:tcPr>
          <w:p>
            <w:pPr>
              <w:spacing w:after="0"/>
              <w:rPr>
                <w:sz w:val="15"/>
                <w:szCs w:val="15"/>
                <w:color w:val="auto"/>
              </w:rPr>
            </w:pPr>
          </w:p>
        </w:tc>
        <w:tc>
          <w:tcPr>
            <w:tcW w:w="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91"/>
              </w:rPr>
              <w:t>19,484</w:t>
            </w:r>
          </w:p>
        </w:tc>
        <w:tc>
          <w:tcPr>
            <w:tcW w:w="12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280" w:type="dxa"/>
            <w:vAlign w:val="bottom"/>
            <w:tcBorders>
              <w:top w:val="single" w:sz="8" w:color="auto"/>
            </w:tcBorders>
            <w:shd w:val="clear" w:color="auto" w:fill="CCFFCC"/>
          </w:tcPr>
          <w:p>
            <w:pPr>
              <w:spacing w:after="0"/>
              <w:rPr>
                <w:sz w:val="15"/>
                <w:szCs w:val="15"/>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12,924</w:t>
            </w:r>
          </w:p>
        </w:tc>
        <w:tc>
          <w:tcPr>
            <w:tcW w:w="220" w:type="dxa"/>
            <w:vAlign w:val="bottom"/>
            <w:tcBorders>
              <w:top w:val="single" w:sz="8" w:color="CCFFCC"/>
            </w:tcBorders>
            <w:shd w:val="clear" w:color="auto" w:fill="CCFFCC"/>
          </w:tcPr>
          <w:p>
            <w:pPr>
              <w:spacing w:after="0"/>
              <w:rPr>
                <w:sz w:val="15"/>
                <w:szCs w:val="15"/>
                <w:color w:val="auto"/>
              </w:rPr>
            </w:pPr>
          </w:p>
        </w:tc>
        <w:tc>
          <w:tcPr>
            <w:tcW w:w="20" w:type="dxa"/>
            <w:vAlign w:val="bottom"/>
            <w:tcBorders>
              <w:top w:val="single" w:sz="8" w:color="CCFFCC"/>
            </w:tcBorders>
            <w:shd w:val="clear" w:color="auto" w:fill="CCFFCC"/>
          </w:tcPr>
          <w:p>
            <w:pPr>
              <w:spacing w:after="0"/>
              <w:rPr>
                <w:sz w:val="15"/>
                <w:szCs w:val="15"/>
                <w:color w:val="auto"/>
              </w:rPr>
            </w:pPr>
          </w:p>
        </w:tc>
        <w:tc>
          <w:tcPr>
            <w:tcW w:w="340" w:type="dxa"/>
            <w:vAlign w:val="bottom"/>
            <w:tcBorders>
              <w:top w:val="single" w:sz="8" w:color="auto"/>
            </w:tcBorders>
            <w:shd w:val="clear" w:color="auto" w:fill="CCFFCC"/>
          </w:tcPr>
          <w:p>
            <w:pPr>
              <w:spacing w:after="0"/>
              <w:rPr>
                <w:sz w:val="15"/>
                <w:szCs w:val="15"/>
                <w:color w:val="auto"/>
              </w:rPr>
            </w:pP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8,913</w:t>
            </w:r>
          </w:p>
        </w:tc>
        <w:tc>
          <w:tcPr>
            <w:tcW w:w="2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080" w:type="dxa"/>
            <w:vAlign w:val="bottom"/>
          </w:tcPr>
          <w:p>
            <w:pPr>
              <w:spacing w:after="0"/>
              <w:rPr>
                <w:sz w:val="20"/>
                <w:szCs w:val="20"/>
                <w:color w:val="auto"/>
              </w:rPr>
            </w:pPr>
            <w:r>
              <w:rPr>
                <w:rFonts w:ascii="Arial" w:cs="Arial" w:eastAsia="Arial" w:hAnsi="Arial"/>
                <w:sz w:val="15"/>
                <w:szCs w:val="15"/>
                <w:color w:val="auto"/>
              </w:rPr>
              <w:t>Net realized gains</w:t>
            </w:r>
          </w:p>
        </w:tc>
        <w:tc>
          <w:tcPr>
            <w:tcW w:w="2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2,187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1,590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2,963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080" w:type="dxa"/>
            <w:vAlign w:val="bottom"/>
            <w:shd w:val="clear" w:color="auto" w:fill="CCFFCC"/>
          </w:tcPr>
          <w:p>
            <w:pPr>
              <w:spacing w:after="0"/>
              <w:rPr>
                <w:sz w:val="20"/>
                <w:szCs w:val="20"/>
                <w:color w:val="auto"/>
              </w:rPr>
            </w:pPr>
            <w:r>
              <w:rPr>
                <w:rFonts w:ascii="Arial" w:cs="Arial" w:eastAsia="Arial" w:hAnsi="Arial"/>
                <w:sz w:val="15"/>
                <w:szCs w:val="15"/>
                <w:color w:val="auto"/>
              </w:rPr>
              <w:t>Net unrealized appreciation</w:t>
            </w:r>
          </w:p>
        </w:tc>
        <w:tc>
          <w:tcPr>
            <w:tcW w:w="202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7,187</w:t>
            </w: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35,056</w:t>
            </w:r>
          </w:p>
        </w:tc>
        <w:tc>
          <w:tcPr>
            <w:tcW w:w="2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13,461</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5"/>
                <w:szCs w:val="15"/>
                <w:color w:val="auto"/>
              </w:rPr>
              <w:t>Net increase in net assets resulting from operations</w:t>
            </w:r>
          </w:p>
        </w:tc>
        <w:tc>
          <w:tcPr>
            <w:tcW w:w="2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80" w:type="dxa"/>
            <w:vAlign w:val="bottom"/>
            <w:vMerge w:val="continue"/>
          </w:tcPr>
          <w:p>
            <w:pPr>
              <w:spacing w:after="0"/>
              <w:rPr>
                <w:sz w:val="15"/>
                <w:szCs w:val="15"/>
                <w:color w:val="auto"/>
              </w:rPr>
            </w:pPr>
          </w:p>
        </w:tc>
        <w:tc>
          <w:tcPr>
            <w:tcW w:w="2020" w:type="dxa"/>
            <w:vAlign w:val="bottom"/>
          </w:tcPr>
          <w:p>
            <w:pPr>
              <w:spacing w:after="0"/>
              <w:rPr>
                <w:sz w:val="15"/>
                <w:szCs w:val="15"/>
                <w:color w:val="auto"/>
              </w:rPr>
            </w:pP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w w:val="91"/>
              </w:rPr>
              <w:t>28,858</w:t>
            </w:r>
          </w:p>
        </w:tc>
        <w:tc>
          <w:tcPr>
            <w:tcW w:w="380" w:type="dxa"/>
            <w:vAlign w:val="bottom"/>
            <w:gridSpan w:val="2"/>
          </w:tcPr>
          <w:p>
            <w:pPr>
              <w:jc w:val="right"/>
              <w:ind w:right="125"/>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49,570</w:t>
            </w:r>
          </w:p>
        </w:tc>
        <w:tc>
          <w:tcPr>
            <w:tcW w:w="360" w:type="dxa"/>
            <w:vAlign w:val="bottom"/>
            <w:gridSpan w:val="2"/>
          </w:tcPr>
          <w:p>
            <w:pPr>
              <w:jc w:val="right"/>
              <w:ind w:right="232"/>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25,337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Investment income</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5"/>
          <w:szCs w:val="15"/>
          <w:color w:val="auto"/>
        </w:rPr>
        <w:t>The composition of our investment income for the years ended December 31, 2013, 2012 and 2011 was as follows (dollars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8"/>
          </w:tcPr>
          <w:p>
            <w:pPr>
              <w:jc w:val="right"/>
              <w:ind w:right="65"/>
              <w:spacing w:after="0"/>
              <w:rPr>
                <w:sz w:val="20"/>
                <w:szCs w:val="20"/>
                <w:color w:val="auto"/>
              </w:rPr>
            </w:pPr>
            <w:r>
              <w:rPr>
                <w:rFonts w:ascii="Arial" w:cs="Arial" w:eastAsia="Arial" w:hAnsi="Arial"/>
                <w:sz w:val="15"/>
                <w:szCs w:val="15"/>
                <w:b w:val="1"/>
                <w:bCs w:val="1"/>
                <w:color w:val="auto"/>
                <w:w w:val="99"/>
              </w:rPr>
              <w:t>For the Year Ended December 31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00" w:type="dxa"/>
            <w:vAlign w:val="bottom"/>
            <w:tcBorders>
              <w:bottom w:val="single" w:sz="8" w:color="CCFFCC"/>
            </w:tcBorders>
          </w:tcPr>
          <w:p>
            <w:pPr>
              <w:spacing w:after="0"/>
              <w:rPr>
                <w:sz w:val="16"/>
                <w:szCs w:val="16"/>
                <w:color w:val="auto"/>
              </w:rPr>
            </w:pPr>
          </w:p>
        </w:tc>
        <w:tc>
          <w:tcPr>
            <w:tcW w:w="3100" w:type="dxa"/>
            <w:vAlign w:val="bottom"/>
            <w:tcBorders>
              <w:bottom w:val="single" w:sz="8" w:color="CCFFCC"/>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2013</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2012</w:t>
            </w:r>
          </w:p>
        </w:tc>
        <w:tc>
          <w:tcPr>
            <w:tcW w:w="120" w:type="dxa"/>
            <w:vAlign w:val="bottom"/>
            <w:tcBorders>
              <w:bottom w:val="single" w:sz="8" w:color="CCFFCC"/>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2011</w:t>
            </w:r>
          </w:p>
        </w:tc>
        <w:tc>
          <w:tcPr>
            <w:tcW w:w="120" w:type="dxa"/>
            <w:vAlign w:val="bottom"/>
            <w:tcBorders>
              <w:bottom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00" w:type="dxa"/>
            <w:vAlign w:val="bottom"/>
            <w:shd w:val="clear" w:color="auto" w:fill="CCFFCC"/>
          </w:tcPr>
          <w:p>
            <w:pPr>
              <w:spacing w:after="0" w:line="172" w:lineRule="exact"/>
              <w:rPr>
                <w:sz w:val="20"/>
                <w:szCs w:val="20"/>
                <w:color w:val="auto"/>
              </w:rPr>
            </w:pPr>
            <w:r>
              <w:rPr>
                <w:rFonts w:ascii="Arial" w:cs="Arial" w:eastAsia="Arial" w:hAnsi="Arial"/>
                <w:sz w:val="15"/>
                <w:szCs w:val="15"/>
                <w:color w:val="auto"/>
              </w:rPr>
              <w:t>Loan interest and fee income</w:t>
            </w:r>
          </w:p>
        </w:tc>
        <w:tc>
          <w:tcPr>
            <w:tcW w:w="3100" w:type="dxa"/>
            <w:vAlign w:val="bottom"/>
            <w:shd w:val="clear" w:color="auto" w:fill="CCFFCC"/>
          </w:tcPr>
          <w:p>
            <w:pPr>
              <w:spacing w:after="0"/>
              <w:rPr>
                <w:sz w:val="14"/>
                <w:szCs w:val="14"/>
                <w:color w:val="auto"/>
              </w:rPr>
            </w:pPr>
          </w:p>
        </w:tc>
        <w:tc>
          <w:tcPr>
            <w:tcW w:w="820" w:type="dxa"/>
            <w:vAlign w:val="bottom"/>
            <w:shd w:val="clear" w:color="auto" w:fill="CCFFCC"/>
          </w:tcPr>
          <w:p>
            <w:pPr>
              <w:jc w:val="right"/>
              <w:ind w:right="665"/>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91"/>
              </w:rPr>
              <w:t>25,777</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21,763</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360" w:type="dxa"/>
            <w:vAlign w:val="bottom"/>
            <w:shd w:val="clear" w:color="auto" w:fill="CCFFC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14,539</w:t>
            </w: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00" w:type="dxa"/>
            <w:vAlign w:val="bottom"/>
          </w:tcPr>
          <w:p>
            <w:pPr>
              <w:spacing w:after="0"/>
              <w:rPr>
                <w:sz w:val="20"/>
                <w:szCs w:val="20"/>
                <w:color w:val="auto"/>
              </w:rPr>
            </w:pPr>
            <w:r>
              <w:rPr>
                <w:rFonts w:ascii="Arial" w:cs="Arial" w:eastAsia="Arial" w:hAnsi="Arial"/>
                <w:sz w:val="15"/>
                <w:szCs w:val="15"/>
                <w:color w:val="auto"/>
              </w:rPr>
              <w:t>Payment-in-kind interest income</w:t>
            </w:r>
          </w:p>
        </w:tc>
        <w:tc>
          <w:tcPr>
            <w:tcW w:w="3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1,571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1,789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1,639</w:t>
            </w:r>
          </w:p>
        </w:tc>
        <w:tc>
          <w:tcPr>
            <w:tcW w:w="0" w:type="dxa"/>
            <w:vAlign w:val="bottom"/>
          </w:tcPr>
          <w:p>
            <w:pPr>
              <w:spacing w:after="0"/>
              <w:rPr>
                <w:sz w:val="1"/>
                <w:szCs w:val="1"/>
                <w:color w:val="auto"/>
              </w:rPr>
            </w:pPr>
          </w:p>
        </w:tc>
      </w:tr>
      <w:tr>
        <w:trPr>
          <w:trHeight w:val="181"/>
        </w:trPr>
        <w:tc>
          <w:tcPr>
            <w:tcW w:w="4000" w:type="dxa"/>
            <w:vAlign w:val="bottom"/>
            <w:shd w:val="clear" w:color="auto" w:fill="CCFFCC"/>
          </w:tcPr>
          <w:p>
            <w:pPr>
              <w:spacing w:after="0"/>
              <w:rPr>
                <w:sz w:val="20"/>
                <w:szCs w:val="20"/>
                <w:color w:val="auto"/>
              </w:rPr>
            </w:pPr>
            <w:r>
              <w:rPr>
                <w:rFonts w:ascii="Arial" w:cs="Arial" w:eastAsia="Arial" w:hAnsi="Arial"/>
                <w:sz w:val="15"/>
                <w:szCs w:val="15"/>
                <w:color w:val="auto"/>
              </w:rPr>
              <w:t>Dividend income</w:t>
            </w:r>
          </w:p>
        </w:tc>
        <w:tc>
          <w:tcPr>
            <w:tcW w:w="310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6,432</w:t>
            </w: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1,052</w:t>
            </w: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36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1,018</w:t>
            </w:r>
          </w:p>
        </w:tc>
        <w:tc>
          <w:tcPr>
            <w:tcW w:w="0" w:type="dxa"/>
            <w:vAlign w:val="bottom"/>
          </w:tcPr>
          <w:p>
            <w:pPr>
              <w:spacing w:after="0"/>
              <w:rPr>
                <w:sz w:val="1"/>
                <w:szCs w:val="1"/>
                <w:color w:val="auto"/>
              </w:rPr>
            </w:pPr>
          </w:p>
        </w:tc>
      </w:tr>
      <w:tr>
        <w:trPr>
          <w:trHeight w:val="181"/>
        </w:trPr>
        <w:tc>
          <w:tcPr>
            <w:tcW w:w="4000" w:type="dxa"/>
            <w:vAlign w:val="bottom"/>
          </w:tcPr>
          <w:p>
            <w:pPr>
              <w:spacing w:after="0"/>
              <w:rPr>
                <w:sz w:val="20"/>
                <w:szCs w:val="20"/>
                <w:color w:val="auto"/>
              </w:rPr>
            </w:pPr>
            <w:r>
              <w:rPr>
                <w:rFonts w:ascii="Arial" w:cs="Arial" w:eastAsia="Arial" w:hAnsi="Arial"/>
                <w:sz w:val="15"/>
                <w:szCs w:val="15"/>
                <w:color w:val="auto"/>
              </w:rPr>
              <w:t>Interest from cash and cash equivalents</w:t>
            </w:r>
          </w:p>
        </w:tc>
        <w:tc>
          <w:tcPr>
            <w:tcW w:w="3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rPr>
              <w:t>149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141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181"/>
        </w:trPr>
        <w:tc>
          <w:tcPr>
            <w:tcW w:w="4000" w:type="dxa"/>
            <w:vAlign w:val="bottom"/>
            <w:shd w:val="clear" w:color="auto" w:fill="CCFFCC"/>
          </w:tcPr>
          <w:p>
            <w:pPr>
              <w:spacing w:after="0"/>
              <w:rPr>
                <w:sz w:val="20"/>
                <w:szCs w:val="20"/>
                <w:color w:val="auto"/>
              </w:rPr>
            </w:pPr>
            <w:r>
              <w:rPr>
                <w:rFonts w:ascii="Arial" w:cs="Arial" w:eastAsia="Arial" w:hAnsi="Arial"/>
                <w:sz w:val="15"/>
                <w:szCs w:val="15"/>
                <w:color w:val="auto"/>
              </w:rPr>
              <w:t>Income from pass-through entities</w:t>
            </w:r>
          </w:p>
        </w:tc>
        <w:tc>
          <w:tcPr>
            <w:tcW w:w="310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1,504</w:t>
            </w: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171</w:t>
            </w:r>
          </w:p>
        </w:tc>
        <w:tc>
          <w:tcPr>
            <w:tcW w:w="100" w:type="dxa"/>
            <w:vAlign w:val="bottom"/>
            <w:shd w:val="clear" w:color="auto" w:fill="CCFFCC"/>
          </w:tcPr>
          <w:p>
            <w:pPr>
              <w:spacing w:after="0"/>
              <w:rPr>
                <w:sz w:val="15"/>
                <w:szCs w:val="15"/>
                <w:color w:val="auto"/>
              </w:rPr>
            </w:pPr>
          </w:p>
        </w:tc>
        <w:tc>
          <w:tcPr>
            <w:tcW w:w="36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91"/>
        </w:trPr>
        <w:tc>
          <w:tcPr>
            <w:tcW w:w="4000" w:type="dxa"/>
            <w:vAlign w:val="bottom"/>
          </w:tcPr>
          <w:p>
            <w:pPr>
              <w:spacing w:after="0"/>
              <w:rPr>
                <w:sz w:val="20"/>
                <w:szCs w:val="20"/>
                <w:color w:val="auto"/>
              </w:rPr>
            </w:pPr>
            <w:r>
              <w:rPr>
                <w:rFonts w:ascii="Arial" w:cs="Arial" w:eastAsia="Arial" w:hAnsi="Arial"/>
                <w:sz w:val="15"/>
                <w:szCs w:val="15"/>
                <w:color w:val="auto"/>
              </w:rPr>
              <w:t>Other Income</w:t>
            </w:r>
          </w:p>
        </w:tc>
        <w:tc>
          <w:tcPr>
            <w:tcW w:w="3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CCFFCC"/>
          </w:tcPr>
          <w:p>
            <w:pPr>
              <w:spacing w:after="0"/>
              <w:rPr>
                <w:sz w:val="20"/>
                <w:szCs w:val="20"/>
                <w:color w:val="auto"/>
              </w:rPr>
            </w:pPr>
            <w:r>
              <w:rPr>
                <w:rFonts w:ascii="Arial" w:cs="Arial" w:eastAsia="Arial" w:hAnsi="Arial"/>
                <w:sz w:val="15"/>
                <w:szCs w:val="15"/>
                <w:color w:val="auto"/>
              </w:rPr>
              <w:t>Total Investment Income</w:t>
            </w:r>
          </w:p>
        </w:tc>
        <w:tc>
          <w:tcPr>
            <w:tcW w:w="3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00" w:type="dxa"/>
            <w:vAlign w:val="bottom"/>
            <w:vMerge w:val="continue"/>
            <w:shd w:val="clear" w:color="auto" w:fill="CCFFCC"/>
          </w:tcPr>
          <w:p>
            <w:pPr>
              <w:spacing w:after="0"/>
              <w:rPr>
                <w:sz w:val="16"/>
                <w:szCs w:val="16"/>
                <w:color w:val="auto"/>
              </w:rPr>
            </w:pPr>
          </w:p>
        </w:tc>
        <w:tc>
          <w:tcPr>
            <w:tcW w:w="3100" w:type="dxa"/>
            <w:vAlign w:val="bottom"/>
            <w:shd w:val="clear" w:color="auto" w:fill="CCFFCC"/>
          </w:tcPr>
          <w:p>
            <w:pPr>
              <w:spacing w:after="0"/>
              <w:rPr>
                <w:sz w:val="16"/>
                <w:szCs w:val="16"/>
                <w:color w:val="auto"/>
              </w:rPr>
            </w:pPr>
          </w:p>
        </w:tc>
        <w:tc>
          <w:tcPr>
            <w:tcW w:w="820" w:type="dxa"/>
            <w:vAlign w:val="bottom"/>
            <w:shd w:val="clear" w:color="auto" w:fill="CCFFCC"/>
          </w:tcPr>
          <w:p>
            <w:pPr>
              <w:jc w:val="right"/>
              <w:ind w:right="665"/>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w w:val="91"/>
              </w:rPr>
              <w:t>35,433</w:t>
            </w:r>
          </w:p>
        </w:tc>
        <w:tc>
          <w:tcPr>
            <w:tcW w:w="380" w:type="dxa"/>
            <w:vAlign w:val="bottom"/>
            <w:gridSpan w:val="2"/>
            <w:shd w:val="clear" w:color="auto" w:fill="CCFFCC"/>
          </w:tcPr>
          <w:p>
            <w:pPr>
              <w:jc w:val="right"/>
              <w:ind w:right="125"/>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24,939</w:t>
            </w:r>
          </w:p>
        </w:tc>
        <w:tc>
          <w:tcPr>
            <w:tcW w:w="460" w:type="dxa"/>
            <w:vAlign w:val="bottom"/>
            <w:gridSpan w:val="2"/>
            <w:shd w:val="clear" w:color="auto" w:fill="CCFFCC"/>
          </w:tcPr>
          <w:p>
            <w:pPr>
              <w:jc w:val="right"/>
              <w:ind w:right="205"/>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17,625</w:t>
            </w:r>
          </w:p>
        </w:tc>
        <w:tc>
          <w:tcPr>
            <w:tcW w:w="0" w:type="dxa"/>
            <w:vAlign w:val="bottom"/>
          </w:tcPr>
          <w:p>
            <w:pPr>
              <w:spacing w:after="0"/>
              <w:rPr>
                <w:sz w:val="1"/>
                <w:szCs w:val="1"/>
                <w:color w:val="auto"/>
              </w:rPr>
            </w:pPr>
          </w:p>
        </w:tc>
      </w:tr>
      <w:tr>
        <w:trPr>
          <w:trHeight w:val="20"/>
        </w:trPr>
        <w:tc>
          <w:tcPr>
            <w:tcW w:w="4000" w:type="dxa"/>
            <w:vAlign w:val="bottom"/>
            <w:tcBorders>
              <w:top w:val="single" w:sz="8" w:color="CCFFCC"/>
            </w:tcBorders>
          </w:tcPr>
          <w:p>
            <w:pPr>
              <w:spacing w:after="0" w:line="20" w:lineRule="exact"/>
              <w:rPr>
                <w:sz w:val="1"/>
                <w:szCs w:val="1"/>
                <w:color w:val="auto"/>
              </w:rPr>
            </w:pPr>
          </w:p>
        </w:tc>
        <w:tc>
          <w:tcPr>
            <w:tcW w:w="3100" w:type="dxa"/>
            <w:vAlign w:val="bottom"/>
            <w:tcBorders>
              <w:top w:val="single" w:sz="8" w:color="CCFFCC"/>
              <w:bottom w:val="single" w:sz="8" w:color="CCFFCC"/>
            </w:tcBorders>
            <w:vMerge w:val="restart"/>
          </w:tcPr>
          <w:p>
            <w:pPr>
              <w:jc w:val="right"/>
              <w:ind w:right="1245"/>
              <w:spacing w:after="0"/>
              <w:rPr>
                <w:sz w:val="20"/>
                <w:szCs w:val="20"/>
                <w:color w:val="auto"/>
              </w:rPr>
            </w:pPr>
            <w:r>
              <w:rPr>
                <w:rFonts w:ascii="Arial" w:cs="Arial" w:eastAsia="Arial" w:hAnsi="Arial"/>
                <w:sz w:val="15"/>
                <w:szCs w:val="15"/>
                <w:color w:val="auto"/>
              </w:rPr>
              <w:t>63</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40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85" w:right="219" w:bottom="1440" w:gutter="0" w:footer="0" w:header="0"/>
        </w:sectPr>
      </w:pPr>
    </w:p>
    <w:bookmarkStart w:id="64" w:name="page65"/>
    <w:bookmarkEnd w:id="64"/>
    <w:p>
      <w:pPr>
        <w:ind w:right="260" w:firstLine="543"/>
        <w:spacing w:after="0" w:line="356" w:lineRule="auto"/>
        <w:rPr>
          <w:sz w:val="20"/>
          <w:szCs w:val="20"/>
          <w:color w:val="auto"/>
        </w:rPr>
      </w:pPr>
      <w:r>
        <w:rPr>
          <w:rFonts w:ascii="Arial" w:cs="Arial" w:eastAsia="Arial" w:hAnsi="Arial"/>
          <w:sz w:val="13"/>
          <w:szCs w:val="13"/>
          <w:color w:val="auto"/>
        </w:rPr>
        <w:t>For the year ended December 31, 2013, total investment income increased $10.5 million, or 42.1% compared to the fiscal year ended December 31, 2012. The increase from the prior year relates to higher dividend income mostly from recapitalizations of control investments, and higher loan and fee income resulting from an increasing investment portfolio.</w:t>
      </w:r>
    </w:p>
    <w:p>
      <w:pPr>
        <w:spacing w:after="0" w:line="99" w:lineRule="exact"/>
        <w:rPr>
          <w:sz w:val="20"/>
          <w:szCs w:val="20"/>
          <w:color w:val="auto"/>
        </w:rPr>
      </w:pPr>
    </w:p>
    <w:p>
      <w:pPr>
        <w:ind w:right="20" w:firstLine="543"/>
        <w:spacing w:after="0" w:line="276" w:lineRule="auto"/>
        <w:rPr>
          <w:sz w:val="20"/>
          <w:szCs w:val="20"/>
          <w:color w:val="auto"/>
        </w:rPr>
      </w:pPr>
      <w:r>
        <w:rPr>
          <w:rFonts w:ascii="Arial" w:cs="Arial" w:eastAsia="Arial" w:hAnsi="Arial"/>
          <w:sz w:val="15"/>
          <w:szCs w:val="15"/>
          <w:color w:val="auto"/>
        </w:rPr>
        <w:t>For the year ended December 31, 2012, total investment income increased $7.3 million, or 41.5% compared to the fiscal year ended December 31, 2011. The increase from the prior year relates to higher loan and fee income resulting from an increasing investment portfolio.</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composition of our expenses for the years ended December 31, 2013, 2012 and 2011 was as follows (dollars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5"/>
                <w:szCs w:val="15"/>
                <w:b w:val="1"/>
                <w:bCs w:val="1"/>
                <w:color w:val="auto"/>
                <w:w w:val="99"/>
              </w:rPr>
              <w:t>For the Year Ended December 31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2013</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5"/>
                <w:szCs w:val="15"/>
                <w:color w:val="auto"/>
              </w:rPr>
              <w:t>Interest expense and amortization of deferred financing fees</w:t>
            </w:r>
          </w:p>
        </w:tc>
        <w:tc>
          <w:tcPr>
            <w:tcW w:w="2560" w:type="dxa"/>
            <w:vAlign w:val="bottom"/>
            <w:gridSpan w:val="2"/>
            <w:shd w:val="clear" w:color="auto" w:fill="CCFFCC"/>
          </w:tcPr>
          <w:p>
            <w:pPr>
              <w:jc w:val="right"/>
              <w:ind w:right="665"/>
              <w:spacing w:after="0"/>
              <w:rPr>
                <w:sz w:val="20"/>
                <w:szCs w:val="20"/>
                <w:color w:val="auto"/>
              </w:rPr>
            </w:pPr>
            <w:r>
              <w:rPr>
                <w:rFonts w:ascii="Arial" w:cs="Arial" w:eastAsia="Arial" w:hAnsi="Arial"/>
                <w:sz w:val="15"/>
                <w:szCs w:val="15"/>
                <w:color w:val="auto"/>
              </w:rPr>
              <w:t>$</w:t>
            </w:r>
          </w:p>
        </w:tc>
        <w:tc>
          <w:tcPr>
            <w:tcW w:w="4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8,384</w:t>
            </w:r>
          </w:p>
        </w:tc>
        <w:tc>
          <w:tcPr>
            <w:tcW w:w="120" w:type="dxa"/>
            <w:vAlign w:val="bottom"/>
            <w:shd w:val="clear" w:color="auto" w:fill="CCFFCC"/>
          </w:tcPr>
          <w:p>
            <w:pPr>
              <w:spacing w:after="0"/>
              <w:rPr>
                <w:sz w:val="15"/>
                <w:szCs w:val="15"/>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7,853</w:t>
            </w:r>
          </w:p>
        </w:tc>
        <w:tc>
          <w:tcPr>
            <w:tcW w:w="120" w:type="dxa"/>
            <w:vAlign w:val="bottom"/>
            <w:shd w:val="clear" w:color="auto" w:fill="CCFFCC"/>
          </w:tcPr>
          <w:p>
            <w:pPr>
              <w:spacing w:after="0"/>
              <w:rPr>
                <w:sz w:val="15"/>
                <w:szCs w:val="15"/>
                <w:color w:val="auto"/>
              </w:rPr>
            </w:pPr>
          </w:p>
        </w:tc>
        <w:tc>
          <w:tcPr>
            <w:tcW w:w="460" w:type="dxa"/>
            <w:vAlign w:val="bottom"/>
            <w:gridSpan w:val="2"/>
            <w:shd w:val="clear" w:color="auto" w:fill="CCFFCC"/>
          </w:tcPr>
          <w:p>
            <w:pPr>
              <w:jc w:val="right"/>
              <w:ind w:right="28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5,476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5"/>
                <w:szCs w:val="15"/>
                <w:color w:val="auto"/>
              </w:rPr>
              <w:t>Management fees net of management fee waiver</w:t>
            </w:r>
          </w:p>
        </w:tc>
        <w:tc>
          <w:tcPr>
            <w:tcW w:w="1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4,731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4,043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2,651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5"/>
                <w:szCs w:val="15"/>
                <w:color w:val="auto"/>
              </w:rPr>
              <w:t>Incentive fees</w:t>
            </w:r>
          </w:p>
        </w:tc>
        <w:tc>
          <w:tcPr>
            <w:tcW w:w="174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1,525</w:t>
            </w: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FFCC"/>
          </w:tcPr>
          <w:p>
            <w:pPr>
              <w:spacing w:after="0"/>
              <w:rPr>
                <w:sz w:val="15"/>
                <w:szCs w:val="15"/>
                <w:color w:val="auto"/>
              </w:rPr>
            </w:pPr>
          </w:p>
        </w:tc>
        <w:tc>
          <w:tcPr>
            <w:tcW w:w="36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40" w:type="dxa"/>
            <w:vAlign w:val="bottom"/>
          </w:tcPr>
          <w:p>
            <w:pPr>
              <w:spacing w:after="0"/>
              <w:rPr>
                <w:sz w:val="20"/>
                <w:szCs w:val="20"/>
                <w:color w:val="auto"/>
              </w:rPr>
            </w:pPr>
            <w:r>
              <w:rPr>
                <w:rFonts w:ascii="Arial" w:cs="Arial" w:eastAsia="Arial" w:hAnsi="Arial"/>
                <w:sz w:val="15"/>
                <w:szCs w:val="15"/>
                <w:color w:val="auto"/>
              </w:rPr>
              <w:t>General and administrative expenses</w:t>
            </w:r>
          </w:p>
        </w:tc>
        <w:tc>
          <w:tcPr>
            <w:tcW w:w="1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1,309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shd w:val="clear" w:color="auto" w:fill="CCFFCC"/>
          </w:tcPr>
          <w:p>
            <w:pPr>
              <w:spacing w:after="0"/>
              <w:rPr>
                <w:sz w:val="20"/>
                <w:szCs w:val="20"/>
                <w:color w:val="auto"/>
              </w:rPr>
            </w:pPr>
            <w:r>
              <w:rPr>
                <w:rFonts w:ascii="Arial" w:cs="Arial" w:eastAsia="Arial" w:hAnsi="Arial"/>
                <w:sz w:val="15"/>
                <w:szCs w:val="15"/>
                <w:color w:val="auto"/>
              </w:rPr>
              <w:t>Total expenses net of management fee waiver</w:t>
            </w:r>
          </w:p>
        </w:tc>
        <w:tc>
          <w:tcPr>
            <w:tcW w:w="174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5340" w:type="dxa"/>
            <w:vAlign w:val="bottom"/>
            <w:vMerge w:val="continue"/>
            <w:shd w:val="clear" w:color="auto" w:fill="CCFFCC"/>
          </w:tcPr>
          <w:p>
            <w:pPr>
              <w:spacing w:after="0"/>
              <w:rPr>
                <w:sz w:val="16"/>
                <w:szCs w:val="16"/>
                <w:color w:val="auto"/>
              </w:rPr>
            </w:pPr>
          </w:p>
        </w:tc>
        <w:tc>
          <w:tcPr>
            <w:tcW w:w="1740" w:type="dxa"/>
            <w:vAlign w:val="bottom"/>
            <w:shd w:val="clear" w:color="auto" w:fill="CCFFCC"/>
          </w:tcPr>
          <w:p>
            <w:pPr>
              <w:spacing w:after="0"/>
              <w:rPr>
                <w:sz w:val="16"/>
                <w:szCs w:val="16"/>
                <w:color w:val="auto"/>
              </w:rPr>
            </w:pPr>
          </w:p>
        </w:tc>
        <w:tc>
          <w:tcPr>
            <w:tcW w:w="820" w:type="dxa"/>
            <w:vAlign w:val="bottom"/>
            <w:shd w:val="clear" w:color="auto" w:fill="CCFFCC"/>
          </w:tcPr>
          <w:p>
            <w:pPr>
              <w:jc w:val="right"/>
              <w:ind w:right="665"/>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w w:val="91"/>
              </w:rPr>
              <w:t>15,949</w:t>
            </w: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12,015</w:t>
            </w:r>
          </w:p>
        </w:tc>
        <w:tc>
          <w:tcPr>
            <w:tcW w:w="460" w:type="dxa"/>
            <w:vAlign w:val="bottom"/>
            <w:gridSpan w:val="2"/>
            <w:shd w:val="clear" w:color="auto" w:fill="CCFFCC"/>
          </w:tcPr>
          <w:p>
            <w:pPr>
              <w:jc w:val="right"/>
              <w:ind w:right="28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8,712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FFCC"/>
            </w:tcBorders>
          </w:tcPr>
          <w:p>
            <w:pPr>
              <w:spacing w:after="0" w:line="20" w:lineRule="exact"/>
              <w:rPr>
                <w:sz w:val="1"/>
                <w:szCs w:val="1"/>
                <w:color w:val="auto"/>
              </w:rPr>
            </w:pPr>
          </w:p>
        </w:tc>
        <w:tc>
          <w:tcPr>
            <w:tcW w:w="1740" w:type="dxa"/>
            <w:vAlign w:val="bottom"/>
            <w:tcBorders>
              <w:top w:val="single" w:sz="8" w:color="CCFFC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220" w:firstLine="543"/>
        <w:spacing w:after="0" w:line="276" w:lineRule="auto"/>
        <w:rPr>
          <w:sz w:val="20"/>
          <w:szCs w:val="20"/>
          <w:color w:val="auto"/>
        </w:rPr>
      </w:pPr>
      <w:r>
        <w:rPr>
          <w:rFonts w:ascii="Arial" w:cs="Arial" w:eastAsia="Arial" w:hAnsi="Arial"/>
          <w:sz w:val="15"/>
          <w:szCs w:val="15"/>
          <w:color w:val="auto"/>
        </w:rPr>
        <w:t>Operating expenses for the year ended December 31, 2013 increased $3.9 million over the year ended December 31, 2012. The increase is attributable to an incentive fee of $1.5 million under the new advisory agreement, and $0.9 million of general and administrative expenses following the IPO on September 30, 2013.</w:t>
      </w:r>
    </w:p>
    <w:p>
      <w:pPr>
        <w:spacing w:after="0" w:line="146" w:lineRule="exact"/>
        <w:rPr>
          <w:sz w:val="20"/>
          <w:szCs w:val="20"/>
          <w:color w:val="auto"/>
        </w:rPr>
      </w:pPr>
    </w:p>
    <w:p>
      <w:pPr>
        <w:ind w:right="180" w:firstLine="543"/>
        <w:spacing w:after="0" w:line="276" w:lineRule="auto"/>
        <w:rPr>
          <w:sz w:val="20"/>
          <w:szCs w:val="20"/>
          <w:color w:val="auto"/>
        </w:rPr>
      </w:pPr>
      <w:r>
        <w:rPr>
          <w:rFonts w:ascii="Arial" w:cs="Arial" w:eastAsia="Arial" w:hAnsi="Arial"/>
          <w:sz w:val="15"/>
          <w:szCs w:val="15"/>
          <w:color w:val="auto"/>
        </w:rPr>
        <w:t>Operating expenses for the year ended December 31, 2012 increased $3.3 million over the year ended December 31, 2011. Interest expense increased $2.4 million, resulting from $35.0 million of SBA-guaranteed debenture advances during 2012, and $72.7 million of advances during 2011.</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Net realized gains/losses on sales of investments</w:t>
      </w:r>
    </w:p>
    <w:p>
      <w:pPr>
        <w:spacing w:after="0" w:line="189" w:lineRule="exact"/>
        <w:rPr>
          <w:sz w:val="20"/>
          <w:szCs w:val="20"/>
          <w:color w:val="auto"/>
        </w:rPr>
      </w:pPr>
    </w:p>
    <w:p>
      <w:pPr>
        <w:ind w:right="700" w:firstLine="543"/>
        <w:spacing w:after="0" w:line="276" w:lineRule="auto"/>
        <w:rPr>
          <w:sz w:val="20"/>
          <w:szCs w:val="20"/>
          <w:color w:val="auto"/>
        </w:rPr>
      </w:pPr>
      <w:r>
        <w:rPr>
          <w:rFonts w:ascii="Arial" w:cs="Arial" w:eastAsia="Arial" w:hAnsi="Arial"/>
          <w:sz w:val="15"/>
          <w:szCs w:val="15"/>
          <w:color w:val="auto"/>
        </w:rPr>
        <w:t>During the years ended December 31, 2013, 2012 and 2011, we recognized $2.2 million, $1.6 million and $3.0 million of net realized gains on our portfolio investments, respectively.</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Net unrealized appreciation on investments</w:t>
      </w:r>
    </w:p>
    <w:p>
      <w:pPr>
        <w:spacing w:after="0" w:line="189" w:lineRule="exact"/>
        <w:rPr>
          <w:sz w:val="20"/>
          <w:szCs w:val="20"/>
          <w:color w:val="auto"/>
        </w:rPr>
      </w:pPr>
    </w:p>
    <w:p>
      <w:pPr>
        <w:ind w:right="140" w:firstLine="543"/>
        <w:spacing w:after="0" w:line="264" w:lineRule="auto"/>
        <w:rPr>
          <w:sz w:val="20"/>
          <w:szCs w:val="20"/>
          <w:color w:val="auto"/>
        </w:rPr>
      </w:pPr>
      <w:r>
        <w:rPr>
          <w:rFonts w:ascii="Arial" w:cs="Arial" w:eastAsia="Arial" w:hAnsi="Arial"/>
          <w:sz w:val="15"/>
          <w:szCs w:val="15"/>
          <w:color w:val="auto"/>
        </w:rPr>
        <w:t>Net change in unrealized appreciation on investments reflects the net change in the fair value of our investment portfolio. For the years ended December 31, 2013, 2012 and 2011, we had $7.2 million, $35.1 million and $13.5 million of unrealized appreciation, respectively, on portfolio investments. During 2012, unrealized appreciation on investments was significantly higher than 2013 or 2011, primarily related to appreciation on two equity investments.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Changes in net assets resulting from operations</w:t>
      </w:r>
    </w:p>
    <w:p>
      <w:pPr>
        <w:spacing w:after="0" w:line="189" w:lineRule="exact"/>
        <w:rPr>
          <w:sz w:val="20"/>
          <w:szCs w:val="20"/>
          <w:color w:val="auto"/>
        </w:rPr>
      </w:pPr>
    </w:p>
    <w:p>
      <w:pPr>
        <w:ind w:right="120" w:firstLine="543"/>
        <w:spacing w:after="0" w:line="264" w:lineRule="auto"/>
        <w:rPr>
          <w:sz w:val="20"/>
          <w:szCs w:val="20"/>
          <w:color w:val="auto"/>
        </w:rPr>
      </w:pPr>
      <w:r>
        <w:rPr>
          <w:rFonts w:ascii="Arial" w:cs="Arial" w:eastAsia="Arial" w:hAnsi="Arial"/>
          <w:sz w:val="15"/>
          <w:szCs w:val="15"/>
          <w:color w:val="auto"/>
        </w:rPr>
        <w:t>For the fiscal years ended December 31, 2013, 2012 and 2011 we recorded a net increase in net assets resulting from operations of $28.9 million, $49.6 million, and $25.3 million, respectively. Based on the weighted average shares of common stock outstanding for the year ended December 31, 2013, our per share net increase in net assets resulting from operations was $2.22.</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Condition, Liquidity and Capital Resources</w:t>
      </w:r>
    </w:p>
    <w:p>
      <w:pPr>
        <w:spacing w:after="0" w:line="193" w:lineRule="exact"/>
        <w:rPr>
          <w:sz w:val="20"/>
          <w:szCs w:val="20"/>
          <w:color w:val="auto"/>
        </w:rPr>
      </w:pPr>
    </w:p>
    <w:p>
      <w:pPr>
        <w:jc w:val="both"/>
        <w:ind w:right="100" w:firstLine="543"/>
        <w:spacing w:after="0" w:line="284" w:lineRule="auto"/>
        <w:rPr>
          <w:sz w:val="20"/>
          <w:szCs w:val="20"/>
          <w:color w:val="auto"/>
        </w:rPr>
      </w:pPr>
      <w:r>
        <w:rPr>
          <w:rFonts w:ascii="Arial" w:cs="Arial" w:eastAsia="Arial" w:hAnsi="Arial"/>
          <w:sz w:val="14"/>
          <w:szCs w:val="14"/>
          <w:color w:val="auto"/>
        </w:rPr>
        <w:t>In addition to the $74.25 million of net proceeds from our IPO, we intend to continue to generate cash from future offerings of securities and cash flows from operations, including earnings on investments in our portfolio and future investments, as well as interest earned from the temporary investment of cash in U.S. government securities and other high-quality debt investments that mature in one year or less. In addition to our existing SBA-guaranteed debentures, we may, if permitted by regulation, seek to issue additional SBA-guaranteed debentures as well as other forms of leverage and borrow funds to make investments, including before we have fully invested the proceeds of this offering.</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85" w:right="219" w:bottom="1440" w:gutter="0" w:footer="0" w:header="0"/>
        </w:sectPr>
      </w:pPr>
    </w:p>
    <w:bookmarkStart w:id="65" w:name="page66"/>
    <w:bookmarkEnd w:id="65"/>
    <w:p>
      <w:pPr>
        <w:ind w:right="100" w:firstLine="738"/>
        <w:spacing w:after="0" w:line="276" w:lineRule="auto"/>
        <w:rPr>
          <w:sz w:val="20"/>
          <w:szCs w:val="20"/>
          <w:color w:val="auto"/>
        </w:rPr>
      </w:pPr>
      <w:r>
        <w:rPr>
          <w:rFonts w:ascii="Arial" w:cs="Arial" w:eastAsia="Arial" w:hAnsi="Arial"/>
          <w:sz w:val="15"/>
          <w:szCs w:val="15"/>
          <w:color w:val="auto"/>
        </w:rPr>
        <w:t>As of December 31, 2013, we had $101.6 million in cash and cash equivalents, and our net assets totaled $268.7 million. On January 15, 2014, the Company filed a registration statement on form N-2 in connection with the registration of senior notes.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w:t>
      </w:r>
    </w:p>
    <w:p>
      <w:pPr>
        <w:spacing w:after="0" w:line="193" w:lineRule="exact"/>
        <w:rPr>
          <w:sz w:val="20"/>
          <w:szCs w:val="20"/>
          <w:color w:val="auto"/>
        </w:rPr>
      </w:pPr>
    </w:p>
    <w:p>
      <w:pPr>
        <w:ind w:right="20" w:firstLine="738"/>
        <w:spacing w:after="0" w:line="284" w:lineRule="auto"/>
        <w:rPr>
          <w:sz w:val="20"/>
          <w:szCs w:val="20"/>
          <w:color w:val="auto"/>
        </w:rPr>
      </w:pPr>
      <w:r>
        <w:rPr>
          <w:rFonts w:ascii="Arial" w:cs="Arial" w:eastAsia="Arial" w:hAnsi="Arial"/>
          <w:sz w:val="14"/>
          <w:szCs w:val="14"/>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43" w:lineRule="exact"/>
        <w:rPr>
          <w:sz w:val="20"/>
          <w:szCs w:val="20"/>
          <w:color w:val="auto"/>
        </w:rPr>
      </w:pPr>
    </w:p>
    <w:p>
      <w:pPr>
        <w:ind w:right="20" w:firstLine="738"/>
        <w:spacing w:after="0" w:line="260" w:lineRule="auto"/>
        <w:rPr>
          <w:sz w:val="20"/>
          <w:szCs w:val="20"/>
          <w:color w:val="auto"/>
        </w:rPr>
      </w:pPr>
      <w:r>
        <w:rPr>
          <w:rFonts w:ascii="Arial" w:cs="Arial" w:eastAsia="Arial" w:hAnsi="Arial"/>
          <w:sz w:val="15"/>
          <w:szCs w:val="15"/>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5"/>
          <w:szCs w:val="15"/>
          <w:color w:val="auto"/>
        </w:rPr>
        <w:t>A summary of the Company’s significant contractual payment obligations as of December 31, 2013 is as follows (dollars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5"/>
                <w:szCs w:val="15"/>
                <w:b w:val="1"/>
                <w:bCs w:val="1"/>
                <w:color w:val="auto"/>
                <w:w w:val="91"/>
              </w:rPr>
              <w:t>Contractual Obligations Payments Due by Period</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35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9" w:lineRule="exact"/>
              <w:rPr>
                <w:sz w:val="20"/>
                <w:szCs w:val="20"/>
                <w:color w:val="auto"/>
              </w:rPr>
            </w:pPr>
            <w:r>
              <w:rPr>
                <w:rFonts w:ascii="Arial" w:cs="Arial" w:eastAsia="Arial" w:hAnsi="Arial"/>
                <w:sz w:val="15"/>
                <w:szCs w:val="15"/>
                <w:b w:val="1"/>
                <w:bCs w:val="1"/>
                <w:color w:val="auto"/>
                <w:w w:val="88"/>
              </w:rPr>
              <w:t>Less Than</w:t>
            </w:r>
          </w:p>
        </w:tc>
        <w:tc>
          <w:tcPr>
            <w:tcW w:w="120" w:type="dxa"/>
            <w:vAlign w:val="bottom"/>
          </w:tcPr>
          <w:p>
            <w:pPr>
              <w:spacing w:after="0"/>
              <w:rPr>
                <w:sz w:val="13"/>
                <w:szCs w:val="13"/>
                <w:color w:val="auto"/>
              </w:rPr>
            </w:pPr>
          </w:p>
        </w:tc>
        <w:tc>
          <w:tcPr>
            <w:tcW w:w="920" w:type="dxa"/>
            <w:vAlign w:val="bottom"/>
          </w:tcPr>
          <w:p>
            <w:pPr>
              <w:jc w:val="right"/>
              <w:ind w:right="305"/>
              <w:spacing w:after="0" w:line="159" w:lineRule="exact"/>
              <w:rPr>
                <w:sz w:val="20"/>
                <w:szCs w:val="20"/>
                <w:color w:val="auto"/>
              </w:rPr>
            </w:pPr>
            <w:r>
              <w:rPr>
                <w:rFonts w:ascii="Arial" w:cs="Arial" w:eastAsia="Arial" w:hAnsi="Arial"/>
                <w:sz w:val="15"/>
                <w:szCs w:val="15"/>
                <w:b w:val="1"/>
                <w:bCs w:val="1"/>
                <w:color w:val="auto"/>
              </w:rPr>
              <w:t>1 - 3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305"/>
              <w:spacing w:after="0" w:line="159" w:lineRule="exact"/>
              <w:rPr>
                <w:sz w:val="20"/>
                <w:szCs w:val="20"/>
                <w:color w:val="auto"/>
              </w:rPr>
            </w:pPr>
            <w:r>
              <w:rPr>
                <w:rFonts w:ascii="Arial" w:cs="Arial" w:eastAsia="Arial" w:hAnsi="Arial"/>
                <w:sz w:val="15"/>
                <w:szCs w:val="15"/>
                <w:b w:val="1"/>
                <w:bCs w:val="1"/>
                <w:color w:val="auto"/>
              </w:rPr>
              <w:t>3 - 5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360"/>
              <w:spacing w:after="0" w:line="159" w:lineRule="exact"/>
              <w:rPr>
                <w:sz w:val="20"/>
                <w:szCs w:val="20"/>
                <w:color w:val="auto"/>
              </w:rPr>
            </w:pPr>
            <w:r>
              <w:rPr>
                <w:rFonts w:ascii="Arial" w:cs="Arial" w:eastAsia="Arial" w:hAnsi="Arial"/>
                <w:sz w:val="15"/>
                <w:szCs w:val="15"/>
                <w:b w:val="1"/>
                <w:bCs w:val="1"/>
                <w:color w:val="auto"/>
                <w:w w:val="97"/>
              </w:rPr>
              <w:t>More Than</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4"/>
        </w:trPr>
        <w:tc>
          <w:tcPr>
            <w:tcW w:w="35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3"/>
              </w:rPr>
              <w:t>1 Year</w:t>
            </w:r>
          </w:p>
        </w:tc>
        <w:tc>
          <w:tcPr>
            <w:tcW w:w="120" w:type="dxa"/>
            <w:vAlign w:val="bottom"/>
          </w:tcPr>
          <w:p>
            <w:pPr>
              <w:spacing w:after="0"/>
              <w:rPr>
                <w:sz w:val="16"/>
                <w:szCs w:val="16"/>
                <w:color w:val="auto"/>
              </w:rPr>
            </w:pPr>
          </w:p>
        </w:tc>
        <w:tc>
          <w:tcPr>
            <w:tcW w:w="1020" w:type="dxa"/>
            <w:vAlign w:val="bottom"/>
            <w:gridSpan w:val="2"/>
          </w:tcPr>
          <w:p>
            <w:pPr>
              <w:ind w:left="220"/>
              <w:spacing w:after="0"/>
              <w:rPr>
                <w:sz w:val="20"/>
                <w:szCs w:val="20"/>
                <w:color w:val="auto"/>
              </w:rPr>
            </w:pPr>
            <w:r>
              <w:rPr>
                <w:rFonts w:ascii="Arial" w:cs="Arial" w:eastAsia="Arial" w:hAnsi="Arial"/>
                <w:sz w:val="15"/>
                <w:szCs w:val="15"/>
                <w:b w:val="1"/>
                <w:bCs w:val="1"/>
                <w:color w:val="auto"/>
              </w:rPr>
              <w:t>Years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87"/>
              </w:rPr>
              <w:t>Years</w:t>
            </w:r>
          </w:p>
        </w:tc>
        <w:tc>
          <w:tcPr>
            <w:tcW w:w="120" w:type="dxa"/>
            <w:vAlign w:val="bottom"/>
          </w:tcPr>
          <w:p>
            <w:pPr>
              <w:spacing w:after="0"/>
              <w:rPr>
                <w:sz w:val="16"/>
                <w:szCs w:val="16"/>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5 Years</w:t>
            </w:r>
          </w:p>
        </w:tc>
        <w:tc>
          <w:tcPr>
            <w:tcW w:w="220" w:type="dxa"/>
            <w:vAlign w:val="bottom"/>
          </w:tcPr>
          <w:p>
            <w:pPr>
              <w:spacing w:after="0"/>
              <w:rPr>
                <w:sz w:val="16"/>
                <w:szCs w:val="16"/>
                <w:color w:val="auto"/>
              </w:rPr>
            </w:pPr>
          </w:p>
        </w:tc>
        <w:tc>
          <w:tcPr>
            <w:tcW w:w="920" w:type="dxa"/>
            <w:vAlign w:val="bottom"/>
            <w:gridSpan w:val="3"/>
          </w:tcPr>
          <w:p>
            <w:pPr>
              <w:ind w:left="140"/>
              <w:spacing w:after="0"/>
              <w:rPr>
                <w:sz w:val="20"/>
                <w:szCs w:val="20"/>
                <w:color w:val="auto"/>
              </w:rPr>
            </w:pPr>
            <w:r>
              <w:rPr>
                <w:rFonts w:ascii="Arial" w:cs="Arial" w:eastAsia="Arial" w:hAnsi="Arial"/>
                <w:sz w:val="15"/>
                <w:szCs w:val="15"/>
                <w:b w:val="1"/>
                <w:bCs w:val="1"/>
                <w:color w:val="auto"/>
              </w:rPr>
              <w:t>Total</w:t>
            </w:r>
          </w:p>
        </w:tc>
      </w:tr>
      <w:tr>
        <w:trPr>
          <w:trHeight w:val="174"/>
        </w:trPr>
        <w:tc>
          <w:tcPr>
            <w:tcW w:w="35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5"/>
                <w:szCs w:val="15"/>
                <w:color w:val="auto"/>
              </w:rPr>
              <w:t>SBA-Guaranteed Debentures</w:t>
            </w:r>
          </w:p>
        </w:tc>
        <w:tc>
          <w:tcPr>
            <w:tcW w:w="176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auto"/>
              <w:bottom w:val="single" w:sz="8" w:color="auto"/>
            </w:tcBorders>
            <w:shd w:val="clear" w:color="auto" w:fill="CCFFCC"/>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10,000</w:t>
            </w:r>
          </w:p>
        </w:tc>
        <w:tc>
          <w:tcPr>
            <w:tcW w:w="24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21,500</w:t>
            </w:r>
          </w:p>
        </w:tc>
        <w:tc>
          <w:tcPr>
            <w:tcW w:w="10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CCFFCC"/>
            </w:tcBorders>
            <w:shd w:val="clear" w:color="auto" w:fill="CCFFCC"/>
          </w:tcPr>
          <w:p>
            <w:pPr>
              <w:spacing w:after="0"/>
              <w:rPr>
                <w:sz w:val="15"/>
                <w:szCs w:val="15"/>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FFCC"/>
          </w:tcPr>
          <w:p>
            <w:pPr>
              <w:ind w:left="660"/>
              <w:spacing w:after="0"/>
              <w:rPr>
                <w:sz w:val="20"/>
                <w:szCs w:val="20"/>
                <w:color w:val="auto"/>
              </w:rPr>
            </w:pPr>
            <w:r>
              <w:rPr>
                <w:rFonts w:ascii="Arial" w:cs="Arial" w:eastAsia="Arial" w:hAnsi="Arial"/>
                <w:sz w:val="15"/>
                <w:szCs w:val="15"/>
                <w:color w:val="auto"/>
                <w:w w:val="93"/>
              </w:rPr>
              <w:t>—</w:t>
            </w:r>
          </w:p>
        </w:tc>
        <w:tc>
          <w:tcPr>
            <w:tcW w:w="22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170,700</w:t>
            </w:r>
          </w:p>
        </w:tc>
        <w:tc>
          <w:tcPr>
            <w:tcW w:w="220" w:type="dxa"/>
            <w:vAlign w:val="bottom"/>
            <w:tcBorders>
              <w:top w:val="single" w:sz="8" w:color="CCFFCC"/>
            </w:tcBorders>
            <w:shd w:val="clear" w:color="auto" w:fill="CCFFCC"/>
          </w:tcPr>
          <w:p>
            <w:pPr>
              <w:spacing w:after="0"/>
              <w:rPr>
                <w:sz w:val="15"/>
                <w:szCs w:val="15"/>
                <w:color w:val="auto"/>
              </w:rPr>
            </w:pP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202,200</w:t>
            </w:r>
          </w:p>
        </w:tc>
        <w:tc>
          <w:tcPr>
            <w:tcW w:w="2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r>
      <w:tr>
        <w:trPr>
          <w:trHeight w:val="183"/>
        </w:trPr>
        <w:tc>
          <w:tcPr>
            <w:tcW w:w="3520" w:type="dxa"/>
            <w:vAlign w:val="bottom"/>
          </w:tcPr>
          <w:p>
            <w:pPr>
              <w:spacing w:after="0" w:line="171" w:lineRule="exact"/>
              <w:rPr>
                <w:sz w:val="20"/>
                <w:szCs w:val="20"/>
                <w:color w:val="auto"/>
              </w:rPr>
            </w:pPr>
            <w:r>
              <w:rPr>
                <w:rFonts w:ascii="Arial" w:cs="Arial" w:eastAsia="Arial" w:hAnsi="Arial"/>
                <w:sz w:val="15"/>
                <w:szCs w:val="15"/>
                <w:color w:val="auto"/>
              </w:rPr>
              <w:t>Total Contractual Obligations</w:t>
            </w:r>
          </w:p>
        </w:tc>
        <w:tc>
          <w:tcPr>
            <w:tcW w:w="1880" w:type="dxa"/>
            <w:vAlign w:val="bottom"/>
            <w:gridSpan w:val="2"/>
          </w:tcPr>
          <w:p>
            <w:pPr>
              <w:jc w:val="right"/>
              <w:ind w:right="12"/>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10,000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21,500</w:t>
            </w:r>
          </w:p>
        </w:tc>
        <w:tc>
          <w:tcPr>
            <w:tcW w:w="320" w:type="dxa"/>
            <w:vAlign w:val="bottom"/>
            <w:gridSpan w:val="2"/>
          </w:tcPr>
          <w:p>
            <w:pPr>
              <w:jc w:val="right"/>
              <w:ind w:right="45"/>
              <w:spacing w:after="0"/>
              <w:rPr>
                <w:sz w:val="20"/>
                <w:szCs w:val="20"/>
                <w:color w:val="auto"/>
              </w:rPr>
            </w:pPr>
            <w:r>
              <w:rPr>
                <w:rFonts w:ascii="Arial" w:cs="Arial" w:eastAsia="Arial" w:hAnsi="Arial"/>
                <w:sz w:val="15"/>
                <w:szCs w:val="15"/>
                <w:color w:val="auto"/>
              </w:rPr>
              <w:t>$</w:t>
            </w:r>
          </w:p>
        </w:tc>
        <w:tc>
          <w:tcPr>
            <w:tcW w:w="1040" w:type="dxa"/>
            <w:vAlign w:val="bottom"/>
            <w:gridSpan w:val="2"/>
          </w:tcPr>
          <w:p>
            <w:pPr>
              <w:ind w:left="6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170,700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202,200</w:t>
            </w:r>
          </w:p>
        </w:tc>
        <w:tc>
          <w:tcPr>
            <w:tcW w:w="100" w:type="dxa"/>
            <w:vAlign w:val="bottom"/>
          </w:tcPr>
          <w:p>
            <w:pPr>
              <w:spacing w:after="0"/>
              <w:rPr>
                <w:sz w:val="15"/>
                <w:szCs w:val="15"/>
                <w:color w:val="auto"/>
              </w:rPr>
            </w:pPr>
          </w:p>
        </w:tc>
      </w:tr>
      <w:tr>
        <w:trPr>
          <w:trHeight w:val="20"/>
        </w:trPr>
        <w:tc>
          <w:tcPr>
            <w:tcW w:w="3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ind w:right="320" w:firstLine="543"/>
        <w:spacing w:after="0" w:line="276" w:lineRule="auto"/>
        <w:rPr>
          <w:sz w:val="20"/>
          <w:szCs w:val="20"/>
          <w:color w:val="auto"/>
        </w:rPr>
      </w:pPr>
      <w:r>
        <w:rPr>
          <w:rFonts w:ascii="Arial" w:cs="Arial" w:eastAsia="Arial" w:hAnsi="Arial"/>
          <w:sz w:val="15"/>
          <w:szCs w:val="15"/>
          <w:color w:val="auto"/>
        </w:rPr>
        <w:t>On February 28, 2014, the Company paid off $10.0 million in SBA-Guaranteed debentures due in less than one year, including $2.0 million that matured on March 1, 2014 and prepayment of $8.0 million that was scheduled to mature on September 1, 2014.</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Distributions</w:t>
      </w:r>
    </w:p>
    <w:p>
      <w:pPr>
        <w:spacing w:after="0" w:line="193" w:lineRule="exact"/>
        <w:rPr>
          <w:sz w:val="20"/>
          <w:szCs w:val="20"/>
          <w:color w:val="auto"/>
        </w:rPr>
      </w:pPr>
    </w:p>
    <w:p>
      <w:pPr>
        <w:ind w:right="20" w:firstLine="738"/>
        <w:spacing w:after="0" w:line="255" w:lineRule="auto"/>
        <w:rPr>
          <w:sz w:val="20"/>
          <w:szCs w:val="20"/>
          <w:color w:val="auto"/>
        </w:rPr>
      </w:pPr>
      <w:r>
        <w:rPr>
          <w:rFonts w:ascii="Arial" w:cs="Arial" w:eastAsia="Arial" w:hAnsi="Arial"/>
          <w:sz w:val="15"/>
          <w:szCs w:val="15"/>
          <w:color w:val="auto"/>
        </w:rPr>
        <w:t>In order to qualify as a RIC and to avoid U.S. federal corporate level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To the extent that we have income available, we intend to make quarterly distributions to our stockholders for the first four full quarters subsequent to our IPO and then make monthly distributions thereafter. Our monthly stockholder distributions, if any, will be determined by our Board of Directors on a quarterly basis. Any distribution to our stockholders will be declared out of assets legally available for distribution.</w:t>
      </w:r>
    </w:p>
    <w:p>
      <w:pPr>
        <w:spacing w:after="0" w:line="165" w:lineRule="exact"/>
        <w:rPr>
          <w:sz w:val="20"/>
          <w:szCs w:val="20"/>
          <w:color w:val="auto"/>
        </w:rPr>
      </w:pPr>
    </w:p>
    <w:p>
      <w:pPr>
        <w:ind w:right="200" w:firstLine="738"/>
        <w:spacing w:after="0" w:line="260" w:lineRule="auto"/>
        <w:rPr>
          <w:sz w:val="20"/>
          <w:szCs w:val="20"/>
          <w:color w:val="auto"/>
        </w:rPr>
      </w:pPr>
      <w:r>
        <w:rPr>
          <w:rFonts w:ascii="Arial" w:cs="Arial" w:eastAsia="Arial" w:hAnsi="Arial"/>
          <w:sz w:val="15"/>
          <w:szCs w:val="15"/>
          <w:color w:val="auto"/>
        </w:rPr>
        <w:t>We may not be able to achieve operating results that will allow us to make distributions at a specific level or to increase the amount of our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57" w:lineRule="exact"/>
        <w:rPr>
          <w:sz w:val="20"/>
          <w:szCs w:val="20"/>
          <w:color w:val="auto"/>
        </w:rPr>
      </w:pPr>
    </w:p>
    <w:p>
      <w:pPr>
        <w:ind w:right="60" w:firstLine="738"/>
        <w:spacing w:after="0" w:line="260" w:lineRule="auto"/>
        <w:rPr>
          <w:sz w:val="20"/>
          <w:szCs w:val="20"/>
          <w:color w:val="auto"/>
        </w:rPr>
      </w:pPr>
      <w:r>
        <w:rPr>
          <w:rFonts w:ascii="Arial" w:cs="Arial" w:eastAsia="Arial" w:hAnsi="Arial"/>
          <w:sz w:val="15"/>
          <w:szCs w:val="15"/>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57" w:lineRule="exact"/>
        <w:rPr>
          <w:sz w:val="20"/>
          <w:szCs w:val="20"/>
          <w:color w:val="auto"/>
        </w:rPr>
      </w:pPr>
    </w:p>
    <w:p>
      <w:pPr>
        <w:ind w:right="60" w:firstLine="738"/>
        <w:spacing w:after="0" w:line="312" w:lineRule="auto"/>
        <w:rPr>
          <w:sz w:val="20"/>
          <w:szCs w:val="20"/>
          <w:color w:val="auto"/>
        </w:rPr>
      </w:pPr>
      <w:r>
        <w:rPr>
          <w:rFonts w:ascii="Arial" w:cs="Arial" w:eastAsia="Arial" w:hAnsi="Arial"/>
          <w:sz w:val="13"/>
          <w:szCs w:val="13"/>
          <w:color w:val="auto"/>
        </w:rPr>
        <w:t>We have adopted an “opt out” dividend reinvestment plan for our common stockholders. As a result, if we declare a distribution, then stockholders’ cash distributions will be automatically reinvested in additional shares of our common stock unless a stockholder specifically “opts out” of our dividend reinvestment plan.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85" w:right="219" w:bottom="1440" w:gutter="0" w:footer="0" w:header="0"/>
        </w:sectPr>
      </w:pPr>
    </w:p>
    <w:bookmarkStart w:id="66" w:name="page67"/>
    <w:bookmarkEnd w:id="66"/>
    <w:p>
      <w:pPr>
        <w:spacing w:after="0"/>
        <w:rPr>
          <w:sz w:val="20"/>
          <w:szCs w:val="20"/>
          <w:color w:val="auto"/>
        </w:rPr>
      </w:pPr>
      <w:r>
        <w:rPr>
          <w:rFonts w:ascii="Arial" w:cs="Arial" w:eastAsia="Arial" w:hAnsi="Arial"/>
          <w:sz w:val="15"/>
          <w:szCs w:val="15"/>
          <w:b w:val="1"/>
          <w:bCs w:val="1"/>
          <w:color w:val="auto"/>
        </w:rPr>
        <w:t>Related Parties</w:t>
      </w:r>
    </w:p>
    <w:p>
      <w:pPr>
        <w:spacing w:after="0" w:line="193" w:lineRule="exact"/>
        <w:rPr>
          <w:sz w:val="20"/>
          <w:szCs w:val="20"/>
          <w:color w:val="auto"/>
        </w:rPr>
      </w:pPr>
    </w:p>
    <w:p>
      <w:pPr>
        <w:ind w:right="40" w:firstLine="738"/>
        <w:spacing w:after="0" w:line="264" w:lineRule="auto"/>
        <w:rPr>
          <w:sz w:val="20"/>
          <w:szCs w:val="20"/>
          <w:color w:val="auto"/>
        </w:rPr>
      </w:pPr>
      <w:r>
        <w:rPr>
          <w:rFonts w:ascii="Arial" w:cs="Arial" w:eastAsia="Arial" w:hAnsi="Arial"/>
          <w:sz w:val="15"/>
          <w:szCs w:val="15"/>
          <w:color w:val="auto"/>
        </w:rPr>
        <w:t>We have entered into the Investment Advisory Agreement with the Investment Advisor. Mr. Alala, our chief executive officer, president and chairman of our Board of Directors, is the managing partner and chief investment officer of Capitala Investment Advisors, and Mr. Broyhill, a member of our Board of Directors, has an indirect controlling interest in the Investment Advisor.</w:t>
      </w:r>
    </w:p>
    <w:p>
      <w:pPr>
        <w:spacing w:after="0" w:line="155" w:lineRule="exact"/>
        <w:rPr>
          <w:sz w:val="20"/>
          <w:szCs w:val="20"/>
          <w:color w:val="auto"/>
        </w:rPr>
      </w:pPr>
    </w:p>
    <w:p>
      <w:pPr>
        <w:ind w:firstLine="738"/>
        <w:spacing w:after="0" w:line="276" w:lineRule="auto"/>
        <w:rPr>
          <w:sz w:val="20"/>
          <w:szCs w:val="20"/>
          <w:color w:val="auto"/>
        </w:rPr>
      </w:pPr>
      <w:r>
        <w:rPr>
          <w:rFonts w:ascii="Arial" w:cs="Arial" w:eastAsia="Arial" w:hAnsi="Arial"/>
          <w:sz w:val="14"/>
          <w:szCs w:val="14"/>
          <w:color w:val="auto"/>
        </w:rPr>
        <w:t>In addition, the Investment Advisor’s investment team also manages Fund IV, a private investment limited partnership providing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had the opportunity to co-invest with Fund IV in portfolio investments. The Investment Advisor and its affiliates may also manage other funds in the future that may have investment mandates that are similar, in whole and in part, with ours.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do not expect to make co-investments, or otherwise compete for investment opportunities, with Fund IV because its focus and investment strategy differ from our own.</w:t>
      </w:r>
    </w:p>
    <w:p>
      <w:pPr>
        <w:spacing w:after="0" w:line="148" w:lineRule="exact"/>
        <w:rPr>
          <w:sz w:val="20"/>
          <w:szCs w:val="20"/>
          <w:color w:val="auto"/>
        </w:rPr>
      </w:pPr>
    </w:p>
    <w:p>
      <w:pPr>
        <w:ind w:right="100" w:firstLine="738"/>
        <w:spacing w:after="0" w:line="276" w:lineRule="auto"/>
        <w:rPr>
          <w:sz w:val="20"/>
          <w:szCs w:val="20"/>
          <w:color w:val="auto"/>
        </w:rPr>
      </w:pPr>
      <w:r>
        <w:rPr>
          <w:rFonts w:ascii="Arial" w:cs="Arial" w:eastAsia="Arial" w:hAnsi="Arial"/>
          <w:sz w:val="15"/>
          <w:szCs w:val="15"/>
          <w:color w:val="auto"/>
        </w:rPr>
        <w:t>We have entered into a license agreement with the Investment Advisor, pursuant to which the Investment Advisor has agreed to grant us a non-exclusive, royalty-free license to use the name “Capitala.”</w:t>
      </w:r>
    </w:p>
    <w:p>
      <w:pPr>
        <w:spacing w:after="0" w:line="146" w:lineRule="exact"/>
        <w:rPr>
          <w:sz w:val="20"/>
          <w:szCs w:val="20"/>
          <w:color w:val="auto"/>
        </w:rPr>
      </w:pPr>
    </w:p>
    <w:p>
      <w:pPr>
        <w:ind w:right="200" w:firstLine="738"/>
        <w:spacing w:after="0" w:line="260" w:lineRule="auto"/>
        <w:rPr>
          <w:sz w:val="20"/>
          <w:szCs w:val="20"/>
          <w:color w:val="auto"/>
        </w:rPr>
      </w:pPr>
      <w:r>
        <w:rPr>
          <w:rFonts w:ascii="Arial" w:cs="Arial" w:eastAsia="Arial" w:hAnsi="Arial"/>
          <w:sz w:val="15"/>
          <w:szCs w:val="15"/>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president and chairman of our Board of Directors, is the chief executive officer, president and a director of our Administrator, and Mr. Broyhill, a member of our Board of Directors, is the trustee of a trust that has a controlling interest in our Administrator.</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93" w:lineRule="exact"/>
        <w:rPr>
          <w:sz w:val="20"/>
          <w:szCs w:val="20"/>
          <w:color w:val="auto"/>
        </w:rPr>
      </w:pPr>
    </w:p>
    <w:p>
      <w:pPr>
        <w:ind w:right="520" w:firstLine="738"/>
        <w:spacing w:after="0" w:line="276" w:lineRule="auto"/>
        <w:rPr>
          <w:sz w:val="20"/>
          <w:szCs w:val="20"/>
          <w:color w:val="auto"/>
        </w:rPr>
      </w:pPr>
      <w:r>
        <w:rPr>
          <w:rFonts w:ascii="Arial" w:cs="Arial" w:eastAsia="Arial" w:hAnsi="Arial"/>
          <w:sz w:val="15"/>
          <w:szCs w:val="15"/>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Developments</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On January 2, 2014, the Company invested $8.3 million in Velum Global Credit Management, LLC senior debt that will yield 15% cash interest.</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On February 14, 2014, the Company invested $200 thousand in Precision Manufacturing, LLC subordinated debt that will yield 14% PIK interest.</w:t>
      </w:r>
    </w:p>
    <w:p>
      <w:pPr>
        <w:spacing w:after="0" w:line="189" w:lineRule="exact"/>
        <w:rPr>
          <w:sz w:val="20"/>
          <w:szCs w:val="20"/>
          <w:color w:val="auto"/>
        </w:rPr>
      </w:pPr>
    </w:p>
    <w:p>
      <w:pPr>
        <w:ind w:right="520" w:firstLine="543"/>
        <w:spacing w:after="0" w:line="276" w:lineRule="auto"/>
        <w:rPr>
          <w:sz w:val="20"/>
          <w:szCs w:val="20"/>
          <w:color w:val="auto"/>
        </w:rPr>
      </w:pPr>
      <w:r>
        <w:rPr>
          <w:rFonts w:ascii="Arial" w:cs="Arial" w:eastAsia="Arial" w:hAnsi="Arial"/>
          <w:sz w:val="15"/>
          <w:szCs w:val="15"/>
          <w:color w:val="auto"/>
        </w:rPr>
        <w:t>On February 24, 2014, the Company refinanced its outstanding debt with Print Direction, Inc. All existing principal was paid off and a $14.0 million unitranche facility was originated that will yield 15% cash interest.</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On February 27, 2014, the Company’s Board of Directors declared a quarterly dividend of $0.47 per share payable on March 26, 2014 to holders of record as of March 14, 2014.</w:t>
      </w:r>
    </w:p>
    <w:p>
      <w:pPr>
        <w:spacing w:after="0" w:line="212" w:lineRule="exact"/>
        <w:rPr>
          <w:sz w:val="20"/>
          <w:szCs w:val="20"/>
          <w:color w:val="auto"/>
        </w:rPr>
      </w:pPr>
    </w:p>
    <w:p>
      <w:pPr>
        <w:ind w:right="300" w:firstLine="543"/>
        <w:spacing w:after="0" w:line="276" w:lineRule="auto"/>
        <w:rPr>
          <w:sz w:val="20"/>
          <w:szCs w:val="20"/>
          <w:color w:val="auto"/>
        </w:rPr>
      </w:pPr>
      <w:r>
        <w:rPr>
          <w:rFonts w:ascii="Arial" w:cs="Arial" w:eastAsia="Arial" w:hAnsi="Arial"/>
          <w:sz w:val="15"/>
          <w:szCs w:val="15"/>
          <w:color w:val="auto"/>
        </w:rPr>
        <w:t>On February 28, 2014, the Company paid off $10.0 million in SBA-Guaranteed debentures due in less than one year, including $2.0 million that matured on March 1, 2014 and prepayment of $8.0 million that was scheduled to mature on September 1, 2014.</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67" w:name="page68"/>
    <w:bookmarkEnd w:id="67"/>
    <w:p>
      <w:pPr>
        <w:spacing w:after="0"/>
        <w:rPr>
          <w:sz w:val="20"/>
          <w:szCs w:val="20"/>
          <w:color w:val="auto"/>
        </w:rPr>
      </w:pPr>
      <w:r>
        <w:rPr>
          <w:rFonts w:ascii="Arial" w:cs="Arial" w:eastAsia="Arial" w:hAnsi="Arial"/>
          <w:sz w:val="15"/>
          <w:szCs w:val="15"/>
          <w:b w:val="1"/>
          <w:bCs w:val="1"/>
          <w:color w:val="auto"/>
        </w:rPr>
        <w:t>Item 7A. QUANTITATIVE AND QUALITATIVE DISCLOSURES ABOUT MARKET RISK</w:t>
      </w:r>
    </w:p>
    <w:p>
      <w:pPr>
        <w:spacing w:after="0" w:line="193" w:lineRule="exact"/>
        <w:rPr>
          <w:sz w:val="20"/>
          <w:szCs w:val="20"/>
          <w:color w:val="auto"/>
        </w:rPr>
      </w:pPr>
    </w:p>
    <w:p>
      <w:pPr>
        <w:jc w:val="both"/>
        <w:ind w:firstLine="738"/>
        <w:spacing w:after="0" w:line="260" w:lineRule="auto"/>
        <w:rPr>
          <w:sz w:val="20"/>
          <w:szCs w:val="20"/>
          <w:color w:val="auto"/>
        </w:rPr>
      </w:pPr>
      <w:r>
        <w:rPr>
          <w:rFonts w:ascii="Arial" w:cs="Arial" w:eastAsia="Arial" w:hAnsi="Arial"/>
          <w:sz w:val="15"/>
          <w:szCs w:val="15"/>
          <w:color w:val="auto"/>
        </w:rPr>
        <w:t>We are subject to financial market risks, including changes in interest rates. Changes in interest rates may affect both our cost of funding and our interest income from portfolio investments and cash and cash equivalents. Our investment income will generally not be affected by changes in various interest rates, including LIBOR, as assets and liabilities are fixed as of December 31, 2013. We may hedge against interest rate fluctuations by using standard hedging instruments such as futures, options and forward contracts subject to the requirements of the 1940 Act. For the year ended December 31, 2013, we did not engage in hedging activities.</w:t>
      </w:r>
    </w:p>
    <w:p>
      <w:pPr>
        <w:spacing w:after="0" w:line="157" w:lineRule="exact"/>
        <w:rPr>
          <w:sz w:val="20"/>
          <w:szCs w:val="20"/>
          <w:color w:val="auto"/>
        </w:rPr>
      </w:pPr>
    </w:p>
    <w:p>
      <w:pPr>
        <w:ind w:right="200" w:firstLine="738"/>
        <w:spacing w:after="0" w:line="276" w:lineRule="auto"/>
        <w:rPr>
          <w:sz w:val="20"/>
          <w:szCs w:val="20"/>
          <w:color w:val="auto"/>
        </w:rPr>
      </w:pPr>
      <w:r>
        <w:rPr>
          <w:rFonts w:ascii="Arial" w:cs="Arial" w:eastAsia="Arial" w:hAnsi="Arial"/>
          <w:sz w:val="15"/>
          <w:szCs w:val="15"/>
          <w:color w:val="auto"/>
        </w:rPr>
        <w:t>Assuming that the statement of assets and liabilities as of December 31, 2013 remains constant and that we take no actions to alter our existing interest rate sensitivity, there would be no impact to interest income or net investment income as the result of changes in variable interest rates.</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320"/>
          </w:cols>
          <w:pgMar w:left="240" w:top="78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4"/>
        </w:trPr>
        <w:tc>
          <w:tcPr>
            <w:tcW w:w="10540" w:type="dxa"/>
            <w:vAlign w:val="bottom"/>
            <w:gridSpan w:val="2"/>
          </w:tcPr>
          <w:p>
            <w:pPr>
              <w:spacing w:after="0"/>
              <w:rPr>
                <w:sz w:val="20"/>
                <w:szCs w:val="20"/>
                <w:color w:val="auto"/>
              </w:rPr>
            </w:pPr>
            <w:r>
              <w:rPr>
                <w:rFonts w:ascii="Arial" w:cs="Arial" w:eastAsia="Arial" w:hAnsi="Arial"/>
                <w:sz w:val="15"/>
                <w:szCs w:val="15"/>
                <w:b w:val="1"/>
                <w:bCs w:val="1"/>
                <w:color w:val="auto"/>
              </w:rPr>
              <w:t>Item 8. FINANCIAL STATEMENTS AND SUPPLEMENTARY DATA</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0520" w:type="dxa"/>
            <w:vAlign w:val="bottom"/>
          </w:tcPr>
          <w:p>
            <w:pPr>
              <w:jc w:val="center"/>
              <w:ind w:left="805"/>
              <w:spacing w:after="0"/>
              <w:rPr>
                <w:sz w:val="20"/>
                <w:szCs w:val="20"/>
                <w:color w:val="auto"/>
              </w:rPr>
            </w:pPr>
            <w:r>
              <w:rPr>
                <w:rFonts w:ascii="Arial" w:cs="Arial" w:eastAsia="Arial" w:hAnsi="Arial"/>
                <w:sz w:val="15"/>
                <w:szCs w:val="15"/>
                <w:b w:val="1"/>
                <w:bCs w:val="1"/>
                <w:color w:val="auto"/>
              </w:rPr>
              <w:t>INDEX TO FINANCIAL STATEMENTS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5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105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520" w:type="dxa"/>
            <w:vAlign w:val="bottom"/>
            <w:shd w:val="clear" w:color="auto" w:fill="CCFFCC"/>
          </w:tcPr>
          <w:p>
            <w:pPr>
              <w:spacing w:after="0"/>
              <w:rPr>
                <w:sz w:val="20"/>
                <w:szCs w:val="20"/>
                <w:color w:val="auto"/>
              </w:rPr>
            </w:pPr>
            <w:r>
              <w:rPr>
                <w:rFonts w:ascii="Arial" w:cs="Arial" w:eastAsia="Arial" w:hAnsi="Arial"/>
                <w:sz w:val="15"/>
                <w:szCs w:val="15"/>
                <w:color w:val="auto"/>
              </w:rPr>
              <w:t>Report of Independent Registered Public Accounting Firms</w:t>
            </w:r>
          </w:p>
        </w:tc>
        <w:tc>
          <w:tcPr>
            <w:tcW w:w="9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F-1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520" w:type="dxa"/>
            <w:vAlign w:val="bottom"/>
            <w:shd w:val="clear" w:color="auto" w:fill="CCFFCC"/>
          </w:tcPr>
          <w:p>
            <w:pPr>
              <w:spacing w:after="0"/>
              <w:rPr>
                <w:sz w:val="20"/>
                <w:szCs w:val="20"/>
                <w:color w:val="auto"/>
              </w:rPr>
            </w:pPr>
            <w:r>
              <w:rPr>
                <w:rFonts w:ascii="Arial" w:cs="Arial" w:eastAsia="Arial" w:hAnsi="Arial"/>
                <w:sz w:val="15"/>
                <w:szCs w:val="15"/>
                <w:b w:val="1"/>
                <w:bCs w:val="1"/>
                <w:color w:val="auto"/>
              </w:rPr>
              <w:t>Audited Financial Statements:</w:t>
            </w:r>
          </w:p>
        </w:tc>
        <w:tc>
          <w:tcPr>
            <w:tcW w:w="900" w:type="dxa"/>
            <w:vAlign w:val="bottom"/>
            <w:shd w:val="clear" w:color="auto" w:fill="CCFF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520" w:type="dxa"/>
            <w:vAlign w:val="bottom"/>
            <w:shd w:val="clear" w:color="auto" w:fill="CCFFCC"/>
          </w:tcPr>
          <w:p>
            <w:pPr>
              <w:spacing w:after="0"/>
              <w:rPr>
                <w:sz w:val="20"/>
                <w:szCs w:val="20"/>
                <w:color w:val="auto"/>
              </w:rPr>
            </w:pPr>
            <w:r>
              <w:rPr>
                <w:rFonts w:ascii="Arial" w:cs="Arial" w:eastAsia="Arial" w:hAnsi="Arial"/>
                <w:sz w:val="15"/>
                <w:szCs w:val="15"/>
                <w:color w:val="auto"/>
              </w:rPr>
              <w:t>Consolidated Statements of Assets and Liabilities as of December 31, 2013 and 2012</w:t>
            </w:r>
          </w:p>
        </w:tc>
        <w:tc>
          <w:tcPr>
            <w:tcW w:w="9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F-3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520" w:type="dxa"/>
            <w:vAlign w:val="bottom"/>
            <w:shd w:val="clear" w:color="auto" w:fill="CCFFCC"/>
          </w:tcPr>
          <w:p>
            <w:pPr>
              <w:spacing w:after="0"/>
              <w:rPr>
                <w:sz w:val="20"/>
                <w:szCs w:val="20"/>
                <w:color w:val="auto"/>
              </w:rPr>
            </w:pPr>
            <w:r>
              <w:rPr>
                <w:rFonts w:ascii="Arial" w:cs="Arial" w:eastAsia="Arial" w:hAnsi="Arial"/>
                <w:sz w:val="15"/>
                <w:szCs w:val="15"/>
                <w:color w:val="auto"/>
              </w:rPr>
              <w:t>Consolidated Statements of Operations for the years ended December 31, 2013, December 31, 2012 and December 31, 2011</w:t>
            </w:r>
          </w:p>
        </w:tc>
        <w:tc>
          <w:tcPr>
            <w:tcW w:w="9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F-4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520" w:type="dxa"/>
            <w:vAlign w:val="bottom"/>
            <w:shd w:val="clear" w:color="auto" w:fill="CCFFCC"/>
          </w:tcPr>
          <w:p>
            <w:pPr>
              <w:spacing w:after="0"/>
              <w:rPr>
                <w:sz w:val="20"/>
                <w:szCs w:val="20"/>
                <w:color w:val="auto"/>
              </w:rPr>
            </w:pPr>
            <w:r>
              <w:rPr>
                <w:rFonts w:ascii="Arial" w:cs="Arial" w:eastAsia="Arial" w:hAnsi="Arial"/>
                <w:sz w:val="15"/>
                <w:szCs w:val="15"/>
                <w:color w:val="auto"/>
              </w:rPr>
              <w:t>Consolidated Statements of Changes in Net Assets for the years ended December 31, 2013, December 31, 2012 and December 31, 2011</w:t>
            </w:r>
          </w:p>
        </w:tc>
        <w:tc>
          <w:tcPr>
            <w:tcW w:w="9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F-5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520" w:type="dxa"/>
            <w:vAlign w:val="bottom"/>
            <w:shd w:val="clear" w:color="auto" w:fill="CCFFCC"/>
          </w:tcPr>
          <w:p>
            <w:pPr>
              <w:spacing w:after="0"/>
              <w:rPr>
                <w:sz w:val="20"/>
                <w:szCs w:val="20"/>
                <w:color w:val="auto"/>
              </w:rPr>
            </w:pPr>
            <w:r>
              <w:rPr>
                <w:rFonts w:ascii="Arial" w:cs="Arial" w:eastAsia="Arial" w:hAnsi="Arial"/>
                <w:sz w:val="15"/>
                <w:szCs w:val="15"/>
                <w:color w:val="auto"/>
              </w:rPr>
              <w:t>Consolidated Statements of Cash Flows for the years ended December 31, 2013, December 31, 2012 and December 31, 2011</w:t>
            </w:r>
          </w:p>
        </w:tc>
        <w:tc>
          <w:tcPr>
            <w:tcW w:w="9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F-6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520" w:type="dxa"/>
            <w:vAlign w:val="bottom"/>
            <w:shd w:val="clear" w:color="auto" w:fill="CCFFCC"/>
          </w:tcPr>
          <w:p>
            <w:pPr>
              <w:spacing w:after="0"/>
              <w:rPr>
                <w:sz w:val="20"/>
                <w:szCs w:val="20"/>
                <w:color w:val="auto"/>
              </w:rPr>
            </w:pPr>
            <w:r>
              <w:rPr>
                <w:rFonts w:ascii="Arial" w:cs="Arial" w:eastAsia="Arial" w:hAnsi="Arial"/>
                <w:sz w:val="15"/>
                <w:szCs w:val="15"/>
                <w:color w:val="auto"/>
              </w:rPr>
              <w:t>Consolidated Schedules of Investments as of December 31, 2013 and December 31, 2012</w:t>
            </w:r>
          </w:p>
        </w:tc>
        <w:tc>
          <w:tcPr>
            <w:tcW w:w="9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F-7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520" w:type="dxa"/>
            <w:vAlign w:val="bottom"/>
            <w:shd w:val="clear" w:color="auto" w:fill="CCFFCC"/>
          </w:tcPr>
          <w:p>
            <w:pPr>
              <w:spacing w:after="0"/>
              <w:rPr>
                <w:sz w:val="20"/>
                <w:szCs w:val="20"/>
                <w:color w:val="auto"/>
              </w:rPr>
            </w:pPr>
            <w:r>
              <w:rPr>
                <w:rFonts w:ascii="Arial" w:cs="Arial" w:eastAsia="Arial" w:hAnsi="Arial"/>
                <w:sz w:val="15"/>
                <w:szCs w:val="15"/>
                <w:color w:val="auto"/>
              </w:rPr>
              <w:t>Notes to Consolidated Financial Statements</w:t>
            </w:r>
          </w:p>
        </w:tc>
        <w:tc>
          <w:tcPr>
            <w:tcW w:w="9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F-11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10520" w:type="dxa"/>
            <w:vAlign w:val="bottom"/>
            <w:tcBorders>
              <w:bottom w:val="single" w:sz="8" w:color="auto"/>
            </w:tcBorders>
          </w:tcPr>
          <w:p>
            <w:pPr>
              <w:jc w:val="right"/>
              <w:ind w:right="4685"/>
              <w:spacing w:after="0"/>
              <w:rPr>
                <w:sz w:val="20"/>
                <w:szCs w:val="20"/>
                <w:color w:val="auto"/>
              </w:rPr>
            </w:pPr>
            <w:r>
              <w:rPr>
                <w:rFonts w:ascii="Arial" w:cs="Arial" w:eastAsia="Arial" w:hAnsi="Arial"/>
                <w:sz w:val="15"/>
                <w:szCs w:val="15"/>
                <w:color w:val="auto"/>
              </w:rPr>
              <w:t>68</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81" w:right="219" w:bottom="1440" w:gutter="0" w:footer="0" w:header="0"/>
        </w:sectPr>
      </w:pPr>
    </w:p>
    <w:bookmarkStart w:id="69" w:name="page70"/>
    <w:bookmarkEnd w:id="69"/>
    <w:p>
      <w:pPr>
        <w:jc w:val="cente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Capitala Finance Corp.</w:t>
      </w:r>
    </w:p>
    <w:p>
      <w:pPr>
        <w:spacing w:after="0" w:line="180" w:lineRule="exact"/>
        <w:rPr>
          <w:sz w:val="20"/>
          <w:szCs w:val="20"/>
          <w:color w:val="auto"/>
        </w:rPr>
      </w:pPr>
    </w:p>
    <w:p>
      <w:pPr>
        <w:ind w:right="60" w:firstLine="543"/>
        <w:spacing w:after="0" w:line="260" w:lineRule="auto"/>
        <w:rPr>
          <w:sz w:val="20"/>
          <w:szCs w:val="20"/>
          <w:color w:val="auto"/>
        </w:rPr>
      </w:pPr>
      <w:r>
        <w:rPr>
          <w:rFonts w:ascii="Arial" w:cs="Arial" w:eastAsia="Arial" w:hAnsi="Arial"/>
          <w:sz w:val="15"/>
          <w:szCs w:val="15"/>
          <w:color w:val="auto"/>
        </w:rPr>
        <w:t>We have audited the accompanying consolidated statement of assets and liabilities of Capitala Finance Corp. (the Company), including the consolidated schedule of investments, as of December 31, 2013, and the related consolidated statements of operations, changes in net assets, and the cash flows for year then ended. We have also audited the accompanying consolidated financial highlights for year ended December 31, 2013. These financial statements and financial highlights are the responsibility of the Company’s management. Our responsibility is to express an opinion on these financial statements and financial highlights based on our audit.</w:t>
      </w:r>
    </w:p>
    <w:p>
      <w:pPr>
        <w:spacing w:after="0" w:line="157" w:lineRule="exact"/>
        <w:rPr>
          <w:sz w:val="20"/>
          <w:szCs w:val="20"/>
          <w:color w:val="auto"/>
        </w:rPr>
      </w:pPr>
    </w:p>
    <w:p>
      <w:pPr>
        <w:ind w:firstLine="543"/>
        <w:spacing w:after="0" w:line="255" w:lineRule="auto"/>
        <w:rPr>
          <w:sz w:val="20"/>
          <w:szCs w:val="20"/>
          <w:color w:val="auto"/>
        </w:rPr>
      </w:pPr>
      <w:r>
        <w:rPr>
          <w:rFonts w:ascii="Arial" w:cs="Arial" w:eastAsia="Arial" w:hAnsi="Arial"/>
          <w:sz w:val="15"/>
          <w:szCs w:val="15"/>
          <w:color w:val="auto"/>
        </w:rPr>
        <w:t>We conducted our audit in accordance with the standards of the Public Company Accounting Oversight Board (United States). Those standards require that we plan and perform the audit to obtain reasonable assurance about whether the financial statements and financial highlights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and financial highlights. An audit also includes assessing the accounting principles used and significant estimates made by management, as well as evaluating the overall financial statement presentation. Our procedures included confirmation of securities owned as of December 31, 2013 by correspondence with the custodian and directly with management or designees of the portfolio companies, as applicable. We believe that our audit provide a reasonable basis for our opinion.</w:t>
      </w:r>
    </w:p>
    <w:p>
      <w:pPr>
        <w:spacing w:after="0" w:line="163" w:lineRule="exact"/>
        <w:rPr>
          <w:sz w:val="20"/>
          <w:szCs w:val="20"/>
          <w:color w:val="auto"/>
        </w:rPr>
      </w:pPr>
    </w:p>
    <w:p>
      <w:pPr>
        <w:ind w:right="20" w:firstLine="543"/>
        <w:spacing w:after="0" w:line="264" w:lineRule="auto"/>
        <w:rPr>
          <w:sz w:val="20"/>
          <w:szCs w:val="20"/>
          <w:color w:val="auto"/>
        </w:rPr>
      </w:pPr>
      <w:r>
        <w:rPr>
          <w:rFonts w:ascii="Arial" w:cs="Arial" w:eastAsia="Arial" w:hAnsi="Arial"/>
          <w:sz w:val="15"/>
          <w:szCs w:val="15"/>
          <w:color w:val="auto"/>
        </w:rPr>
        <w:t>In our opinion, the financial statements and financial highlights referred to above present fairly, in all material respects, the consolidated financial position of Capitala Finance Corp. at December 31, 2013, and the consolidated results of its operations, changes in its net assets, and its cash flows for the year then ended, in conformity with U.S. generally accepted accounting principles.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Charlotte, North Carolina</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March 28, 2014</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81" w:right="21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620395</wp:posOffset>
            </wp:positionV>
            <wp:extent cx="7321550" cy="17240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32155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REPORT OF INDEPENDENT REGISTERED PUBLIC ACCOUNTING FIRM</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color w:val="auto"/>
        </w:rPr>
        <w:t>To the Stockholders and 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Capitala Finance Corp.</w:t>
      </w:r>
    </w:p>
    <w:p>
      <w:pPr>
        <w:spacing w:after="0" w:line="361"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We have audited the accompanying combined statement of assets and liabilities of Capitala Finance Corp. (the “Company”), including the combined schedule of investments, as of December 31, 2012, and the related combined statements of operations, changes in net assets, and cash flows for each of the years in the two-year period ended December 31, 2012. These combined financial statements are the responsibility of the Company's management. Our responsibility is to express an opinion on these combined financial statements based on our audits.</w:t>
      </w:r>
    </w:p>
    <w:p>
      <w:pPr>
        <w:spacing w:after="0" w:line="120"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was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In our opinion, the combined financial statements referred to above present fairly, in all material respects, the financial position of the Company as of December 31, 2012, and the results of its operations and its cash flows for each of the years in the two-year period ended December 31, 2012, in conformity with U.S. generally accepted accounting principles.</w:t>
      </w:r>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 Dixon Hughes Goodman </w:t>
      </w:r>
      <w:r>
        <w:rPr>
          <w:rFonts w:ascii="Arial" w:cs="Arial" w:eastAsia="Arial" w:hAnsi="Arial"/>
          <w:sz w:val="10"/>
          <w:szCs w:val="10"/>
          <w:color w:val="auto"/>
        </w:rPr>
        <w:t>LLP</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High Point, North Carolina</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March 28, 2014</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7340" w:type="dxa"/>
            <w:vAlign w:val="bottom"/>
          </w:tcPr>
          <w:p>
            <w:pPr>
              <w:jc w:val="center"/>
              <w:ind w:left="3965"/>
              <w:spacing w:after="0"/>
              <w:rPr>
                <w:sz w:val="20"/>
                <w:szCs w:val="20"/>
                <w:color w:val="auto"/>
              </w:rPr>
            </w:pPr>
            <w:r>
              <w:rPr>
                <w:rFonts w:ascii="Arial" w:cs="Arial" w:eastAsia="Arial" w:hAnsi="Arial"/>
                <w:sz w:val="15"/>
                <w:szCs w:val="15"/>
                <w:b w:val="1"/>
                <w:bCs w:val="1"/>
                <w:color w:val="auto"/>
                <w:w w:val="92"/>
              </w:rPr>
              <w:t>Capitala Finance Corp.</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7340" w:type="dxa"/>
            <w:vAlign w:val="bottom"/>
          </w:tcPr>
          <w:p>
            <w:pPr>
              <w:jc w:val="center"/>
              <w:ind w:left="3985"/>
              <w:spacing w:after="0"/>
              <w:rPr>
                <w:sz w:val="20"/>
                <w:szCs w:val="20"/>
                <w:color w:val="auto"/>
              </w:rPr>
            </w:pPr>
            <w:r>
              <w:rPr>
                <w:rFonts w:ascii="Arial" w:cs="Arial" w:eastAsia="Arial" w:hAnsi="Arial"/>
                <w:sz w:val="15"/>
                <w:szCs w:val="15"/>
                <w:b w:val="1"/>
                <w:bCs w:val="1"/>
                <w:color w:val="auto"/>
                <w:w w:val="88"/>
              </w:rPr>
              <w:t>Consolidated Statements of Assets and Liabilities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40" w:type="dxa"/>
            <w:vAlign w:val="bottom"/>
          </w:tcPr>
          <w:p>
            <w:pPr>
              <w:jc w:val="center"/>
              <w:ind w:left="3985"/>
              <w:spacing w:after="0"/>
              <w:rPr>
                <w:sz w:val="20"/>
                <w:szCs w:val="20"/>
                <w:color w:val="auto"/>
              </w:rPr>
            </w:pPr>
            <w:r>
              <w:rPr>
                <w:rFonts w:ascii="Arial" w:cs="Arial" w:eastAsia="Arial" w:hAnsi="Arial"/>
                <w:sz w:val="15"/>
                <w:szCs w:val="15"/>
                <w:b w:val="1"/>
                <w:bCs w:val="1"/>
                <w:color w:val="auto"/>
                <w:w w:val="89"/>
              </w:rPr>
              <w:t>(in thousands, except share and per share data)</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5"/>
                <w:szCs w:val="15"/>
                <w:b w:val="1"/>
                <w:bCs w:val="1"/>
                <w:color w:val="auto"/>
              </w:rPr>
              <w:t>As of</w:t>
            </w:r>
          </w:p>
        </w:tc>
        <w:tc>
          <w:tcPr>
            <w:tcW w:w="1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7"/>
              </w:rPr>
              <w:t>December 31, 2013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225"/>
              <w:spacing w:after="0"/>
              <w:rPr>
                <w:sz w:val="20"/>
                <w:szCs w:val="20"/>
                <w:color w:val="auto"/>
              </w:rPr>
            </w:pPr>
            <w:r>
              <w:rPr>
                <w:rFonts w:ascii="Arial" w:cs="Arial" w:eastAsia="Arial" w:hAnsi="Arial"/>
                <w:sz w:val="15"/>
                <w:szCs w:val="15"/>
                <w:b w:val="1"/>
                <w:bCs w:val="1"/>
                <w:color w:val="auto"/>
                <w:w w:val="96"/>
              </w:rPr>
              <w:t>December 31, 2012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ind w:right="465"/>
              <w:spacing w:after="0"/>
              <w:rPr>
                <w:sz w:val="20"/>
                <w:szCs w:val="20"/>
                <w:color w:val="auto"/>
              </w:rPr>
            </w:pPr>
            <w:r>
              <w:rPr>
                <w:rFonts w:ascii="Arial" w:cs="Arial" w:eastAsia="Arial" w:hAnsi="Arial"/>
                <w:sz w:val="15"/>
                <w:szCs w:val="15"/>
                <w:b w:val="1"/>
                <w:bCs w:val="1"/>
                <w:color w:val="auto"/>
              </w:rPr>
              <w:t>(combined)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5"/>
                <w:szCs w:val="15"/>
                <w:color w:val="auto"/>
              </w:rPr>
              <w:t>ASSETS</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64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6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7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5"/>
                <w:szCs w:val="15"/>
                <w:color w:val="auto"/>
              </w:rPr>
              <w:t>Investments at fair value</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64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6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40" w:type="dxa"/>
            <w:vAlign w:val="bottom"/>
          </w:tcPr>
          <w:p>
            <w:pPr>
              <w:ind w:left="120"/>
              <w:spacing w:after="0"/>
              <w:rPr>
                <w:sz w:val="20"/>
                <w:szCs w:val="20"/>
                <w:color w:val="auto"/>
              </w:rPr>
            </w:pPr>
            <w:r>
              <w:rPr>
                <w:rFonts w:ascii="Arial" w:cs="Arial" w:eastAsia="Arial" w:hAnsi="Arial"/>
                <w:sz w:val="15"/>
                <w:szCs w:val="15"/>
                <w:color w:val="auto"/>
              </w:rPr>
              <w:t>Non-control/Non-affiliate investments (amortized cost of $84,138 and $61,609, respectively)</w:t>
            </w:r>
          </w:p>
        </w:tc>
        <w:tc>
          <w:tcPr>
            <w:tcW w:w="280" w:type="dxa"/>
            <w:vAlign w:val="bottom"/>
            <w:gridSpan w:val="2"/>
          </w:tcPr>
          <w:p>
            <w:pPr>
              <w:jc w:val="right"/>
              <w:ind w:right="45"/>
              <w:spacing w:after="0"/>
              <w:rPr>
                <w:sz w:val="20"/>
                <w:szCs w:val="20"/>
                <w:color w:val="auto"/>
              </w:rPr>
            </w:pPr>
            <w:r>
              <w:rPr>
                <w:rFonts w:ascii="Arial" w:cs="Arial" w:eastAsia="Arial" w:hAnsi="Arial"/>
                <w:sz w:val="15"/>
                <w:szCs w:val="15"/>
                <w:color w:val="auto"/>
              </w:rPr>
              <w:t>$</w:t>
            </w:r>
          </w:p>
        </w:tc>
        <w:tc>
          <w:tcPr>
            <w:tcW w:w="1780" w:type="dxa"/>
            <w:vAlign w:val="bottom"/>
            <w:gridSpan w:val="2"/>
          </w:tcPr>
          <w:p>
            <w:pPr>
              <w:jc w:val="right"/>
              <w:ind w:right="140"/>
              <w:spacing w:after="0"/>
              <w:rPr>
                <w:sz w:val="20"/>
                <w:szCs w:val="20"/>
                <w:color w:val="auto"/>
              </w:rPr>
            </w:pPr>
            <w:r>
              <w:rPr>
                <w:rFonts w:ascii="Arial" w:cs="Arial" w:eastAsia="Arial" w:hAnsi="Arial"/>
                <w:sz w:val="15"/>
                <w:szCs w:val="15"/>
                <w:color w:val="auto"/>
              </w:rPr>
              <w:t>99,140</w:t>
            </w:r>
          </w:p>
        </w:tc>
        <w:tc>
          <w:tcPr>
            <w:tcW w:w="280" w:type="dxa"/>
            <w:vAlign w:val="bottom"/>
            <w:gridSpan w:val="2"/>
          </w:tcPr>
          <w:p>
            <w:pPr>
              <w:jc w:val="right"/>
              <w:ind w:right="45"/>
              <w:spacing w:after="0"/>
              <w:rPr>
                <w:sz w:val="20"/>
                <w:szCs w:val="20"/>
                <w:color w:val="auto"/>
              </w:rPr>
            </w:pPr>
            <w:r>
              <w:rPr>
                <w:rFonts w:ascii="Arial" w:cs="Arial" w:eastAsia="Arial" w:hAnsi="Arial"/>
                <w:sz w:val="15"/>
                <w:szCs w:val="15"/>
                <w:color w:val="auto"/>
              </w:rPr>
              <w:t>$</w:t>
            </w: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78,769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40" w:type="dxa"/>
            <w:vAlign w:val="bottom"/>
            <w:shd w:val="clear" w:color="auto" w:fill="CCFFCC"/>
          </w:tcPr>
          <w:p>
            <w:pPr>
              <w:ind w:left="120"/>
              <w:spacing w:after="0"/>
              <w:rPr>
                <w:sz w:val="20"/>
                <w:szCs w:val="20"/>
                <w:color w:val="auto"/>
              </w:rPr>
            </w:pPr>
            <w:r>
              <w:rPr>
                <w:rFonts w:ascii="Arial" w:cs="Arial" w:eastAsia="Arial" w:hAnsi="Arial"/>
                <w:sz w:val="15"/>
                <w:szCs w:val="15"/>
                <w:color w:val="auto"/>
              </w:rPr>
              <w:t>Affiliate investments (amortized cost of $159,104 and $122,655, respectively)</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78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189,098</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7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136,809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40" w:type="dxa"/>
            <w:vAlign w:val="bottom"/>
          </w:tcPr>
          <w:p>
            <w:pPr>
              <w:ind w:left="120"/>
              <w:spacing w:after="0"/>
              <w:rPr>
                <w:sz w:val="20"/>
                <w:szCs w:val="20"/>
                <w:color w:val="auto"/>
              </w:rPr>
            </w:pPr>
            <w:r>
              <w:rPr>
                <w:rFonts w:ascii="Arial" w:cs="Arial" w:eastAsia="Arial" w:hAnsi="Arial"/>
                <w:sz w:val="15"/>
                <w:szCs w:val="15"/>
                <w:color w:val="auto"/>
              </w:rPr>
              <w:t>Control investments (amortized cost of $58,057 and $43,434, respectively)</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5"/>
                <w:szCs w:val="15"/>
                <w:color w:val="auto"/>
              </w:rPr>
              <w:t>76,481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68,353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40" w:type="dxa"/>
            <w:vAlign w:val="bottom"/>
            <w:tcBorders>
              <w:top w:val="single" w:sz="8" w:color="CCFFCC"/>
            </w:tcBorders>
            <w:shd w:val="clear" w:color="auto" w:fill="CCFFCC"/>
          </w:tcPr>
          <w:p>
            <w:pPr>
              <w:ind w:left="120"/>
              <w:spacing w:after="0"/>
              <w:rPr>
                <w:sz w:val="20"/>
                <w:szCs w:val="20"/>
                <w:color w:val="auto"/>
              </w:rPr>
            </w:pPr>
            <w:r>
              <w:rPr>
                <w:rFonts w:ascii="Arial" w:cs="Arial" w:eastAsia="Arial" w:hAnsi="Arial"/>
                <w:sz w:val="15"/>
                <w:szCs w:val="15"/>
                <w:color w:val="auto"/>
              </w:rPr>
              <w:t>Total investments at fair value (amortized cost of $301,299 and $227,698, respectively)</w:t>
            </w:r>
          </w:p>
        </w:tc>
        <w:tc>
          <w:tcPr>
            <w:tcW w:w="80" w:type="dxa"/>
            <w:vAlign w:val="bottom"/>
            <w:tcBorders>
              <w:top w:val="single" w:sz="8" w:color="CCFFCC"/>
            </w:tcBorders>
            <w:shd w:val="clear" w:color="auto" w:fill="CCFFCC"/>
          </w:tcPr>
          <w:p>
            <w:pPr>
              <w:spacing w:after="0"/>
              <w:rPr>
                <w:sz w:val="15"/>
                <w:szCs w:val="15"/>
                <w:color w:val="auto"/>
              </w:rPr>
            </w:pPr>
          </w:p>
        </w:tc>
        <w:tc>
          <w:tcPr>
            <w:tcW w:w="200" w:type="dxa"/>
            <w:vAlign w:val="bottom"/>
            <w:tcBorders>
              <w:top w:val="single" w:sz="8" w:color="auto"/>
            </w:tcBorders>
            <w:shd w:val="clear" w:color="auto" w:fill="CCFFCC"/>
          </w:tcPr>
          <w:p>
            <w:pPr>
              <w:spacing w:after="0"/>
              <w:rPr>
                <w:sz w:val="15"/>
                <w:szCs w:val="15"/>
                <w:color w:val="auto"/>
              </w:rPr>
            </w:pPr>
          </w:p>
        </w:tc>
        <w:tc>
          <w:tcPr>
            <w:tcW w:w="16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364,719</w:t>
            </w: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200" w:type="dxa"/>
            <w:vAlign w:val="bottom"/>
            <w:tcBorders>
              <w:top w:val="single" w:sz="8" w:color="auto"/>
            </w:tcBorders>
            <w:shd w:val="clear" w:color="auto" w:fill="CCFFCC"/>
          </w:tcPr>
          <w:p>
            <w:pPr>
              <w:spacing w:after="0"/>
              <w:rPr>
                <w:sz w:val="15"/>
                <w:szCs w:val="15"/>
                <w:color w:val="auto"/>
              </w:rPr>
            </w:pPr>
          </w:p>
        </w:tc>
        <w:tc>
          <w:tcPr>
            <w:tcW w:w="16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283,931</w:t>
            </w:r>
          </w:p>
        </w:tc>
        <w:tc>
          <w:tcPr>
            <w:tcW w:w="12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4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5"/>
                <w:szCs w:val="15"/>
                <w:color w:val="auto"/>
              </w:rPr>
              <w:t>101,622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30,467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5"/>
                <w:szCs w:val="15"/>
                <w:color w:val="auto"/>
              </w:rPr>
              <w:t>Interest and dividend receivable</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78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2,917</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7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1,917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40" w:type="dxa"/>
            <w:vAlign w:val="bottom"/>
          </w:tcPr>
          <w:p>
            <w:pPr>
              <w:spacing w:after="0"/>
              <w:rPr>
                <w:sz w:val="20"/>
                <w:szCs w:val="20"/>
                <w:color w:val="auto"/>
              </w:rPr>
            </w:pPr>
            <w:r>
              <w:rPr>
                <w:rFonts w:ascii="Arial" w:cs="Arial" w:eastAsia="Arial" w:hAnsi="Arial"/>
                <w:sz w:val="15"/>
                <w:szCs w:val="15"/>
                <w:color w:val="auto"/>
              </w:rPr>
              <w:t>Due from related parties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5"/>
                <w:szCs w:val="15"/>
                <w:color w:val="auto"/>
              </w:rPr>
              <w:t>1,645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1,494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5"/>
                <w:szCs w:val="15"/>
                <w:color w:val="auto"/>
              </w:rPr>
              <w:t>Deferred financing fees (net of accumulated amortization of $2,216 and $1,898, respectively)</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78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4,871</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7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4,583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Arial" w:cs="Arial" w:eastAsia="Arial" w:hAnsi="Arial"/>
                <w:sz w:val="15"/>
                <w:szCs w:val="15"/>
                <w:color w:val="auto"/>
              </w:rPr>
              <w:t>Prepaid expenses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654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vMerge w:val="restart"/>
            <w:shd w:val="clear" w:color="auto" w:fill="CCFFCC"/>
          </w:tcPr>
          <w:p>
            <w:pPr>
              <w:ind w:left="120"/>
              <w:spacing w:after="0"/>
              <w:rPr>
                <w:sz w:val="20"/>
                <w:szCs w:val="20"/>
                <w:color w:val="auto"/>
              </w:rPr>
            </w:pPr>
            <w:r>
              <w:rPr>
                <w:rFonts w:ascii="Arial" w:cs="Arial" w:eastAsia="Arial" w:hAnsi="Arial"/>
                <w:sz w:val="15"/>
                <w:szCs w:val="15"/>
                <w:color w:val="auto"/>
              </w:rPr>
              <w:t>Total assets</w:t>
            </w:r>
          </w:p>
        </w:tc>
        <w:tc>
          <w:tcPr>
            <w:tcW w:w="8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7340" w:type="dxa"/>
            <w:vAlign w:val="bottom"/>
            <w:vMerge w:val="continue"/>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476,428</w:t>
            </w: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322,392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7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5"/>
                <w:szCs w:val="15"/>
                <w:color w:val="auto"/>
              </w:rPr>
              <w:t>LIABILITIES</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64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6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40" w:type="dxa"/>
            <w:vAlign w:val="bottom"/>
          </w:tcPr>
          <w:p>
            <w:pPr>
              <w:spacing w:after="0"/>
              <w:rPr>
                <w:sz w:val="20"/>
                <w:szCs w:val="20"/>
                <w:color w:val="auto"/>
              </w:rPr>
            </w:pPr>
            <w:r>
              <w:rPr>
                <w:rFonts w:ascii="Arial" w:cs="Arial" w:eastAsia="Arial" w:hAnsi="Arial"/>
                <w:sz w:val="15"/>
                <w:szCs w:val="15"/>
                <w:color w:val="auto"/>
              </w:rPr>
              <w:t>SBA debentures payable</w:t>
            </w:r>
          </w:p>
        </w:tc>
        <w:tc>
          <w:tcPr>
            <w:tcW w:w="280" w:type="dxa"/>
            <w:vAlign w:val="bottom"/>
            <w:gridSpan w:val="2"/>
          </w:tcPr>
          <w:p>
            <w:pPr>
              <w:jc w:val="right"/>
              <w:ind w:right="45"/>
              <w:spacing w:after="0"/>
              <w:rPr>
                <w:sz w:val="20"/>
                <w:szCs w:val="20"/>
                <w:color w:val="auto"/>
              </w:rPr>
            </w:pPr>
            <w:r>
              <w:rPr>
                <w:rFonts w:ascii="Arial" w:cs="Arial" w:eastAsia="Arial" w:hAnsi="Arial"/>
                <w:sz w:val="15"/>
                <w:szCs w:val="15"/>
                <w:color w:val="auto"/>
              </w:rPr>
              <w:t>$</w:t>
            </w:r>
          </w:p>
        </w:tc>
        <w:tc>
          <w:tcPr>
            <w:tcW w:w="1780" w:type="dxa"/>
            <w:vAlign w:val="bottom"/>
            <w:gridSpan w:val="2"/>
          </w:tcPr>
          <w:p>
            <w:pPr>
              <w:jc w:val="right"/>
              <w:ind w:right="140"/>
              <w:spacing w:after="0"/>
              <w:rPr>
                <w:sz w:val="20"/>
                <w:szCs w:val="20"/>
                <w:color w:val="auto"/>
              </w:rPr>
            </w:pPr>
            <w:r>
              <w:rPr>
                <w:rFonts w:ascii="Arial" w:cs="Arial" w:eastAsia="Arial" w:hAnsi="Arial"/>
                <w:sz w:val="15"/>
                <w:szCs w:val="15"/>
                <w:color w:val="auto"/>
              </w:rPr>
              <w:t>202,200</w:t>
            </w:r>
          </w:p>
        </w:tc>
        <w:tc>
          <w:tcPr>
            <w:tcW w:w="280" w:type="dxa"/>
            <w:vAlign w:val="bottom"/>
            <w:gridSpan w:val="2"/>
          </w:tcPr>
          <w:p>
            <w:pPr>
              <w:jc w:val="right"/>
              <w:ind w:right="45"/>
              <w:spacing w:after="0"/>
              <w:rPr>
                <w:sz w:val="20"/>
                <w:szCs w:val="20"/>
                <w:color w:val="auto"/>
              </w:rPr>
            </w:pPr>
            <w:r>
              <w:rPr>
                <w:rFonts w:ascii="Arial" w:cs="Arial" w:eastAsia="Arial" w:hAnsi="Arial"/>
                <w:sz w:val="15"/>
                <w:szCs w:val="15"/>
                <w:color w:val="auto"/>
              </w:rPr>
              <w:t>$</w:t>
            </w: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177,200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5"/>
                <w:szCs w:val="15"/>
                <w:color w:val="auto"/>
              </w:rPr>
              <w:t>Due to related parties</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78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1,153</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7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40" w:type="dxa"/>
            <w:vAlign w:val="bottom"/>
          </w:tcPr>
          <w:p>
            <w:pPr>
              <w:spacing w:after="0"/>
              <w:rPr>
                <w:sz w:val="20"/>
                <w:szCs w:val="20"/>
                <w:color w:val="auto"/>
              </w:rPr>
            </w:pPr>
            <w:r>
              <w:rPr>
                <w:rFonts w:ascii="Arial" w:cs="Arial" w:eastAsia="Arial" w:hAnsi="Arial"/>
                <w:sz w:val="15"/>
                <w:szCs w:val="15"/>
                <w:color w:val="auto"/>
              </w:rPr>
              <w:t>Incentive fee payable</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5"/>
                <w:szCs w:val="15"/>
                <w:color w:val="auto"/>
              </w:rPr>
              <w:t>1,525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5"/>
                <w:szCs w:val="15"/>
                <w:color w:val="auto"/>
              </w:rPr>
              <w:t>Interest payable</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78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2,723</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7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2,485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Arial" w:cs="Arial" w:eastAsia="Arial" w:hAnsi="Arial"/>
                <w:sz w:val="15"/>
                <w:szCs w:val="15"/>
                <w:color w:val="auto"/>
              </w:rPr>
              <w:t>Accounts payable and accrued expenses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5"/>
                <w:szCs w:val="15"/>
                <w:color w:val="auto"/>
              </w:rPr>
              <w:t>157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40" w:type="dxa"/>
            <w:vAlign w:val="bottom"/>
            <w:tcBorders>
              <w:top w:val="single" w:sz="8" w:color="CCFFCC"/>
            </w:tcBorders>
            <w:shd w:val="clear" w:color="auto" w:fill="CCFFCC"/>
          </w:tcPr>
          <w:p>
            <w:pPr>
              <w:ind w:left="100"/>
              <w:spacing w:after="0" w:line="171" w:lineRule="exact"/>
              <w:rPr>
                <w:sz w:val="20"/>
                <w:szCs w:val="20"/>
                <w:color w:val="auto"/>
              </w:rPr>
            </w:pPr>
            <w:r>
              <w:rPr>
                <w:rFonts w:ascii="Arial" w:cs="Arial" w:eastAsia="Arial" w:hAnsi="Arial"/>
                <w:sz w:val="15"/>
                <w:szCs w:val="15"/>
                <w:color w:val="auto"/>
              </w:rPr>
              <w:t>Total liabilities</w:t>
            </w:r>
          </w:p>
        </w:tc>
        <w:tc>
          <w:tcPr>
            <w:tcW w:w="80" w:type="dxa"/>
            <w:vAlign w:val="bottom"/>
            <w:tcBorders>
              <w:top w:val="single" w:sz="8" w:color="CCFFCC"/>
            </w:tcBorders>
            <w:shd w:val="clear" w:color="auto" w:fill="CCFFCC"/>
          </w:tcPr>
          <w:p>
            <w:pPr>
              <w:spacing w:after="0"/>
              <w:rPr>
                <w:sz w:val="15"/>
                <w:szCs w:val="15"/>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207,758</w:t>
            </w: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179,959</w:t>
            </w:r>
          </w:p>
        </w:tc>
        <w:tc>
          <w:tcPr>
            <w:tcW w:w="12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5"/>
                <w:szCs w:val="15"/>
                <w:color w:val="auto"/>
              </w:rPr>
              <w:t>NET ASSETS</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64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6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40" w:type="dxa"/>
            <w:vAlign w:val="bottom"/>
          </w:tcPr>
          <w:p>
            <w:pPr>
              <w:spacing w:after="0"/>
              <w:rPr>
                <w:sz w:val="20"/>
                <w:szCs w:val="20"/>
                <w:color w:val="auto"/>
              </w:rPr>
            </w:pPr>
            <w:r>
              <w:rPr>
                <w:rFonts w:ascii="Arial" w:cs="Arial" w:eastAsia="Arial" w:hAnsi="Arial"/>
                <w:sz w:val="15"/>
                <w:szCs w:val="15"/>
                <w:color w:val="auto"/>
              </w:rPr>
              <w:t>General partner’s capital</w:t>
            </w:r>
          </w:p>
        </w:tc>
        <w:tc>
          <w:tcPr>
            <w:tcW w:w="280" w:type="dxa"/>
            <w:vAlign w:val="bottom"/>
            <w:gridSpan w:val="2"/>
          </w:tcPr>
          <w:p>
            <w:pPr>
              <w:jc w:val="right"/>
              <w:ind w:right="45"/>
              <w:spacing w:after="0"/>
              <w:rPr>
                <w:sz w:val="20"/>
                <w:szCs w:val="20"/>
                <w:color w:val="auto"/>
              </w:rPr>
            </w:pPr>
            <w:r>
              <w:rPr>
                <w:rFonts w:ascii="Arial" w:cs="Arial" w:eastAsia="Arial" w:hAnsi="Arial"/>
                <w:sz w:val="15"/>
                <w:szCs w:val="15"/>
                <w:color w:val="auto"/>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5"/>
                <w:szCs w:val="15"/>
                <w:color w:val="auto"/>
              </w:rPr>
              <w:t>$</w:t>
            </w: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5"/>
                <w:szCs w:val="15"/>
                <w:color w:val="auto"/>
              </w:rPr>
              <w:t>Limited partners’ capital</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7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77,358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340" w:type="dxa"/>
            <w:vAlign w:val="bottom"/>
          </w:tcPr>
          <w:p>
            <w:pPr>
              <w:spacing w:after="0" w:line="171" w:lineRule="exact"/>
              <w:rPr>
                <w:sz w:val="20"/>
                <w:szCs w:val="20"/>
                <w:color w:val="auto"/>
              </w:rPr>
            </w:pPr>
            <w:r>
              <w:rPr>
                <w:rFonts w:ascii="Arial" w:cs="Arial" w:eastAsia="Arial" w:hAnsi="Arial"/>
                <w:sz w:val="15"/>
                <w:szCs w:val="15"/>
                <w:color w:val="auto"/>
                <w:w w:val="92"/>
              </w:rPr>
              <w:t>Common stock, par value $.01, 100,000,000 common shares authorized, 12,974,420 and 0 common shares issued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40" w:type="dxa"/>
            <w:vAlign w:val="bottom"/>
          </w:tcPr>
          <w:p>
            <w:pPr>
              <w:ind w:left="120"/>
              <w:spacing w:after="0"/>
              <w:rPr>
                <w:sz w:val="20"/>
                <w:szCs w:val="20"/>
                <w:color w:val="auto"/>
              </w:rPr>
            </w:pPr>
            <w:r>
              <w:rPr>
                <w:rFonts w:ascii="Arial" w:cs="Arial" w:eastAsia="Arial" w:hAnsi="Arial"/>
                <w:sz w:val="15"/>
                <w:szCs w:val="15"/>
                <w:color w:val="auto"/>
              </w:rPr>
              <w:t>outstanding, respectively</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5"/>
                <w:szCs w:val="15"/>
                <w:color w:val="auto"/>
              </w:rPr>
              <w:t>130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5"/>
                <w:szCs w:val="15"/>
                <w:color w:val="auto"/>
              </w:rPr>
              <w:t>Additional paid in capital</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78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188,408</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7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40" w:type="dxa"/>
            <w:vAlign w:val="bottom"/>
          </w:tcPr>
          <w:p>
            <w:pPr>
              <w:spacing w:after="0"/>
              <w:rPr>
                <w:sz w:val="20"/>
                <w:szCs w:val="20"/>
                <w:color w:val="auto"/>
              </w:rPr>
            </w:pPr>
            <w:r>
              <w:rPr>
                <w:rFonts w:ascii="Arial" w:cs="Arial" w:eastAsia="Arial" w:hAnsi="Arial"/>
                <w:sz w:val="15"/>
                <w:szCs w:val="15"/>
                <w:color w:val="auto"/>
              </w:rPr>
              <w:t>Accumulated undistributed net investment income</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5"/>
                <w:szCs w:val="15"/>
                <w:color w:val="auto"/>
              </w:rPr>
              <w:t>16,760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8,560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5"/>
                <w:szCs w:val="15"/>
                <w:color w:val="auto"/>
              </w:rPr>
              <w:t>Accumulated undistributed net realized gain (loss) from investments</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78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(48)</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7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Arial" w:cs="Arial" w:eastAsia="Arial" w:hAnsi="Arial"/>
                <w:sz w:val="15"/>
                <w:szCs w:val="15"/>
                <w:color w:val="auto"/>
              </w:rPr>
              <w:t>Net unrealized appreciation on investments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5"/>
                <w:szCs w:val="15"/>
                <w:color w:val="auto"/>
              </w:rPr>
              <w:t>63,420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56,233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40" w:type="dxa"/>
            <w:vAlign w:val="bottom"/>
            <w:tcBorders>
              <w:top w:val="single" w:sz="8" w:color="CCFFCC"/>
            </w:tcBorders>
            <w:shd w:val="clear" w:color="auto" w:fill="CCFFCC"/>
          </w:tcPr>
          <w:p>
            <w:pPr>
              <w:ind w:left="120"/>
              <w:spacing w:after="0" w:line="171" w:lineRule="exact"/>
              <w:rPr>
                <w:sz w:val="20"/>
                <w:szCs w:val="20"/>
                <w:color w:val="auto"/>
              </w:rPr>
            </w:pPr>
            <w:r>
              <w:rPr>
                <w:rFonts w:ascii="Arial" w:cs="Arial" w:eastAsia="Arial" w:hAnsi="Arial"/>
                <w:sz w:val="15"/>
                <w:szCs w:val="15"/>
                <w:color w:val="auto"/>
              </w:rPr>
              <w:t>Total net assets</w:t>
            </w:r>
          </w:p>
        </w:tc>
        <w:tc>
          <w:tcPr>
            <w:tcW w:w="80" w:type="dxa"/>
            <w:vAlign w:val="bottom"/>
            <w:tcBorders>
              <w:top w:val="single" w:sz="8" w:color="CCFFCC"/>
            </w:tcBorders>
            <w:shd w:val="clear" w:color="auto" w:fill="CCFFCC"/>
          </w:tcPr>
          <w:p>
            <w:pPr>
              <w:spacing w:after="0"/>
              <w:rPr>
                <w:sz w:val="15"/>
                <w:szCs w:val="15"/>
                <w:color w:val="auto"/>
              </w:rPr>
            </w:pPr>
          </w:p>
        </w:tc>
        <w:tc>
          <w:tcPr>
            <w:tcW w:w="200" w:type="dxa"/>
            <w:vAlign w:val="bottom"/>
            <w:tcBorders>
              <w:top w:val="single" w:sz="8" w:color="auto"/>
              <w:bottom w:val="single" w:sz="8" w:color="auto"/>
            </w:tcBorders>
            <w:shd w:val="clear" w:color="auto" w:fill="CCFFCC"/>
          </w:tcPr>
          <w:p>
            <w:pPr>
              <w:spacing w:after="0"/>
              <w:rPr>
                <w:sz w:val="15"/>
                <w:szCs w:val="15"/>
                <w:color w:val="auto"/>
              </w:rPr>
            </w:pPr>
          </w:p>
        </w:tc>
        <w:tc>
          <w:tcPr>
            <w:tcW w:w="16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268,670</w:t>
            </w: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200" w:type="dxa"/>
            <w:vAlign w:val="bottom"/>
            <w:tcBorders>
              <w:top w:val="single" w:sz="8" w:color="auto"/>
              <w:bottom w:val="single" w:sz="8" w:color="auto"/>
            </w:tcBorders>
            <w:shd w:val="clear" w:color="auto" w:fill="CCFFCC"/>
          </w:tcPr>
          <w:p>
            <w:pPr>
              <w:spacing w:after="0"/>
              <w:rPr>
                <w:sz w:val="15"/>
                <w:szCs w:val="15"/>
                <w:color w:val="auto"/>
              </w:rPr>
            </w:pPr>
          </w:p>
        </w:tc>
        <w:tc>
          <w:tcPr>
            <w:tcW w:w="16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142,433</w:t>
            </w:r>
          </w:p>
        </w:tc>
        <w:tc>
          <w:tcPr>
            <w:tcW w:w="12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40" w:type="dxa"/>
            <w:vAlign w:val="bottom"/>
            <w:tcBorders>
              <w:bottom w:val="single" w:sz="8" w:color="CCFFCC"/>
            </w:tcBorders>
          </w:tcPr>
          <w:p>
            <w:pPr>
              <w:spacing w:after="0"/>
              <w:rPr>
                <w:sz w:val="14"/>
                <w:szCs w:val="14"/>
                <w:color w:val="auto"/>
              </w:rPr>
            </w:pPr>
          </w:p>
        </w:tc>
        <w:tc>
          <w:tcPr>
            <w:tcW w:w="80" w:type="dxa"/>
            <w:vAlign w:val="bottom"/>
            <w:tcBorders>
              <w:bottom w:val="single" w:sz="8" w:color="CCFFC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40" w:type="dxa"/>
            <w:vAlign w:val="bottom"/>
            <w:tcBorders>
              <w:bottom w:val="single" w:sz="8" w:color="CCFFCC"/>
            </w:tcBorders>
          </w:tcPr>
          <w:p>
            <w:pPr>
              <w:spacing w:after="0"/>
              <w:rPr>
                <w:sz w:val="14"/>
                <w:szCs w:val="14"/>
                <w:color w:val="auto"/>
              </w:rPr>
            </w:pPr>
          </w:p>
        </w:tc>
        <w:tc>
          <w:tcPr>
            <w:tcW w:w="80" w:type="dxa"/>
            <w:vAlign w:val="bottom"/>
            <w:tcBorders>
              <w:bottom w:val="single" w:sz="8" w:color="CCFFC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2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40" w:type="dxa"/>
            <w:vAlign w:val="bottom"/>
            <w:shd w:val="clear" w:color="auto" w:fill="CCFFCC"/>
          </w:tcPr>
          <w:p>
            <w:pPr>
              <w:spacing w:after="0" w:line="171" w:lineRule="exact"/>
              <w:rPr>
                <w:sz w:val="20"/>
                <w:szCs w:val="20"/>
                <w:color w:val="auto"/>
              </w:rPr>
            </w:pPr>
            <w:r>
              <w:rPr>
                <w:rFonts w:ascii="Arial" w:cs="Arial" w:eastAsia="Arial" w:hAnsi="Arial"/>
                <w:sz w:val="15"/>
                <w:szCs w:val="15"/>
                <w:color w:val="auto"/>
              </w:rPr>
              <w:t>Total liabilities and net assets</w:t>
            </w:r>
          </w:p>
        </w:tc>
        <w:tc>
          <w:tcPr>
            <w:tcW w:w="280" w:type="dxa"/>
            <w:vAlign w:val="bottom"/>
            <w:gridSpan w:val="2"/>
            <w:shd w:val="clear" w:color="auto" w:fill="CCFFCC"/>
          </w:tcPr>
          <w:p>
            <w:pPr>
              <w:jc w:val="right"/>
              <w:ind w:right="45"/>
              <w:spacing w:after="0"/>
              <w:rPr>
                <w:sz w:val="20"/>
                <w:szCs w:val="20"/>
                <w:color w:val="auto"/>
              </w:rPr>
            </w:pPr>
            <w:r>
              <w:rPr>
                <w:rFonts w:ascii="Arial" w:cs="Arial" w:eastAsia="Arial" w:hAnsi="Arial"/>
                <w:sz w:val="15"/>
                <w:szCs w:val="15"/>
                <w:color w:val="auto"/>
              </w:rPr>
              <w:t>$</w:t>
            </w:r>
          </w:p>
        </w:tc>
        <w:tc>
          <w:tcPr>
            <w:tcW w:w="178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476,428</w:t>
            </w:r>
          </w:p>
        </w:tc>
        <w:tc>
          <w:tcPr>
            <w:tcW w:w="280" w:type="dxa"/>
            <w:vAlign w:val="bottom"/>
            <w:gridSpan w:val="2"/>
            <w:shd w:val="clear" w:color="auto" w:fill="CCFFCC"/>
          </w:tcPr>
          <w:p>
            <w:pPr>
              <w:jc w:val="right"/>
              <w:ind w:right="45"/>
              <w:spacing w:after="0"/>
              <w:rPr>
                <w:sz w:val="20"/>
                <w:szCs w:val="20"/>
                <w:color w:val="auto"/>
              </w:rPr>
            </w:pPr>
            <w:r>
              <w:rPr>
                <w:rFonts w:ascii="Arial" w:cs="Arial" w:eastAsia="Arial" w:hAnsi="Arial"/>
                <w:sz w:val="15"/>
                <w:szCs w:val="15"/>
                <w:color w:val="auto"/>
              </w:rPr>
              <w:t>$</w:t>
            </w:r>
          </w:p>
        </w:tc>
        <w:tc>
          <w:tcPr>
            <w:tcW w:w="17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322,392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7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5"/>
                <w:szCs w:val="15"/>
                <w:color w:val="auto"/>
              </w:rPr>
              <w:t>Net asset value per share</w:t>
            </w:r>
          </w:p>
        </w:tc>
        <w:tc>
          <w:tcPr>
            <w:tcW w:w="280" w:type="dxa"/>
            <w:vAlign w:val="bottom"/>
            <w:gridSpan w:val="2"/>
            <w:shd w:val="clear" w:color="auto" w:fill="CCFFCC"/>
          </w:tcPr>
          <w:p>
            <w:pPr>
              <w:jc w:val="right"/>
              <w:ind w:right="45"/>
              <w:spacing w:after="0"/>
              <w:rPr>
                <w:sz w:val="20"/>
                <w:szCs w:val="20"/>
                <w:color w:val="auto"/>
              </w:rPr>
            </w:pPr>
            <w:r>
              <w:rPr>
                <w:rFonts w:ascii="Arial" w:cs="Arial" w:eastAsia="Arial" w:hAnsi="Arial"/>
                <w:sz w:val="15"/>
                <w:szCs w:val="15"/>
                <w:color w:val="auto"/>
              </w:rPr>
              <w:t>$</w:t>
            </w:r>
          </w:p>
        </w:tc>
        <w:tc>
          <w:tcPr>
            <w:tcW w:w="178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20.71</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7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N/A – Not Applicable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81" w:right="2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7040" w:type="dxa"/>
            <w:vAlign w:val="bottom"/>
          </w:tcPr>
          <w:p>
            <w:pPr>
              <w:jc w:val="center"/>
              <w:ind w:left="4345"/>
              <w:spacing w:after="0"/>
              <w:rPr>
                <w:sz w:val="20"/>
                <w:szCs w:val="20"/>
                <w:color w:val="auto"/>
              </w:rPr>
            </w:pPr>
            <w:r>
              <w:rPr>
                <w:rFonts w:ascii="Arial" w:cs="Arial" w:eastAsia="Arial" w:hAnsi="Arial"/>
                <w:sz w:val="15"/>
                <w:szCs w:val="15"/>
                <w:b w:val="1"/>
                <w:bCs w:val="1"/>
                <w:color w:val="auto"/>
                <w:w w:val="92"/>
              </w:rPr>
              <w:t>Capitala Finance Corp.</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7040" w:type="dxa"/>
            <w:vAlign w:val="bottom"/>
          </w:tcPr>
          <w:p>
            <w:pPr>
              <w:jc w:val="center"/>
              <w:ind w:left="4345"/>
              <w:spacing w:after="0"/>
              <w:rPr>
                <w:sz w:val="20"/>
                <w:szCs w:val="20"/>
                <w:color w:val="auto"/>
              </w:rPr>
            </w:pPr>
            <w:r>
              <w:rPr>
                <w:rFonts w:ascii="Arial" w:cs="Arial" w:eastAsia="Arial" w:hAnsi="Arial"/>
                <w:sz w:val="15"/>
                <w:szCs w:val="15"/>
                <w:b w:val="1"/>
                <w:bCs w:val="1"/>
                <w:color w:val="auto"/>
                <w:w w:val="88"/>
              </w:rPr>
              <w:t>Consolidated Statements of Operations</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00" w:type="dxa"/>
            <w:vAlign w:val="bottom"/>
            <w:gridSpan w:val="3"/>
          </w:tcPr>
          <w:p>
            <w:pPr>
              <w:jc w:val="center"/>
              <w:ind w:left="3985"/>
              <w:spacing w:after="0"/>
              <w:rPr>
                <w:sz w:val="20"/>
                <w:szCs w:val="20"/>
                <w:color w:val="auto"/>
              </w:rPr>
            </w:pPr>
            <w:r>
              <w:rPr>
                <w:rFonts w:ascii="Arial" w:cs="Arial" w:eastAsia="Arial" w:hAnsi="Arial"/>
                <w:sz w:val="15"/>
                <w:szCs w:val="15"/>
                <w:b w:val="1"/>
                <w:bCs w:val="1"/>
                <w:color w:val="auto"/>
                <w:w w:val="88"/>
              </w:rPr>
              <w:t>(in thousands, except share and per share data)</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tcPr>
          <w:p>
            <w:pPr>
              <w:jc w:val="center"/>
              <w:ind w:left="625"/>
              <w:spacing w:after="0"/>
              <w:rPr>
                <w:sz w:val="20"/>
                <w:szCs w:val="20"/>
                <w:color w:val="auto"/>
              </w:rPr>
            </w:pPr>
            <w:r>
              <w:rPr>
                <w:rFonts w:ascii="Arial" w:cs="Arial" w:eastAsia="Arial" w:hAnsi="Arial"/>
                <w:sz w:val="15"/>
                <w:szCs w:val="15"/>
                <w:b w:val="1"/>
                <w:bCs w:val="1"/>
                <w:color w:val="auto"/>
                <w:w w:val="90"/>
              </w:rPr>
              <w:t>For the year ended December 31</w:t>
            </w: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5"/>
              <w:spacing w:after="0"/>
              <w:rPr>
                <w:sz w:val="20"/>
                <w:szCs w:val="20"/>
                <w:color w:val="auto"/>
              </w:rPr>
            </w:pPr>
            <w:r>
              <w:rPr>
                <w:rFonts w:ascii="Arial" w:cs="Arial" w:eastAsia="Arial" w:hAnsi="Arial"/>
                <w:sz w:val="15"/>
                <w:szCs w:val="15"/>
                <w:b w:val="1"/>
                <w:bCs w:val="1"/>
                <w:color w:val="auto"/>
                <w:w w:val="89"/>
              </w:rPr>
              <w:t>2012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85"/>
              <w:spacing w:after="0"/>
              <w:rPr>
                <w:sz w:val="20"/>
                <w:szCs w:val="20"/>
                <w:color w:val="auto"/>
              </w:rPr>
            </w:pPr>
            <w:r>
              <w:rPr>
                <w:rFonts w:ascii="Arial" w:cs="Arial" w:eastAsia="Arial" w:hAnsi="Arial"/>
                <w:sz w:val="15"/>
                <w:szCs w:val="15"/>
                <w:b w:val="1"/>
                <w:bCs w:val="1"/>
                <w:color w:val="auto"/>
                <w:w w:val="89"/>
              </w:rPr>
              <w:t>(combined)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Arial" w:cs="Arial" w:eastAsia="Arial" w:hAnsi="Arial"/>
                <w:sz w:val="15"/>
                <w:szCs w:val="15"/>
                <w:b w:val="1"/>
                <w:bCs w:val="1"/>
                <w:color w:val="auto"/>
                <w:w w:val="91"/>
              </w:rPr>
              <w:t>(combined)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5"/>
                <w:szCs w:val="15"/>
                <w:color w:val="auto"/>
              </w:rPr>
              <w:t>INVESTMENT INCOME</w:t>
            </w:r>
          </w:p>
        </w:tc>
        <w:tc>
          <w:tcPr>
            <w:tcW w:w="4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94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Loan interest and fee income:</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shd w:val="clear" w:color="auto" w:fill="CCFFCC"/>
          </w:tcPr>
          <w:p>
            <w:pPr>
              <w:ind w:left="100"/>
              <w:spacing w:after="0"/>
              <w:rPr>
                <w:sz w:val="20"/>
                <w:szCs w:val="20"/>
                <w:color w:val="auto"/>
              </w:rPr>
            </w:pPr>
            <w:r>
              <w:rPr>
                <w:rFonts w:ascii="Arial" w:cs="Arial" w:eastAsia="Arial" w:hAnsi="Arial"/>
                <w:sz w:val="15"/>
                <w:szCs w:val="15"/>
                <w:color w:val="auto"/>
              </w:rPr>
              <w:t>Non-control/Non-affiliate investments</w:t>
            </w:r>
          </w:p>
        </w:tc>
        <w:tc>
          <w:tcPr>
            <w:tcW w:w="360" w:type="dxa"/>
            <w:vAlign w:val="bottom"/>
            <w:gridSpan w:val="2"/>
            <w:shd w:val="clear" w:color="auto" w:fill="CCFFCC"/>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8,355</w:t>
            </w:r>
          </w:p>
        </w:tc>
        <w:tc>
          <w:tcPr>
            <w:tcW w:w="140" w:type="dxa"/>
            <w:vAlign w:val="bottom"/>
            <w:shd w:val="clear" w:color="auto" w:fill="CCFFCC"/>
          </w:tcPr>
          <w:p>
            <w:pPr>
              <w:spacing w:after="0"/>
              <w:rPr>
                <w:sz w:val="15"/>
                <w:szCs w:val="15"/>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6,742</w:t>
            </w:r>
          </w:p>
        </w:tc>
        <w:tc>
          <w:tcPr>
            <w:tcW w:w="140" w:type="dxa"/>
            <w:vAlign w:val="bottom"/>
            <w:shd w:val="clear" w:color="auto" w:fill="CCFFCC"/>
          </w:tcPr>
          <w:p>
            <w:pPr>
              <w:spacing w:after="0"/>
              <w:rPr>
                <w:sz w:val="15"/>
                <w:szCs w:val="15"/>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6,566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tcPr>
          <w:p>
            <w:pPr>
              <w:ind w:left="100"/>
              <w:spacing w:after="0"/>
              <w:rPr>
                <w:sz w:val="20"/>
                <w:szCs w:val="20"/>
                <w:color w:val="auto"/>
              </w:rPr>
            </w:pPr>
            <w:r>
              <w:rPr>
                <w:rFonts w:ascii="Arial" w:cs="Arial" w:eastAsia="Arial" w:hAnsi="Arial"/>
                <w:sz w:val="15"/>
                <w:szCs w:val="15"/>
                <w:color w:val="auto"/>
              </w:rPr>
              <w:t>Affiliate investments</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12,688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11,683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5,711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40" w:type="dxa"/>
            <w:vAlign w:val="bottom"/>
            <w:shd w:val="clear" w:color="auto" w:fill="CCFFCC"/>
          </w:tcPr>
          <w:p>
            <w:pPr>
              <w:ind w:left="100"/>
              <w:spacing w:after="0"/>
              <w:rPr>
                <w:sz w:val="20"/>
                <w:szCs w:val="20"/>
                <w:color w:val="auto"/>
              </w:rPr>
            </w:pPr>
            <w:r>
              <w:rPr>
                <w:rFonts w:ascii="Arial" w:cs="Arial" w:eastAsia="Arial" w:hAnsi="Arial"/>
                <w:sz w:val="15"/>
                <w:szCs w:val="15"/>
                <w:color w:val="auto"/>
              </w:rPr>
              <w:t>Control investments</w:t>
            </w:r>
          </w:p>
        </w:tc>
        <w:tc>
          <w:tcPr>
            <w:tcW w:w="4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4,734</w:t>
            </w:r>
          </w:p>
        </w:tc>
        <w:tc>
          <w:tcPr>
            <w:tcW w:w="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3,338</w:t>
            </w:r>
          </w:p>
        </w:tc>
        <w:tc>
          <w:tcPr>
            <w:tcW w:w="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2,262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tcBorders>
              <w:bottom w:val="single" w:sz="8" w:color="CCFFCC"/>
            </w:tcBorders>
          </w:tcPr>
          <w:p>
            <w:pPr>
              <w:ind w:left="100"/>
              <w:spacing w:after="0" w:line="171" w:lineRule="exact"/>
              <w:rPr>
                <w:sz w:val="20"/>
                <w:szCs w:val="20"/>
                <w:color w:val="auto"/>
              </w:rPr>
            </w:pPr>
            <w:r>
              <w:rPr>
                <w:rFonts w:ascii="Arial" w:cs="Arial" w:eastAsia="Arial" w:hAnsi="Arial"/>
                <w:sz w:val="15"/>
                <w:szCs w:val="15"/>
                <w:color w:val="auto"/>
              </w:rPr>
              <w:t>Total loan interest and fee income</w:t>
            </w:r>
          </w:p>
        </w:tc>
        <w:tc>
          <w:tcPr>
            <w:tcW w:w="40" w:type="dxa"/>
            <w:vAlign w:val="bottom"/>
            <w:tcBorders>
              <w:bottom w:val="single" w:sz="8" w:color="CCFFC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25,777</w:t>
            </w:r>
          </w:p>
        </w:tc>
        <w:tc>
          <w:tcPr>
            <w:tcW w:w="140" w:type="dxa"/>
            <w:vAlign w:val="bottom"/>
            <w:tcBorders>
              <w:bottom w:val="single" w:sz="8" w:color="CCFFCC"/>
            </w:tcBorders>
          </w:tcPr>
          <w:p>
            <w:pPr>
              <w:spacing w:after="0"/>
              <w:rPr>
                <w:sz w:val="14"/>
                <w:szCs w:val="14"/>
                <w:color w:val="auto"/>
              </w:rPr>
            </w:pPr>
          </w:p>
        </w:tc>
        <w:tc>
          <w:tcPr>
            <w:tcW w:w="80" w:type="dxa"/>
            <w:vAlign w:val="bottom"/>
            <w:tcBorders>
              <w:bottom w:val="single" w:sz="8" w:color="CCFFC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21,763</w:t>
            </w:r>
          </w:p>
        </w:tc>
        <w:tc>
          <w:tcPr>
            <w:tcW w:w="140" w:type="dxa"/>
            <w:vAlign w:val="bottom"/>
            <w:tcBorders>
              <w:bottom w:val="single" w:sz="8" w:color="CCFFCC"/>
            </w:tcBorders>
          </w:tcPr>
          <w:p>
            <w:pPr>
              <w:spacing w:after="0"/>
              <w:rPr>
                <w:sz w:val="14"/>
                <w:szCs w:val="14"/>
                <w:color w:val="auto"/>
              </w:rPr>
            </w:pPr>
          </w:p>
        </w:tc>
        <w:tc>
          <w:tcPr>
            <w:tcW w:w="80" w:type="dxa"/>
            <w:vAlign w:val="bottom"/>
            <w:tcBorders>
              <w:bottom w:val="single" w:sz="8" w:color="CCFFC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14,539</w:t>
            </w:r>
          </w:p>
        </w:tc>
        <w:tc>
          <w:tcPr>
            <w:tcW w:w="12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shd w:val="clear" w:color="auto" w:fill="CCFFCC"/>
          </w:tcPr>
          <w:p>
            <w:pPr>
              <w:spacing w:after="0" w:line="172" w:lineRule="exact"/>
              <w:rPr>
                <w:sz w:val="20"/>
                <w:szCs w:val="20"/>
                <w:color w:val="auto"/>
              </w:rPr>
            </w:pPr>
            <w:r>
              <w:rPr>
                <w:rFonts w:ascii="Arial" w:cs="Arial" w:eastAsia="Arial" w:hAnsi="Arial"/>
                <w:sz w:val="15"/>
                <w:szCs w:val="15"/>
                <w:color w:val="auto"/>
              </w:rPr>
              <w:t>Payment-in-kind interest income:</w:t>
            </w:r>
          </w:p>
        </w:tc>
        <w:tc>
          <w:tcPr>
            <w:tcW w:w="40" w:type="dxa"/>
            <w:vAlign w:val="bottom"/>
            <w:shd w:val="clear" w:color="auto" w:fill="CCFFCC"/>
          </w:tcPr>
          <w:p>
            <w:pPr>
              <w:spacing w:after="0"/>
              <w:rPr>
                <w:sz w:val="14"/>
                <w:szCs w:val="14"/>
                <w:color w:val="auto"/>
              </w:rPr>
            </w:pPr>
          </w:p>
        </w:tc>
        <w:tc>
          <w:tcPr>
            <w:tcW w:w="32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0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0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tcPr>
          <w:p>
            <w:pPr>
              <w:ind w:left="100"/>
              <w:spacing w:after="0"/>
              <w:rPr>
                <w:sz w:val="20"/>
                <w:szCs w:val="20"/>
                <w:color w:val="auto"/>
              </w:rPr>
            </w:pPr>
            <w:r>
              <w:rPr>
                <w:rFonts w:ascii="Arial" w:cs="Arial" w:eastAsia="Arial" w:hAnsi="Arial"/>
                <w:sz w:val="15"/>
                <w:szCs w:val="15"/>
                <w:color w:val="auto"/>
              </w:rPr>
              <w:t>Non-control/Non-affiliate investments</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175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185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616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shd w:val="clear" w:color="auto" w:fill="CCFFCC"/>
          </w:tcPr>
          <w:p>
            <w:pPr>
              <w:ind w:left="100"/>
              <w:spacing w:after="0"/>
              <w:rPr>
                <w:sz w:val="20"/>
                <w:szCs w:val="20"/>
                <w:color w:val="auto"/>
              </w:rPr>
            </w:pPr>
            <w:r>
              <w:rPr>
                <w:rFonts w:ascii="Arial" w:cs="Arial" w:eastAsia="Arial" w:hAnsi="Arial"/>
                <w:sz w:val="15"/>
                <w:szCs w:val="15"/>
                <w:color w:val="auto"/>
              </w:rPr>
              <w:t>Affiliate investments</w:t>
            </w:r>
          </w:p>
        </w:tc>
        <w:tc>
          <w:tcPr>
            <w:tcW w:w="4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471</w:t>
            </w: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532</w:t>
            </w: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534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40" w:type="dxa"/>
            <w:vAlign w:val="bottom"/>
          </w:tcPr>
          <w:p>
            <w:pPr>
              <w:ind w:left="100"/>
              <w:spacing w:after="0"/>
              <w:rPr>
                <w:sz w:val="20"/>
                <w:szCs w:val="20"/>
                <w:color w:val="auto"/>
              </w:rPr>
            </w:pPr>
            <w:r>
              <w:rPr>
                <w:rFonts w:ascii="Arial" w:cs="Arial" w:eastAsia="Arial" w:hAnsi="Arial"/>
                <w:sz w:val="15"/>
                <w:szCs w:val="15"/>
                <w:color w:val="auto"/>
              </w:rPr>
              <w:t>Control investments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925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1,072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489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40" w:type="dxa"/>
            <w:vAlign w:val="bottom"/>
            <w:tcBorders>
              <w:top w:val="single" w:sz="8" w:color="CCFFCC"/>
            </w:tcBorders>
            <w:shd w:val="clear" w:color="auto" w:fill="CCFFCC"/>
          </w:tcPr>
          <w:p>
            <w:pPr>
              <w:ind w:left="100"/>
              <w:spacing w:after="0" w:line="171" w:lineRule="exact"/>
              <w:rPr>
                <w:sz w:val="20"/>
                <w:szCs w:val="20"/>
                <w:color w:val="auto"/>
              </w:rPr>
            </w:pPr>
            <w:r>
              <w:rPr>
                <w:rFonts w:ascii="Arial" w:cs="Arial" w:eastAsia="Arial" w:hAnsi="Arial"/>
                <w:sz w:val="15"/>
                <w:szCs w:val="15"/>
                <w:color w:val="auto"/>
              </w:rPr>
              <w:t>Total payment-in-kind interest income</w:t>
            </w:r>
          </w:p>
        </w:tc>
        <w:tc>
          <w:tcPr>
            <w:tcW w:w="40" w:type="dxa"/>
            <w:vAlign w:val="bottom"/>
            <w:tcBorders>
              <w:top w:val="single" w:sz="8" w:color="CCFFCC"/>
            </w:tcBorders>
            <w:shd w:val="clear" w:color="auto" w:fill="CCFFCC"/>
          </w:tcPr>
          <w:p>
            <w:pPr>
              <w:spacing w:after="0"/>
              <w:rPr>
                <w:sz w:val="15"/>
                <w:szCs w:val="15"/>
                <w:color w:val="auto"/>
              </w:rPr>
            </w:pPr>
          </w:p>
        </w:tc>
        <w:tc>
          <w:tcPr>
            <w:tcW w:w="320" w:type="dxa"/>
            <w:vAlign w:val="bottom"/>
            <w:tcBorders>
              <w:top w:val="single" w:sz="8" w:color="auto"/>
              <w:bottom w:val="single" w:sz="8" w:color="auto"/>
            </w:tcBorders>
            <w:shd w:val="clear" w:color="auto" w:fill="CCFFCC"/>
          </w:tcPr>
          <w:p>
            <w:pPr>
              <w:spacing w:after="0"/>
              <w:rPr>
                <w:sz w:val="15"/>
                <w:szCs w:val="15"/>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1,571</w:t>
            </w: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180" w:type="dxa"/>
            <w:vAlign w:val="bottom"/>
            <w:tcBorders>
              <w:top w:val="single" w:sz="8" w:color="auto"/>
              <w:bottom w:val="single" w:sz="8" w:color="auto"/>
            </w:tcBorders>
            <w:shd w:val="clear" w:color="auto" w:fill="CCFFCC"/>
          </w:tcPr>
          <w:p>
            <w:pPr>
              <w:spacing w:after="0"/>
              <w:rPr>
                <w:sz w:val="15"/>
                <w:szCs w:val="15"/>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1,789</w:t>
            </w: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240" w:type="dxa"/>
            <w:vAlign w:val="bottom"/>
            <w:tcBorders>
              <w:top w:val="single" w:sz="8" w:color="auto"/>
              <w:bottom w:val="single" w:sz="8" w:color="auto"/>
            </w:tcBorders>
            <w:shd w:val="clear" w:color="auto" w:fill="CCFFCC"/>
          </w:tcPr>
          <w:p>
            <w:pPr>
              <w:spacing w:after="0"/>
              <w:rPr>
                <w:sz w:val="15"/>
                <w:szCs w:val="15"/>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1,639</w:t>
            </w:r>
          </w:p>
        </w:tc>
        <w:tc>
          <w:tcPr>
            <w:tcW w:w="12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spacing w:after="0" w:line="172" w:lineRule="exact"/>
              <w:rPr>
                <w:sz w:val="20"/>
                <w:szCs w:val="20"/>
                <w:color w:val="auto"/>
              </w:rPr>
            </w:pPr>
            <w:r>
              <w:rPr>
                <w:rFonts w:ascii="Arial" w:cs="Arial" w:eastAsia="Arial" w:hAnsi="Arial"/>
                <w:sz w:val="15"/>
                <w:szCs w:val="15"/>
                <w:color w:val="auto"/>
              </w:rPr>
              <w:t>Dividend income:</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40" w:type="dxa"/>
            <w:vAlign w:val="bottom"/>
            <w:shd w:val="clear" w:color="auto" w:fill="CCFFCC"/>
          </w:tcPr>
          <w:p>
            <w:pPr>
              <w:ind w:left="100"/>
              <w:spacing w:after="0"/>
              <w:rPr>
                <w:sz w:val="20"/>
                <w:szCs w:val="20"/>
                <w:color w:val="auto"/>
              </w:rPr>
            </w:pPr>
            <w:r>
              <w:rPr>
                <w:rFonts w:ascii="Arial" w:cs="Arial" w:eastAsia="Arial" w:hAnsi="Arial"/>
                <w:sz w:val="15"/>
                <w:szCs w:val="15"/>
                <w:color w:val="auto"/>
              </w:rPr>
              <w:t>Non-control/Non-affiliate investments</w:t>
            </w:r>
          </w:p>
        </w:tc>
        <w:tc>
          <w:tcPr>
            <w:tcW w:w="4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35</w:t>
            </w: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tcPr>
          <w:p>
            <w:pPr>
              <w:ind w:left="100"/>
              <w:spacing w:after="0"/>
              <w:rPr>
                <w:sz w:val="20"/>
                <w:szCs w:val="20"/>
                <w:color w:val="auto"/>
              </w:rPr>
            </w:pPr>
            <w:r>
              <w:rPr>
                <w:rFonts w:ascii="Arial" w:cs="Arial" w:eastAsia="Arial" w:hAnsi="Arial"/>
                <w:sz w:val="15"/>
                <w:szCs w:val="15"/>
                <w:color w:val="auto"/>
              </w:rPr>
              <w:t>Affiliate investments</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314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431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40" w:type="dxa"/>
            <w:vAlign w:val="bottom"/>
            <w:shd w:val="clear" w:color="auto" w:fill="CCFFCC"/>
          </w:tcPr>
          <w:p>
            <w:pPr>
              <w:ind w:left="100"/>
              <w:spacing w:after="0"/>
              <w:rPr>
                <w:sz w:val="20"/>
                <w:szCs w:val="20"/>
                <w:color w:val="auto"/>
              </w:rPr>
            </w:pPr>
            <w:r>
              <w:rPr>
                <w:rFonts w:ascii="Arial" w:cs="Arial" w:eastAsia="Arial" w:hAnsi="Arial"/>
                <w:sz w:val="15"/>
                <w:szCs w:val="15"/>
                <w:color w:val="auto"/>
              </w:rPr>
              <w:t>Control investments</w:t>
            </w:r>
          </w:p>
        </w:tc>
        <w:tc>
          <w:tcPr>
            <w:tcW w:w="4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6,083</w:t>
            </w:r>
          </w:p>
        </w:tc>
        <w:tc>
          <w:tcPr>
            <w:tcW w:w="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621</w:t>
            </w:r>
          </w:p>
        </w:tc>
        <w:tc>
          <w:tcPr>
            <w:tcW w:w="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1,018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tcBorders>
              <w:bottom w:val="single" w:sz="8" w:color="CCFFCC"/>
            </w:tcBorders>
          </w:tcPr>
          <w:p>
            <w:pPr>
              <w:ind w:left="100"/>
              <w:spacing w:after="0" w:line="171" w:lineRule="exact"/>
              <w:rPr>
                <w:sz w:val="20"/>
                <w:szCs w:val="20"/>
                <w:color w:val="auto"/>
              </w:rPr>
            </w:pPr>
            <w:r>
              <w:rPr>
                <w:rFonts w:ascii="Arial" w:cs="Arial" w:eastAsia="Arial" w:hAnsi="Arial"/>
                <w:sz w:val="15"/>
                <w:szCs w:val="15"/>
                <w:color w:val="auto"/>
              </w:rPr>
              <w:t>Total dividend income</w:t>
            </w:r>
          </w:p>
        </w:tc>
        <w:tc>
          <w:tcPr>
            <w:tcW w:w="40" w:type="dxa"/>
            <w:vAlign w:val="bottom"/>
            <w:tcBorders>
              <w:bottom w:val="single" w:sz="8" w:color="CCFFC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6,432</w:t>
            </w:r>
          </w:p>
        </w:tc>
        <w:tc>
          <w:tcPr>
            <w:tcW w:w="140" w:type="dxa"/>
            <w:vAlign w:val="bottom"/>
            <w:tcBorders>
              <w:bottom w:val="single" w:sz="8" w:color="CCFFCC"/>
            </w:tcBorders>
          </w:tcPr>
          <w:p>
            <w:pPr>
              <w:spacing w:after="0"/>
              <w:rPr>
                <w:sz w:val="14"/>
                <w:szCs w:val="14"/>
                <w:color w:val="auto"/>
              </w:rPr>
            </w:pPr>
          </w:p>
        </w:tc>
        <w:tc>
          <w:tcPr>
            <w:tcW w:w="80" w:type="dxa"/>
            <w:vAlign w:val="bottom"/>
            <w:tcBorders>
              <w:bottom w:val="single" w:sz="8" w:color="CCFFC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1,052</w:t>
            </w:r>
          </w:p>
        </w:tc>
        <w:tc>
          <w:tcPr>
            <w:tcW w:w="140" w:type="dxa"/>
            <w:vAlign w:val="bottom"/>
            <w:tcBorders>
              <w:bottom w:val="single" w:sz="8" w:color="CCFFCC"/>
            </w:tcBorders>
          </w:tcPr>
          <w:p>
            <w:pPr>
              <w:spacing w:after="0"/>
              <w:rPr>
                <w:sz w:val="14"/>
                <w:szCs w:val="14"/>
                <w:color w:val="auto"/>
              </w:rPr>
            </w:pPr>
          </w:p>
        </w:tc>
        <w:tc>
          <w:tcPr>
            <w:tcW w:w="80" w:type="dxa"/>
            <w:vAlign w:val="bottom"/>
            <w:tcBorders>
              <w:bottom w:val="single" w:sz="8" w:color="CCFFC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1,018</w:t>
            </w:r>
          </w:p>
        </w:tc>
        <w:tc>
          <w:tcPr>
            <w:tcW w:w="12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shd w:val="clear" w:color="auto" w:fill="CCFFCC"/>
          </w:tcPr>
          <w:p>
            <w:pPr>
              <w:spacing w:after="0" w:line="172" w:lineRule="exact"/>
              <w:rPr>
                <w:sz w:val="20"/>
                <w:szCs w:val="20"/>
                <w:color w:val="auto"/>
              </w:rPr>
            </w:pPr>
            <w:r>
              <w:rPr>
                <w:rFonts w:ascii="Arial" w:cs="Arial" w:eastAsia="Arial" w:hAnsi="Arial"/>
                <w:sz w:val="15"/>
                <w:szCs w:val="15"/>
                <w:color w:val="auto"/>
              </w:rPr>
              <w:t>Income from pass-through entities:</w:t>
            </w:r>
          </w:p>
        </w:tc>
        <w:tc>
          <w:tcPr>
            <w:tcW w:w="40" w:type="dxa"/>
            <w:vAlign w:val="bottom"/>
            <w:shd w:val="clear" w:color="auto" w:fill="CCFFCC"/>
          </w:tcPr>
          <w:p>
            <w:pPr>
              <w:spacing w:after="0"/>
              <w:rPr>
                <w:sz w:val="14"/>
                <w:szCs w:val="14"/>
                <w:color w:val="auto"/>
              </w:rPr>
            </w:pPr>
          </w:p>
        </w:tc>
        <w:tc>
          <w:tcPr>
            <w:tcW w:w="32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0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0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tcPr>
          <w:p>
            <w:pPr>
              <w:ind w:left="100"/>
              <w:spacing w:after="0"/>
              <w:rPr>
                <w:sz w:val="20"/>
                <w:szCs w:val="20"/>
                <w:color w:val="auto"/>
              </w:rPr>
            </w:pPr>
            <w:r>
              <w:rPr>
                <w:rFonts w:ascii="Arial" w:cs="Arial" w:eastAsia="Arial" w:hAnsi="Arial"/>
                <w:sz w:val="15"/>
                <w:szCs w:val="15"/>
                <w:color w:val="auto"/>
              </w:rPr>
              <w:t>Non-control/Non-affiliate investments</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shd w:val="clear" w:color="auto" w:fill="CCFFCC"/>
          </w:tcPr>
          <w:p>
            <w:pPr>
              <w:ind w:left="100"/>
              <w:spacing w:after="0"/>
              <w:rPr>
                <w:sz w:val="20"/>
                <w:szCs w:val="20"/>
                <w:color w:val="auto"/>
              </w:rPr>
            </w:pPr>
            <w:r>
              <w:rPr>
                <w:rFonts w:ascii="Arial" w:cs="Arial" w:eastAsia="Arial" w:hAnsi="Arial"/>
                <w:sz w:val="15"/>
                <w:szCs w:val="15"/>
                <w:color w:val="auto"/>
              </w:rPr>
              <w:t>Affiliate investments</w:t>
            </w:r>
          </w:p>
        </w:tc>
        <w:tc>
          <w:tcPr>
            <w:tcW w:w="4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1,476</w:t>
            </w: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153</w:t>
            </w: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40" w:type="dxa"/>
            <w:vAlign w:val="bottom"/>
          </w:tcPr>
          <w:p>
            <w:pPr>
              <w:ind w:left="100"/>
              <w:spacing w:after="0"/>
              <w:rPr>
                <w:sz w:val="20"/>
                <w:szCs w:val="20"/>
                <w:color w:val="auto"/>
              </w:rPr>
            </w:pPr>
            <w:r>
              <w:rPr>
                <w:rFonts w:ascii="Arial" w:cs="Arial" w:eastAsia="Arial" w:hAnsi="Arial"/>
                <w:sz w:val="15"/>
                <w:szCs w:val="15"/>
                <w:color w:val="auto"/>
              </w:rPr>
              <w:t>Control investments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40" w:type="dxa"/>
            <w:vAlign w:val="bottom"/>
            <w:tcBorders>
              <w:top w:val="single" w:sz="8" w:color="CCFFCC"/>
            </w:tcBorders>
            <w:shd w:val="clear" w:color="auto" w:fill="CCFFCC"/>
          </w:tcPr>
          <w:p>
            <w:pPr>
              <w:ind w:left="100"/>
              <w:spacing w:after="0" w:line="171" w:lineRule="exact"/>
              <w:rPr>
                <w:sz w:val="20"/>
                <w:szCs w:val="20"/>
                <w:color w:val="auto"/>
              </w:rPr>
            </w:pPr>
            <w:r>
              <w:rPr>
                <w:rFonts w:ascii="Arial" w:cs="Arial" w:eastAsia="Arial" w:hAnsi="Arial"/>
                <w:sz w:val="15"/>
                <w:szCs w:val="15"/>
                <w:color w:val="auto"/>
              </w:rPr>
              <w:t>Total income from pass-through entities</w:t>
            </w:r>
          </w:p>
        </w:tc>
        <w:tc>
          <w:tcPr>
            <w:tcW w:w="40" w:type="dxa"/>
            <w:vAlign w:val="bottom"/>
            <w:tcBorders>
              <w:top w:val="single" w:sz="8" w:color="CCFFCC"/>
            </w:tcBorders>
            <w:shd w:val="clear" w:color="auto" w:fill="CCFFCC"/>
          </w:tcPr>
          <w:p>
            <w:pPr>
              <w:spacing w:after="0"/>
              <w:rPr>
                <w:sz w:val="15"/>
                <w:szCs w:val="15"/>
                <w:color w:val="auto"/>
              </w:rPr>
            </w:pPr>
          </w:p>
        </w:tc>
        <w:tc>
          <w:tcPr>
            <w:tcW w:w="320" w:type="dxa"/>
            <w:vAlign w:val="bottom"/>
            <w:tcBorders>
              <w:top w:val="single" w:sz="8" w:color="auto"/>
              <w:bottom w:val="single" w:sz="8" w:color="auto"/>
            </w:tcBorders>
            <w:shd w:val="clear" w:color="auto" w:fill="CCFFCC"/>
          </w:tcPr>
          <w:p>
            <w:pPr>
              <w:spacing w:after="0"/>
              <w:rPr>
                <w:sz w:val="15"/>
                <w:szCs w:val="15"/>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1,504</w:t>
            </w: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180" w:type="dxa"/>
            <w:vAlign w:val="bottom"/>
            <w:tcBorders>
              <w:top w:val="single" w:sz="8" w:color="auto"/>
              <w:bottom w:val="single" w:sz="8" w:color="auto"/>
            </w:tcBorders>
            <w:shd w:val="clear" w:color="auto" w:fill="CCFFCC"/>
          </w:tcPr>
          <w:p>
            <w:pPr>
              <w:spacing w:after="0"/>
              <w:rPr>
                <w:sz w:val="15"/>
                <w:szCs w:val="15"/>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171</w:t>
            </w: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240" w:type="dxa"/>
            <w:vAlign w:val="bottom"/>
            <w:tcBorders>
              <w:top w:val="single" w:sz="8" w:color="auto"/>
              <w:bottom w:val="single" w:sz="8" w:color="auto"/>
            </w:tcBorders>
            <w:shd w:val="clear" w:color="auto" w:fill="CCFFCC"/>
          </w:tcPr>
          <w:p>
            <w:pPr>
              <w:spacing w:after="0"/>
              <w:rPr>
                <w:sz w:val="15"/>
                <w:szCs w:val="15"/>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187</w:t>
            </w:r>
          </w:p>
        </w:tc>
        <w:tc>
          <w:tcPr>
            <w:tcW w:w="12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spacing w:after="0" w:line="172" w:lineRule="exact"/>
              <w:rPr>
                <w:sz w:val="20"/>
                <w:szCs w:val="20"/>
                <w:color w:val="auto"/>
              </w:rPr>
            </w:pPr>
            <w:r>
              <w:rPr>
                <w:rFonts w:ascii="Arial" w:cs="Arial" w:eastAsia="Arial" w:hAnsi="Arial"/>
                <w:sz w:val="15"/>
                <w:szCs w:val="15"/>
                <w:color w:val="auto"/>
              </w:rPr>
              <w:t>Interest income from cash and cash equivalents</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5"/>
                <w:szCs w:val="15"/>
                <w:color w:val="auto"/>
              </w:rPr>
              <w:t>Other income</w:t>
            </w:r>
          </w:p>
        </w:tc>
        <w:tc>
          <w:tcPr>
            <w:tcW w:w="4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23</w:t>
            </w:r>
          </w:p>
        </w:tc>
        <w:tc>
          <w:tcPr>
            <w:tcW w:w="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tcBorders>
              <w:bottom w:val="single" w:sz="8" w:color="CCFFCC"/>
            </w:tcBorders>
          </w:tcPr>
          <w:p>
            <w:pPr>
              <w:ind w:left="100"/>
              <w:spacing w:after="0" w:line="171" w:lineRule="exact"/>
              <w:rPr>
                <w:sz w:val="20"/>
                <w:szCs w:val="20"/>
                <w:color w:val="auto"/>
              </w:rPr>
            </w:pPr>
            <w:r>
              <w:rPr>
                <w:rFonts w:ascii="Arial" w:cs="Arial" w:eastAsia="Arial" w:hAnsi="Arial"/>
                <w:sz w:val="15"/>
                <w:szCs w:val="15"/>
                <w:color w:val="auto"/>
              </w:rPr>
              <w:t>Total investment income</w:t>
            </w:r>
          </w:p>
        </w:tc>
        <w:tc>
          <w:tcPr>
            <w:tcW w:w="40" w:type="dxa"/>
            <w:vAlign w:val="bottom"/>
            <w:tcBorders>
              <w:bottom w:val="single" w:sz="8" w:color="CCFFC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35,433</w:t>
            </w:r>
          </w:p>
        </w:tc>
        <w:tc>
          <w:tcPr>
            <w:tcW w:w="140" w:type="dxa"/>
            <w:vAlign w:val="bottom"/>
            <w:tcBorders>
              <w:bottom w:val="single" w:sz="8" w:color="CCFFCC"/>
            </w:tcBorders>
          </w:tcPr>
          <w:p>
            <w:pPr>
              <w:spacing w:after="0"/>
              <w:rPr>
                <w:sz w:val="14"/>
                <w:szCs w:val="14"/>
                <w:color w:val="auto"/>
              </w:rPr>
            </w:pPr>
          </w:p>
        </w:tc>
        <w:tc>
          <w:tcPr>
            <w:tcW w:w="80" w:type="dxa"/>
            <w:vAlign w:val="bottom"/>
            <w:tcBorders>
              <w:bottom w:val="single" w:sz="8" w:color="CCFFC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24,939</w:t>
            </w:r>
          </w:p>
        </w:tc>
        <w:tc>
          <w:tcPr>
            <w:tcW w:w="140" w:type="dxa"/>
            <w:vAlign w:val="bottom"/>
            <w:tcBorders>
              <w:bottom w:val="single" w:sz="8" w:color="CCFFCC"/>
            </w:tcBorders>
          </w:tcPr>
          <w:p>
            <w:pPr>
              <w:spacing w:after="0"/>
              <w:rPr>
                <w:sz w:val="14"/>
                <w:szCs w:val="14"/>
                <w:color w:val="auto"/>
              </w:rPr>
            </w:pPr>
          </w:p>
        </w:tc>
        <w:tc>
          <w:tcPr>
            <w:tcW w:w="80" w:type="dxa"/>
            <w:vAlign w:val="bottom"/>
            <w:tcBorders>
              <w:bottom w:val="single" w:sz="8" w:color="CCFFC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17,625</w:t>
            </w:r>
          </w:p>
        </w:tc>
        <w:tc>
          <w:tcPr>
            <w:tcW w:w="12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0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32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0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0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EXPENSES</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5"/>
                <w:szCs w:val="15"/>
                <w:color w:val="auto"/>
              </w:rPr>
              <w:t>Interest expense and amortization of deferred financing fees</w:t>
            </w:r>
          </w:p>
        </w:tc>
        <w:tc>
          <w:tcPr>
            <w:tcW w:w="4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8,384</w:t>
            </w: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7,853</w:t>
            </w: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5,476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Management fees</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5,064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4,193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2,651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5"/>
                <w:szCs w:val="15"/>
                <w:color w:val="auto"/>
              </w:rPr>
              <w:t>Incentive fees</w:t>
            </w:r>
          </w:p>
        </w:tc>
        <w:tc>
          <w:tcPr>
            <w:tcW w:w="4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1,525</w:t>
            </w: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General and administrative expenses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1,309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119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585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40" w:type="dxa"/>
            <w:vAlign w:val="bottom"/>
            <w:tcBorders>
              <w:top w:val="single" w:sz="8" w:color="CCFFCC"/>
            </w:tcBorders>
            <w:shd w:val="clear" w:color="auto" w:fill="CCFFCC"/>
          </w:tcPr>
          <w:p>
            <w:pPr>
              <w:ind w:left="100"/>
              <w:spacing w:after="0"/>
              <w:rPr>
                <w:sz w:val="20"/>
                <w:szCs w:val="20"/>
                <w:color w:val="auto"/>
              </w:rPr>
            </w:pPr>
            <w:r>
              <w:rPr>
                <w:rFonts w:ascii="Arial" w:cs="Arial" w:eastAsia="Arial" w:hAnsi="Arial"/>
                <w:sz w:val="15"/>
                <w:szCs w:val="15"/>
                <w:color w:val="auto"/>
              </w:rPr>
              <w:t>Expenses before management fee waiver</w:t>
            </w:r>
          </w:p>
        </w:tc>
        <w:tc>
          <w:tcPr>
            <w:tcW w:w="40" w:type="dxa"/>
            <w:vAlign w:val="bottom"/>
            <w:tcBorders>
              <w:top w:val="single" w:sz="8" w:color="CCFFCC"/>
            </w:tcBorders>
            <w:shd w:val="clear" w:color="auto" w:fill="CCFFCC"/>
          </w:tcPr>
          <w:p>
            <w:pPr>
              <w:spacing w:after="0"/>
              <w:rPr>
                <w:sz w:val="15"/>
                <w:szCs w:val="15"/>
                <w:color w:val="auto"/>
              </w:rPr>
            </w:pPr>
          </w:p>
        </w:tc>
        <w:tc>
          <w:tcPr>
            <w:tcW w:w="320" w:type="dxa"/>
            <w:vAlign w:val="bottom"/>
            <w:tcBorders>
              <w:top w:val="single" w:sz="8" w:color="auto"/>
            </w:tcBorders>
            <w:shd w:val="clear" w:color="auto" w:fill="CCFFCC"/>
          </w:tcPr>
          <w:p>
            <w:pPr>
              <w:spacing w:after="0"/>
              <w:rPr>
                <w:sz w:val="15"/>
                <w:szCs w:val="15"/>
                <w:color w:val="auto"/>
              </w:rPr>
            </w:pP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16,282</w:t>
            </w: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180" w:type="dxa"/>
            <w:vAlign w:val="bottom"/>
            <w:tcBorders>
              <w:top w:val="single" w:sz="8" w:color="auto"/>
            </w:tcBorders>
            <w:shd w:val="clear" w:color="auto" w:fill="CCFFCC"/>
          </w:tcPr>
          <w:p>
            <w:pPr>
              <w:spacing w:after="0"/>
              <w:rPr>
                <w:sz w:val="15"/>
                <w:szCs w:val="15"/>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12,165</w:t>
            </w: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240" w:type="dxa"/>
            <w:vAlign w:val="bottom"/>
            <w:tcBorders>
              <w:top w:val="single" w:sz="8" w:color="auto"/>
            </w:tcBorders>
            <w:shd w:val="clear" w:color="auto" w:fill="CCFFCC"/>
          </w:tcPr>
          <w:p>
            <w:pPr>
              <w:spacing w:after="0"/>
              <w:rPr>
                <w:sz w:val="15"/>
                <w:szCs w:val="15"/>
                <w:color w:val="auto"/>
              </w:rPr>
            </w:pP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8,712</w:t>
            </w:r>
          </w:p>
        </w:tc>
        <w:tc>
          <w:tcPr>
            <w:tcW w:w="12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40" w:type="dxa"/>
            <w:vAlign w:val="bottom"/>
          </w:tcPr>
          <w:p>
            <w:pPr>
              <w:ind w:left="100"/>
              <w:spacing w:after="0"/>
              <w:rPr>
                <w:sz w:val="20"/>
                <w:szCs w:val="20"/>
                <w:color w:val="auto"/>
              </w:rPr>
            </w:pPr>
            <w:r>
              <w:rPr>
                <w:rFonts w:ascii="Arial" w:cs="Arial" w:eastAsia="Arial" w:hAnsi="Arial"/>
                <w:sz w:val="15"/>
                <w:szCs w:val="15"/>
                <w:color w:val="auto"/>
              </w:rPr>
              <w:t>Management fee waiver (See Note 4)</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(333)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(150)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40" w:type="dxa"/>
            <w:vAlign w:val="bottom"/>
            <w:tcBorders>
              <w:top w:val="single" w:sz="8" w:color="CCFFCC"/>
            </w:tcBorders>
            <w:shd w:val="clear" w:color="auto" w:fill="CCFFCC"/>
          </w:tcPr>
          <w:p>
            <w:pPr>
              <w:ind w:left="100"/>
              <w:spacing w:after="0" w:line="171" w:lineRule="exact"/>
              <w:rPr>
                <w:sz w:val="20"/>
                <w:szCs w:val="20"/>
                <w:color w:val="auto"/>
              </w:rPr>
            </w:pPr>
            <w:r>
              <w:rPr>
                <w:rFonts w:ascii="Arial" w:cs="Arial" w:eastAsia="Arial" w:hAnsi="Arial"/>
                <w:sz w:val="15"/>
                <w:szCs w:val="15"/>
                <w:color w:val="auto"/>
              </w:rPr>
              <w:t>Total expenses net of management fee waiver</w:t>
            </w:r>
          </w:p>
        </w:tc>
        <w:tc>
          <w:tcPr>
            <w:tcW w:w="40" w:type="dxa"/>
            <w:vAlign w:val="bottom"/>
            <w:tcBorders>
              <w:top w:val="single" w:sz="8" w:color="CCFFCC"/>
            </w:tcBorders>
            <w:shd w:val="clear" w:color="auto" w:fill="CCFFCC"/>
          </w:tcPr>
          <w:p>
            <w:pPr>
              <w:spacing w:after="0"/>
              <w:rPr>
                <w:sz w:val="15"/>
                <w:szCs w:val="15"/>
                <w:color w:val="auto"/>
              </w:rPr>
            </w:pPr>
          </w:p>
        </w:tc>
        <w:tc>
          <w:tcPr>
            <w:tcW w:w="320" w:type="dxa"/>
            <w:vAlign w:val="bottom"/>
            <w:tcBorders>
              <w:top w:val="single" w:sz="8" w:color="auto"/>
              <w:bottom w:val="single" w:sz="8" w:color="auto"/>
            </w:tcBorders>
            <w:shd w:val="clear" w:color="auto" w:fill="CCFFCC"/>
          </w:tcPr>
          <w:p>
            <w:pPr>
              <w:spacing w:after="0"/>
              <w:rPr>
                <w:sz w:val="15"/>
                <w:szCs w:val="15"/>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15,949</w:t>
            </w: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180" w:type="dxa"/>
            <w:vAlign w:val="bottom"/>
            <w:tcBorders>
              <w:top w:val="single" w:sz="8" w:color="auto"/>
              <w:bottom w:val="single" w:sz="8" w:color="auto"/>
            </w:tcBorders>
            <w:shd w:val="clear" w:color="auto" w:fill="CCFFCC"/>
          </w:tcPr>
          <w:p>
            <w:pPr>
              <w:spacing w:after="0"/>
              <w:rPr>
                <w:sz w:val="15"/>
                <w:szCs w:val="15"/>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12,015</w:t>
            </w: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240" w:type="dxa"/>
            <w:vAlign w:val="bottom"/>
            <w:tcBorders>
              <w:top w:val="single" w:sz="8" w:color="auto"/>
              <w:bottom w:val="single" w:sz="8" w:color="auto"/>
            </w:tcBorders>
            <w:shd w:val="clear" w:color="auto" w:fill="CCFFCC"/>
          </w:tcPr>
          <w:p>
            <w:pPr>
              <w:spacing w:after="0"/>
              <w:rPr>
                <w:sz w:val="15"/>
                <w:szCs w:val="15"/>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8,712</w:t>
            </w:r>
          </w:p>
        </w:tc>
        <w:tc>
          <w:tcPr>
            <w:tcW w:w="12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40" w:type="dxa"/>
            <w:vAlign w:val="bottom"/>
            <w:shd w:val="clear" w:color="auto" w:fill="CCFFCC"/>
          </w:tcPr>
          <w:p>
            <w:pPr>
              <w:ind w:left="100"/>
              <w:spacing w:after="0"/>
              <w:rPr>
                <w:sz w:val="20"/>
                <w:szCs w:val="20"/>
                <w:color w:val="auto"/>
              </w:rPr>
            </w:pPr>
            <w:r>
              <w:rPr>
                <w:rFonts w:ascii="Arial" w:cs="Arial" w:eastAsia="Arial" w:hAnsi="Arial"/>
                <w:sz w:val="15"/>
                <w:szCs w:val="15"/>
                <w:color w:val="auto"/>
              </w:rPr>
              <w:t>NET INVESTMENT INCOME</w:t>
            </w:r>
          </w:p>
        </w:tc>
        <w:tc>
          <w:tcPr>
            <w:tcW w:w="4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19,484</w:t>
            </w:r>
          </w:p>
        </w:tc>
        <w:tc>
          <w:tcPr>
            <w:tcW w:w="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12,924</w:t>
            </w:r>
          </w:p>
        </w:tc>
        <w:tc>
          <w:tcPr>
            <w:tcW w:w="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8,913</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7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5"/>
                <w:szCs w:val="15"/>
                <w:color w:val="auto"/>
              </w:rPr>
              <w:t>REALIZED AND UNREALIZED GAIN (LOSS) ON INVESTMENTS:</w:t>
            </w:r>
          </w:p>
        </w:tc>
        <w:tc>
          <w:tcPr>
            <w:tcW w:w="4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94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Net realized gain (loss) from investments:</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shd w:val="clear" w:color="auto" w:fill="CCFFCC"/>
          </w:tcPr>
          <w:p>
            <w:pPr>
              <w:ind w:left="100"/>
              <w:spacing w:after="0"/>
              <w:rPr>
                <w:sz w:val="20"/>
                <w:szCs w:val="20"/>
                <w:color w:val="auto"/>
              </w:rPr>
            </w:pPr>
            <w:r>
              <w:rPr>
                <w:rFonts w:ascii="Arial" w:cs="Arial" w:eastAsia="Arial" w:hAnsi="Arial"/>
                <w:sz w:val="15"/>
                <w:szCs w:val="15"/>
                <w:color w:val="auto"/>
              </w:rPr>
              <w:t>Non-control/Non-affiliate investments</w:t>
            </w:r>
          </w:p>
        </w:tc>
        <w:tc>
          <w:tcPr>
            <w:tcW w:w="4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6,011</w:t>
            </w: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180</w:t>
            </w: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820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tcPr>
          <w:p>
            <w:pPr>
              <w:ind w:left="100"/>
              <w:spacing w:after="0"/>
              <w:rPr>
                <w:sz w:val="20"/>
                <w:szCs w:val="20"/>
                <w:color w:val="auto"/>
              </w:rPr>
            </w:pPr>
            <w:r>
              <w:rPr>
                <w:rFonts w:ascii="Arial" w:cs="Arial" w:eastAsia="Arial" w:hAnsi="Arial"/>
                <w:sz w:val="15"/>
                <w:szCs w:val="15"/>
                <w:color w:val="auto"/>
              </w:rPr>
              <w:t>Affiliate investments</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(4,099)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1,017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40" w:type="dxa"/>
            <w:vAlign w:val="bottom"/>
            <w:shd w:val="clear" w:color="auto" w:fill="CCFFCC"/>
          </w:tcPr>
          <w:p>
            <w:pPr>
              <w:ind w:left="100"/>
              <w:spacing w:after="0"/>
              <w:rPr>
                <w:sz w:val="20"/>
                <w:szCs w:val="20"/>
                <w:color w:val="auto"/>
              </w:rPr>
            </w:pPr>
            <w:r>
              <w:rPr>
                <w:rFonts w:ascii="Arial" w:cs="Arial" w:eastAsia="Arial" w:hAnsi="Arial"/>
                <w:sz w:val="15"/>
                <w:szCs w:val="15"/>
                <w:color w:val="auto"/>
              </w:rPr>
              <w:t>Control investments</w:t>
            </w:r>
          </w:p>
        </w:tc>
        <w:tc>
          <w:tcPr>
            <w:tcW w:w="4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275</w:t>
            </w:r>
          </w:p>
        </w:tc>
        <w:tc>
          <w:tcPr>
            <w:tcW w:w="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1,126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tcPr>
          <w:p>
            <w:pPr>
              <w:ind w:left="100"/>
              <w:spacing w:after="0" w:line="172" w:lineRule="exact"/>
              <w:rPr>
                <w:sz w:val="20"/>
                <w:szCs w:val="20"/>
                <w:color w:val="auto"/>
              </w:rPr>
            </w:pPr>
            <w:r>
              <w:rPr>
                <w:rFonts w:ascii="Arial" w:cs="Arial" w:eastAsia="Arial" w:hAnsi="Arial"/>
                <w:sz w:val="15"/>
                <w:szCs w:val="15"/>
                <w:color w:val="auto"/>
              </w:rPr>
              <w:t>Total realized gain from investments</w:t>
            </w:r>
          </w:p>
        </w:tc>
        <w:tc>
          <w:tcPr>
            <w:tcW w:w="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2,187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1,590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5"/>
                <w:szCs w:val="15"/>
                <w:color w:val="auto"/>
              </w:rPr>
              <w:t>Net unrealized appreciation on investments</w:t>
            </w:r>
          </w:p>
        </w:tc>
        <w:tc>
          <w:tcPr>
            <w:tcW w:w="4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7,187</w:t>
            </w:r>
          </w:p>
        </w:tc>
        <w:tc>
          <w:tcPr>
            <w:tcW w:w="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35,056</w:t>
            </w:r>
          </w:p>
        </w:tc>
        <w:tc>
          <w:tcPr>
            <w:tcW w:w="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13,461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tcBorders>
              <w:bottom w:val="single" w:sz="8" w:color="CCFFCC"/>
            </w:tcBorders>
          </w:tcPr>
          <w:p>
            <w:pPr>
              <w:ind w:left="100"/>
              <w:spacing w:after="0" w:line="171" w:lineRule="exact"/>
              <w:rPr>
                <w:sz w:val="20"/>
                <w:szCs w:val="20"/>
                <w:color w:val="auto"/>
              </w:rPr>
            </w:pPr>
            <w:r>
              <w:rPr>
                <w:rFonts w:ascii="Arial" w:cs="Arial" w:eastAsia="Arial" w:hAnsi="Arial"/>
                <w:sz w:val="15"/>
                <w:szCs w:val="15"/>
                <w:color w:val="auto"/>
              </w:rPr>
              <w:t>Net gain on investments</w:t>
            </w:r>
          </w:p>
        </w:tc>
        <w:tc>
          <w:tcPr>
            <w:tcW w:w="40" w:type="dxa"/>
            <w:vAlign w:val="bottom"/>
            <w:tcBorders>
              <w:bottom w:val="single" w:sz="8" w:color="CCFFC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9,374</w:t>
            </w:r>
          </w:p>
        </w:tc>
        <w:tc>
          <w:tcPr>
            <w:tcW w:w="140" w:type="dxa"/>
            <w:vAlign w:val="bottom"/>
            <w:tcBorders>
              <w:bottom w:val="single" w:sz="8" w:color="CCFFCC"/>
            </w:tcBorders>
          </w:tcPr>
          <w:p>
            <w:pPr>
              <w:spacing w:after="0"/>
              <w:rPr>
                <w:sz w:val="14"/>
                <w:szCs w:val="14"/>
                <w:color w:val="auto"/>
              </w:rPr>
            </w:pPr>
          </w:p>
        </w:tc>
        <w:tc>
          <w:tcPr>
            <w:tcW w:w="80" w:type="dxa"/>
            <w:vAlign w:val="bottom"/>
            <w:tcBorders>
              <w:bottom w:val="single" w:sz="8" w:color="CCFFC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36,646</w:t>
            </w:r>
          </w:p>
        </w:tc>
        <w:tc>
          <w:tcPr>
            <w:tcW w:w="140" w:type="dxa"/>
            <w:vAlign w:val="bottom"/>
            <w:tcBorders>
              <w:bottom w:val="single" w:sz="8" w:color="CCFFCC"/>
            </w:tcBorders>
          </w:tcPr>
          <w:p>
            <w:pPr>
              <w:spacing w:after="0"/>
              <w:rPr>
                <w:sz w:val="14"/>
                <w:szCs w:val="14"/>
                <w:color w:val="auto"/>
              </w:rPr>
            </w:pPr>
          </w:p>
        </w:tc>
        <w:tc>
          <w:tcPr>
            <w:tcW w:w="80" w:type="dxa"/>
            <w:vAlign w:val="bottom"/>
            <w:tcBorders>
              <w:bottom w:val="single" w:sz="8" w:color="CCFFC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16,424</w:t>
            </w:r>
          </w:p>
        </w:tc>
        <w:tc>
          <w:tcPr>
            <w:tcW w:w="12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0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32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0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0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NET INCREASE IN NET ASSETS RESULTING FROM OPERATIONS</w:t>
            </w:r>
          </w:p>
        </w:tc>
        <w:tc>
          <w:tcPr>
            <w:tcW w:w="3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28,858</w:t>
            </w:r>
          </w:p>
        </w:tc>
        <w:tc>
          <w:tcPr>
            <w:tcW w:w="2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49,570</w:t>
            </w:r>
          </w:p>
        </w:tc>
        <w:tc>
          <w:tcPr>
            <w:tcW w:w="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25,337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040" w:type="dxa"/>
            <w:vAlign w:val="bottom"/>
            <w:tcBorders>
              <w:top w:val="single" w:sz="8" w:color="CCFFCC"/>
            </w:tcBorders>
            <w:shd w:val="clear" w:color="auto" w:fill="CCFFCC"/>
          </w:tcPr>
          <w:p>
            <w:pPr>
              <w:spacing w:after="0"/>
              <w:rPr>
                <w:sz w:val="13"/>
                <w:szCs w:val="13"/>
                <w:color w:val="auto"/>
              </w:rPr>
            </w:pPr>
          </w:p>
        </w:tc>
        <w:tc>
          <w:tcPr>
            <w:tcW w:w="40" w:type="dxa"/>
            <w:vAlign w:val="bottom"/>
            <w:tcBorders>
              <w:top w:val="single" w:sz="8" w:color="CCFFCC"/>
            </w:tcBorders>
            <w:shd w:val="clear" w:color="auto" w:fill="CCFFCC"/>
          </w:tcPr>
          <w:p>
            <w:pPr>
              <w:spacing w:after="0"/>
              <w:rPr>
                <w:sz w:val="13"/>
                <w:szCs w:val="13"/>
                <w:color w:val="auto"/>
              </w:rPr>
            </w:pPr>
          </w:p>
        </w:tc>
        <w:tc>
          <w:tcPr>
            <w:tcW w:w="320" w:type="dxa"/>
            <w:vAlign w:val="bottom"/>
            <w:tcBorders>
              <w:top w:val="single" w:sz="8" w:color="auto"/>
            </w:tcBorders>
            <w:shd w:val="clear" w:color="auto" w:fill="CCFFCC"/>
          </w:tcPr>
          <w:p>
            <w:pPr>
              <w:spacing w:after="0"/>
              <w:rPr>
                <w:sz w:val="13"/>
                <w:szCs w:val="13"/>
                <w:color w:val="auto"/>
              </w:rPr>
            </w:pPr>
          </w:p>
        </w:tc>
        <w:tc>
          <w:tcPr>
            <w:tcW w:w="940" w:type="dxa"/>
            <w:vAlign w:val="bottom"/>
            <w:tcBorders>
              <w:top w:val="single" w:sz="8" w:color="auto"/>
            </w:tcBorders>
            <w:shd w:val="clear" w:color="auto" w:fill="CCFFCC"/>
          </w:tcPr>
          <w:p>
            <w:pPr>
              <w:spacing w:after="0"/>
              <w:rPr>
                <w:sz w:val="13"/>
                <w:szCs w:val="13"/>
                <w:color w:val="auto"/>
              </w:rPr>
            </w:pPr>
          </w:p>
        </w:tc>
        <w:tc>
          <w:tcPr>
            <w:tcW w:w="140" w:type="dxa"/>
            <w:vAlign w:val="bottom"/>
            <w:tcBorders>
              <w:top w:val="single" w:sz="8" w:color="CCFFCC"/>
            </w:tcBorders>
            <w:shd w:val="clear" w:color="auto" w:fill="CCFFCC"/>
          </w:tcPr>
          <w:p>
            <w:pPr>
              <w:spacing w:after="0"/>
              <w:rPr>
                <w:sz w:val="13"/>
                <w:szCs w:val="13"/>
                <w:color w:val="auto"/>
              </w:rPr>
            </w:pPr>
          </w:p>
        </w:tc>
        <w:tc>
          <w:tcPr>
            <w:tcW w:w="80" w:type="dxa"/>
            <w:vAlign w:val="bottom"/>
            <w:tcBorders>
              <w:top w:val="single" w:sz="8" w:color="CCFFCC"/>
            </w:tcBorders>
            <w:shd w:val="clear" w:color="auto" w:fill="CCFFCC"/>
          </w:tcPr>
          <w:p>
            <w:pPr>
              <w:spacing w:after="0"/>
              <w:rPr>
                <w:sz w:val="13"/>
                <w:szCs w:val="13"/>
                <w:color w:val="auto"/>
              </w:rPr>
            </w:pPr>
          </w:p>
        </w:tc>
        <w:tc>
          <w:tcPr>
            <w:tcW w:w="180" w:type="dxa"/>
            <w:vAlign w:val="bottom"/>
            <w:tcBorders>
              <w:top w:val="single" w:sz="8" w:color="auto"/>
            </w:tcBorders>
            <w:shd w:val="clear" w:color="auto" w:fill="CCFFCC"/>
          </w:tcPr>
          <w:p>
            <w:pPr>
              <w:spacing w:after="0"/>
              <w:rPr>
                <w:sz w:val="13"/>
                <w:szCs w:val="13"/>
                <w:color w:val="auto"/>
              </w:rPr>
            </w:pPr>
          </w:p>
        </w:tc>
        <w:tc>
          <w:tcPr>
            <w:tcW w:w="1080" w:type="dxa"/>
            <w:vAlign w:val="bottom"/>
            <w:tcBorders>
              <w:top w:val="single" w:sz="8" w:color="auto"/>
            </w:tcBorders>
            <w:shd w:val="clear" w:color="auto" w:fill="CCFFCC"/>
          </w:tcPr>
          <w:p>
            <w:pPr>
              <w:spacing w:after="0"/>
              <w:rPr>
                <w:sz w:val="13"/>
                <w:szCs w:val="13"/>
                <w:color w:val="auto"/>
              </w:rPr>
            </w:pPr>
          </w:p>
        </w:tc>
        <w:tc>
          <w:tcPr>
            <w:tcW w:w="140" w:type="dxa"/>
            <w:vAlign w:val="bottom"/>
            <w:tcBorders>
              <w:top w:val="single" w:sz="8" w:color="CCFFCC"/>
            </w:tcBorders>
            <w:shd w:val="clear" w:color="auto" w:fill="CCFFCC"/>
          </w:tcPr>
          <w:p>
            <w:pPr>
              <w:spacing w:after="0"/>
              <w:rPr>
                <w:sz w:val="13"/>
                <w:szCs w:val="13"/>
                <w:color w:val="auto"/>
              </w:rPr>
            </w:pPr>
          </w:p>
        </w:tc>
        <w:tc>
          <w:tcPr>
            <w:tcW w:w="80" w:type="dxa"/>
            <w:vAlign w:val="bottom"/>
            <w:tcBorders>
              <w:top w:val="single" w:sz="8" w:color="CCFFCC"/>
            </w:tcBorders>
            <w:shd w:val="clear" w:color="auto" w:fill="CCFFCC"/>
          </w:tcPr>
          <w:p>
            <w:pPr>
              <w:spacing w:after="0"/>
              <w:rPr>
                <w:sz w:val="13"/>
                <w:szCs w:val="13"/>
                <w:color w:val="auto"/>
              </w:rPr>
            </w:pPr>
          </w:p>
        </w:tc>
        <w:tc>
          <w:tcPr>
            <w:tcW w:w="240" w:type="dxa"/>
            <w:vAlign w:val="bottom"/>
            <w:tcBorders>
              <w:top w:val="single" w:sz="8" w:color="auto"/>
            </w:tcBorders>
            <w:shd w:val="clear" w:color="auto" w:fill="CCFFCC"/>
          </w:tcPr>
          <w:p>
            <w:pPr>
              <w:spacing w:after="0"/>
              <w:rPr>
                <w:sz w:val="13"/>
                <w:szCs w:val="13"/>
                <w:color w:val="auto"/>
              </w:rPr>
            </w:pPr>
          </w:p>
        </w:tc>
        <w:tc>
          <w:tcPr>
            <w:tcW w:w="1020" w:type="dxa"/>
            <w:vAlign w:val="bottom"/>
            <w:tcBorders>
              <w:top w:val="single" w:sz="8" w:color="auto"/>
            </w:tcBorders>
            <w:shd w:val="clear" w:color="auto" w:fill="CCFFCC"/>
          </w:tcPr>
          <w:p>
            <w:pPr>
              <w:spacing w:after="0"/>
              <w:rPr>
                <w:sz w:val="13"/>
                <w:szCs w:val="13"/>
                <w:color w:val="auto"/>
              </w:rPr>
            </w:pPr>
          </w:p>
        </w:tc>
        <w:tc>
          <w:tcPr>
            <w:tcW w:w="120" w:type="dxa"/>
            <w:vAlign w:val="bottom"/>
            <w:tcBorders>
              <w:top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w w:val="96"/>
              </w:rPr>
              <w:t>NET INCREASE IN NET ASSETS PER SHARE RESULTING FROM OPERATIONS – BASIC AND DILUTED</w:t>
            </w:r>
          </w:p>
        </w:tc>
        <w:tc>
          <w:tcPr>
            <w:tcW w:w="3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2.22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704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94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WEIGHTED AVERAGE COMMON STOCK OUTSTANDING - BASIC AND DILUTED</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12,974,420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bl>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N/A – Not Applicable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81" w:right="21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5"/>
          <w:szCs w:val="15"/>
          <w:b w:val="1"/>
          <w:bCs w:val="1"/>
          <w:color w:val="auto"/>
        </w:rPr>
        <w:t>Capitala Finance Corp.</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Changes in Net Assets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gridSpan w:val="5"/>
          </w:tcPr>
          <w:p>
            <w:pPr>
              <w:jc w:val="right"/>
              <w:ind w:right="58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1"/>
                <w:szCs w:val="11"/>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Additional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6"/>
              </w:rPr>
              <w:t>Accumulated</w:t>
            </w:r>
          </w:p>
        </w:tc>
        <w:tc>
          <w:tcPr>
            <w:tcW w:w="80" w:type="dxa"/>
            <w:vAlign w:val="bottom"/>
          </w:tcPr>
          <w:p>
            <w:pPr>
              <w:spacing w:after="0"/>
              <w:rPr>
                <w:sz w:val="11"/>
                <w:szCs w:val="11"/>
                <w:color w:val="auto"/>
              </w:rPr>
            </w:pPr>
          </w:p>
        </w:tc>
        <w:tc>
          <w:tcPr>
            <w:tcW w:w="940" w:type="dxa"/>
            <w:vAlign w:val="bottom"/>
            <w:gridSpan w:val="2"/>
          </w:tcPr>
          <w:p>
            <w:pPr>
              <w:jc w:val="center"/>
              <w:ind w:right="178"/>
              <w:spacing w:after="0"/>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Net Unrealized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right"/>
              <w:ind w:right="260"/>
              <w:spacing w:after="0" w:line="101" w:lineRule="exact"/>
              <w:rPr>
                <w:sz w:val="20"/>
                <w:szCs w:val="20"/>
                <w:color w:val="auto"/>
              </w:rPr>
            </w:pPr>
            <w:r>
              <w:rPr>
                <w:rFonts w:ascii="Arial" w:cs="Arial" w:eastAsia="Arial" w:hAnsi="Arial"/>
                <w:sz w:val="11"/>
                <w:szCs w:val="11"/>
                <w:b w:val="1"/>
                <w:bCs w:val="1"/>
                <w:color w:val="auto"/>
                <w:w w:val="87"/>
              </w:rPr>
              <w:t>General</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320"/>
              <w:spacing w:after="0" w:line="101" w:lineRule="exact"/>
              <w:rPr>
                <w:sz w:val="20"/>
                <w:szCs w:val="20"/>
                <w:color w:val="auto"/>
              </w:rPr>
            </w:pPr>
            <w:r>
              <w:rPr>
                <w:rFonts w:ascii="Arial" w:cs="Arial" w:eastAsia="Arial" w:hAnsi="Arial"/>
                <w:sz w:val="11"/>
                <w:szCs w:val="11"/>
                <w:b w:val="1"/>
                <w:bCs w:val="1"/>
                <w:color w:val="auto"/>
                <w:w w:val="97"/>
              </w:rPr>
              <w:t>Limited</w:t>
            </w:r>
          </w:p>
        </w:tc>
        <w:tc>
          <w:tcPr>
            <w:tcW w:w="820" w:type="dxa"/>
            <w:vAlign w:val="bottom"/>
            <w:tcBorders>
              <w:top w:val="single" w:sz="8" w:color="auto"/>
            </w:tcBorders>
            <w:gridSpan w:val="2"/>
          </w:tcPr>
          <w:p>
            <w:pPr>
              <w:jc w:val="center"/>
              <w:ind w:right="220"/>
              <w:spacing w:after="0" w:line="101" w:lineRule="exact"/>
              <w:rPr>
                <w:sz w:val="20"/>
                <w:szCs w:val="20"/>
                <w:color w:val="auto"/>
              </w:rPr>
            </w:pPr>
            <w:r>
              <w:rPr>
                <w:rFonts w:ascii="Arial" w:cs="Arial" w:eastAsia="Arial" w:hAnsi="Arial"/>
                <w:sz w:val="11"/>
                <w:szCs w:val="11"/>
                <w:b w:val="1"/>
                <w:bCs w:val="1"/>
                <w:color w:val="auto"/>
                <w:w w:val="87"/>
              </w:rPr>
              <w:t>Number of</w:t>
            </w: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47"/>
              <w:spacing w:after="0" w:line="101" w:lineRule="exact"/>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tcPr>
          <w:p>
            <w:pPr>
              <w:jc w:val="center"/>
              <w:ind w:right="180"/>
              <w:spacing w:after="0" w:line="101" w:lineRule="exact"/>
              <w:rPr>
                <w:sz w:val="20"/>
                <w:szCs w:val="20"/>
                <w:color w:val="auto"/>
              </w:rPr>
            </w:pPr>
            <w:r>
              <w:rPr>
                <w:rFonts w:ascii="Arial" w:cs="Arial" w:eastAsia="Arial" w:hAnsi="Arial"/>
                <w:sz w:val="11"/>
                <w:szCs w:val="11"/>
                <w:b w:val="1"/>
                <w:bCs w:val="1"/>
                <w:color w:val="auto"/>
                <w:w w:val="88"/>
              </w:rPr>
              <w:t>Paid in</w:t>
            </w:r>
          </w:p>
        </w:tc>
        <w:tc>
          <w:tcPr>
            <w:tcW w:w="120" w:type="dxa"/>
            <w:vAlign w:val="bottom"/>
          </w:tcPr>
          <w:p>
            <w:pPr>
              <w:spacing w:after="0"/>
              <w:rPr>
                <w:sz w:val="8"/>
                <w:szCs w:val="8"/>
                <w:color w:val="auto"/>
              </w:rPr>
            </w:pPr>
          </w:p>
        </w:tc>
        <w:tc>
          <w:tcPr>
            <w:tcW w:w="1140" w:type="dxa"/>
            <w:vAlign w:val="bottom"/>
            <w:gridSpan w:val="3"/>
          </w:tcPr>
          <w:p>
            <w:pPr>
              <w:jc w:val="center"/>
              <w:ind w:right="240"/>
              <w:spacing w:after="0" w:line="101" w:lineRule="exact"/>
              <w:rPr>
                <w:sz w:val="20"/>
                <w:szCs w:val="20"/>
                <w:color w:val="auto"/>
              </w:rPr>
            </w:pPr>
            <w:r>
              <w:rPr>
                <w:rFonts w:ascii="Arial" w:cs="Arial" w:eastAsia="Arial" w:hAnsi="Arial"/>
                <w:sz w:val="11"/>
                <w:szCs w:val="11"/>
                <w:b w:val="1"/>
                <w:bCs w:val="1"/>
                <w:color w:val="auto"/>
                <w:w w:val="88"/>
              </w:rPr>
              <w:t>Undistributed Net</w:t>
            </w:r>
          </w:p>
        </w:tc>
        <w:tc>
          <w:tcPr>
            <w:tcW w:w="1020" w:type="dxa"/>
            <w:vAlign w:val="bottom"/>
            <w:gridSpan w:val="3"/>
          </w:tcPr>
          <w:p>
            <w:pPr>
              <w:jc w:val="center"/>
              <w:ind w:right="78"/>
              <w:spacing w:after="0" w:line="101" w:lineRule="exact"/>
              <w:rPr>
                <w:sz w:val="20"/>
                <w:szCs w:val="20"/>
                <w:color w:val="auto"/>
              </w:rPr>
            </w:pPr>
            <w:r>
              <w:rPr>
                <w:rFonts w:ascii="Arial" w:cs="Arial" w:eastAsia="Arial" w:hAnsi="Arial"/>
                <w:sz w:val="11"/>
                <w:szCs w:val="11"/>
                <w:b w:val="1"/>
                <w:bCs w:val="1"/>
                <w:color w:val="auto"/>
                <w:w w:val="88"/>
              </w:rPr>
              <w:t>Undistributed Net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tcPr>
          <w:p>
            <w:pPr>
              <w:jc w:val="center"/>
              <w:ind w:right="180"/>
              <w:spacing w:after="0" w:line="101" w:lineRule="exact"/>
              <w:rPr>
                <w:sz w:val="20"/>
                <w:szCs w:val="20"/>
                <w:color w:val="auto"/>
              </w:rPr>
            </w:pPr>
            <w:r>
              <w:rPr>
                <w:rFonts w:ascii="Arial" w:cs="Arial" w:eastAsia="Arial" w:hAnsi="Arial"/>
                <w:sz w:val="11"/>
                <w:szCs w:val="11"/>
                <w:b w:val="1"/>
                <w:bCs w:val="1"/>
                <w:color w:val="auto"/>
                <w:w w:val="85"/>
              </w:rPr>
              <w:t>Appreciation on</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3"/>
              </w:rPr>
              <w:t>Partner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85"/>
              </w:rPr>
              <w:t>Partners</w:t>
            </w: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1"/>
              </w:rPr>
              <w:t>Shares</w:t>
            </w:r>
          </w:p>
        </w:tc>
        <w:tc>
          <w:tcPr>
            <w:tcW w:w="100" w:type="dxa"/>
            <w:vAlign w:val="bottom"/>
          </w:tcPr>
          <w:p>
            <w:pPr>
              <w:spacing w:after="0"/>
              <w:rPr>
                <w:sz w:val="11"/>
                <w:szCs w:val="11"/>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Value</w:t>
            </w:r>
          </w:p>
        </w:tc>
        <w:tc>
          <w:tcPr>
            <w:tcW w:w="8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1"/>
                <w:szCs w:val="11"/>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6"/>
              </w:rPr>
              <w:t>Investment Income</w:t>
            </w:r>
          </w:p>
        </w:tc>
        <w:tc>
          <w:tcPr>
            <w:tcW w:w="80" w:type="dxa"/>
            <w:vAlign w:val="bottom"/>
          </w:tcPr>
          <w:p>
            <w:pPr>
              <w:spacing w:after="0"/>
              <w:rPr>
                <w:sz w:val="11"/>
                <w:szCs w:val="11"/>
                <w:color w:val="auto"/>
              </w:rPr>
            </w:pPr>
          </w:p>
        </w:tc>
        <w:tc>
          <w:tcPr>
            <w:tcW w:w="940" w:type="dxa"/>
            <w:vAlign w:val="bottom"/>
            <w:gridSpan w:val="2"/>
          </w:tcPr>
          <w:p>
            <w:pPr>
              <w:jc w:val="center"/>
              <w:ind w:right="178"/>
              <w:spacing w:after="0"/>
              <w:rPr>
                <w:sz w:val="20"/>
                <w:szCs w:val="20"/>
                <w:color w:val="auto"/>
              </w:rPr>
            </w:pPr>
            <w:r>
              <w:rPr>
                <w:rFonts w:ascii="Arial" w:cs="Arial" w:eastAsia="Arial" w:hAnsi="Arial"/>
                <w:sz w:val="11"/>
                <w:szCs w:val="11"/>
                <w:b w:val="1"/>
                <w:bCs w:val="1"/>
                <w:color w:val="auto"/>
                <w:w w:val="86"/>
              </w:rPr>
              <w:t>Realized Gains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Investments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2960" w:type="dxa"/>
            <w:vAlign w:val="bottom"/>
            <w:shd w:val="clear" w:color="auto" w:fill="CCFFCC"/>
          </w:tcPr>
          <w:p>
            <w:pPr>
              <w:spacing w:after="0" w:line="113" w:lineRule="exact"/>
              <w:rPr>
                <w:sz w:val="20"/>
                <w:szCs w:val="20"/>
                <w:color w:val="auto"/>
              </w:rPr>
            </w:pPr>
            <w:r>
              <w:rPr>
                <w:rFonts w:ascii="Arial" w:cs="Arial" w:eastAsia="Arial" w:hAnsi="Arial"/>
                <w:sz w:val="11"/>
                <w:szCs w:val="11"/>
                <w:color w:val="auto"/>
              </w:rPr>
              <w:t>BALANCE, December 31, 2010</w:t>
            </w:r>
          </w:p>
        </w:tc>
        <w:tc>
          <w:tcPr>
            <w:tcW w:w="10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FFCC"/>
          </w:tcPr>
          <w:p>
            <w:pPr>
              <w:jc w:val="right"/>
              <w:ind w:right="140"/>
              <w:spacing w:after="0" w:line="113" w:lineRule="exact"/>
              <w:rPr>
                <w:sz w:val="20"/>
                <w:szCs w:val="20"/>
                <w:color w:val="auto"/>
              </w:rPr>
            </w:pPr>
            <w:r>
              <w:rPr>
                <w:rFonts w:ascii="Arial" w:cs="Arial" w:eastAsia="Arial" w:hAnsi="Arial"/>
                <w:sz w:val="11"/>
                <w:szCs w:val="11"/>
                <w:color w:val="auto"/>
              </w:rPr>
              <w:t>203</w:t>
            </w:r>
          </w:p>
        </w:tc>
        <w:tc>
          <w:tcPr>
            <w:tcW w:w="180" w:type="dxa"/>
            <w:vAlign w:val="bottom"/>
            <w:gridSpan w:val="2"/>
            <w:shd w:val="clear" w:color="auto" w:fill="CCFFCC"/>
          </w:tcPr>
          <w:p>
            <w:pPr>
              <w:jc w:val="right"/>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FFCC"/>
          </w:tcPr>
          <w:p>
            <w:pPr>
              <w:jc w:val="right"/>
              <w:ind w:right="220"/>
              <w:spacing w:after="0" w:line="113" w:lineRule="exact"/>
              <w:rPr>
                <w:sz w:val="20"/>
                <w:szCs w:val="20"/>
                <w:color w:val="auto"/>
              </w:rPr>
            </w:pPr>
            <w:r>
              <w:rPr>
                <w:rFonts w:ascii="Arial" w:cs="Arial" w:eastAsia="Arial" w:hAnsi="Arial"/>
                <w:sz w:val="11"/>
                <w:szCs w:val="11"/>
                <w:color w:val="auto"/>
              </w:rPr>
              <w:t>49,443</w:t>
            </w:r>
          </w:p>
        </w:tc>
        <w:tc>
          <w:tcPr>
            <w:tcW w:w="820" w:type="dxa"/>
            <w:vAlign w:val="bottom"/>
            <w:gridSpan w:val="2"/>
            <w:shd w:val="clear" w:color="auto" w:fill="CCFFCC"/>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FFCC"/>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jc w:val="right"/>
              <w:ind w:right="14"/>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FFCC"/>
          </w:tcPr>
          <w:p>
            <w:pPr>
              <w:jc w:val="right"/>
              <w:ind w:right="100"/>
              <w:spacing w:after="0" w:line="113" w:lineRule="exact"/>
              <w:rPr>
                <w:sz w:val="20"/>
                <w:szCs w:val="20"/>
                <w:color w:val="auto"/>
              </w:rPr>
            </w:pPr>
            <w:r>
              <w:rPr>
                <w:rFonts w:ascii="Arial" w:cs="Arial" w:eastAsia="Arial" w:hAnsi="Arial"/>
                <w:sz w:val="11"/>
                <w:szCs w:val="11"/>
                <w:color w:val="auto"/>
              </w:rPr>
              <w:t>-</w:t>
            </w:r>
          </w:p>
        </w:tc>
        <w:tc>
          <w:tcPr>
            <w:tcW w:w="220" w:type="dxa"/>
            <w:vAlign w:val="bottom"/>
            <w:gridSpan w:val="2"/>
            <w:shd w:val="clear" w:color="auto" w:fill="CCFFCC"/>
          </w:tcPr>
          <w:p>
            <w:pPr>
              <w:jc w:val="right"/>
              <w:spacing w:after="0" w:line="113" w:lineRule="exact"/>
              <w:rPr>
                <w:sz w:val="20"/>
                <w:szCs w:val="20"/>
                <w:color w:val="auto"/>
              </w:rPr>
            </w:pPr>
            <w:r>
              <w:rPr>
                <w:rFonts w:ascii="Arial" w:cs="Arial" w:eastAsia="Arial" w:hAnsi="Arial"/>
                <w:sz w:val="11"/>
                <w:szCs w:val="11"/>
                <w:color w:val="auto"/>
              </w:rPr>
              <w:t>$</w:t>
            </w:r>
          </w:p>
        </w:tc>
        <w:tc>
          <w:tcPr>
            <w:tcW w:w="1040" w:type="dxa"/>
            <w:vAlign w:val="bottom"/>
            <w:gridSpan w:val="2"/>
            <w:shd w:val="clear" w:color="auto" w:fill="CCFFCC"/>
          </w:tcPr>
          <w:p>
            <w:pPr>
              <w:jc w:val="right"/>
              <w:ind w:right="240"/>
              <w:spacing w:after="0" w:line="113" w:lineRule="exact"/>
              <w:rPr>
                <w:sz w:val="20"/>
                <w:szCs w:val="20"/>
                <w:color w:val="auto"/>
              </w:rPr>
            </w:pPr>
            <w:r>
              <w:rPr>
                <w:rFonts w:ascii="Arial" w:cs="Arial" w:eastAsia="Arial" w:hAnsi="Arial"/>
                <w:sz w:val="11"/>
                <w:szCs w:val="11"/>
                <w:color w:val="auto"/>
              </w:rPr>
              <w:t>1,107</w:t>
            </w:r>
          </w:p>
        </w:tc>
        <w:tc>
          <w:tcPr>
            <w:tcW w:w="80" w:type="dxa"/>
            <w:vAlign w:val="bottom"/>
            <w:shd w:val="clear" w:color="auto" w:fill="CCFFCC"/>
          </w:tcPr>
          <w:p>
            <w:pPr>
              <w:jc w:val="right"/>
              <w:ind w:right="5"/>
              <w:spacing w:after="0"/>
              <w:rPr>
                <w:sz w:val="20"/>
                <w:szCs w:val="20"/>
                <w:color w:val="auto"/>
              </w:rPr>
            </w:pPr>
            <w:r>
              <w:rPr>
                <w:rFonts w:ascii="Arial" w:cs="Arial" w:eastAsia="Arial" w:hAnsi="Arial"/>
                <w:sz w:val="5"/>
                <w:szCs w:val="5"/>
                <w:color w:val="auto"/>
                <w:w w:val="70"/>
              </w:rPr>
              <w:t>$</w:t>
            </w:r>
          </w:p>
        </w:tc>
        <w:tc>
          <w:tcPr>
            <w:tcW w:w="940" w:type="dxa"/>
            <w:vAlign w:val="bottom"/>
            <w:gridSpan w:val="2"/>
            <w:shd w:val="clear" w:color="auto" w:fill="CCFFCC"/>
          </w:tcPr>
          <w:p>
            <w:pPr>
              <w:jc w:val="right"/>
              <w:ind w:right="78"/>
              <w:spacing w:after="0" w:line="113" w:lineRule="exact"/>
              <w:rPr>
                <w:sz w:val="20"/>
                <w:szCs w:val="20"/>
                <w:color w:val="auto"/>
              </w:rPr>
            </w:pPr>
            <w:r>
              <w:rPr>
                <w:rFonts w:ascii="Arial" w:cs="Arial" w:eastAsia="Arial" w:hAnsi="Arial"/>
                <w:sz w:val="11"/>
                <w:szCs w:val="11"/>
                <w:color w:val="auto"/>
              </w:rPr>
              <w:t>-</w:t>
            </w:r>
          </w:p>
        </w:tc>
        <w:tc>
          <w:tcPr>
            <w:tcW w:w="180" w:type="dxa"/>
            <w:vAlign w:val="bottom"/>
            <w:gridSpan w:val="2"/>
            <w:shd w:val="clear" w:color="auto" w:fill="CCFFCC"/>
          </w:tcPr>
          <w:p>
            <w:pPr>
              <w:jc w:val="right"/>
              <w:spacing w:after="0" w:line="113"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120"/>
              <w:spacing w:after="0" w:line="113" w:lineRule="exact"/>
              <w:rPr>
                <w:sz w:val="20"/>
                <w:szCs w:val="20"/>
                <w:color w:val="auto"/>
              </w:rPr>
            </w:pPr>
            <w:r>
              <w:rPr>
                <w:rFonts w:ascii="Arial" w:cs="Arial" w:eastAsia="Arial" w:hAnsi="Arial"/>
                <w:sz w:val="11"/>
                <w:szCs w:val="11"/>
                <w:color w:val="auto"/>
              </w:rPr>
              <w:t>7,716</w:t>
            </w:r>
          </w:p>
        </w:tc>
        <w:tc>
          <w:tcPr>
            <w:tcW w:w="280" w:type="dxa"/>
            <w:vAlign w:val="bottom"/>
            <w:gridSpan w:val="2"/>
            <w:shd w:val="clear" w:color="auto" w:fill="CCFFCC"/>
          </w:tcPr>
          <w:p>
            <w:pPr>
              <w:jc w:val="right"/>
              <w:ind w:right="94"/>
              <w:spacing w:after="0" w:line="113"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20"/>
              <w:spacing w:after="0" w:line="113" w:lineRule="exact"/>
              <w:rPr>
                <w:sz w:val="20"/>
                <w:szCs w:val="20"/>
                <w:color w:val="auto"/>
              </w:rPr>
            </w:pPr>
            <w:r>
              <w:rPr>
                <w:rFonts w:ascii="Arial" w:cs="Arial" w:eastAsia="Arial" w:hAnsi="Arial"/>
                <w:sz w:val="11"/>
                <w:szCs w:val="11"/>
                <w:color w:val="auto"/>
              </w:rPr>
              <w:t>58,469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60" w:type="dxa"/>
            <w:vAlign w:val="bottom"/>
          </w:tcPr>
          <w:p>
            <w:pPr>
              <w:ind w:left="100"/>
              <w:spacing w:after="0" w:line="113" w:lineRule="exact"/>
              <w:rPr>
                <w:sz w:val="20"/>
                <w:szCs w:val="20"/>
                <w:color w:val="auto"/>
              </w:rPr>
            </w:pPr>
            <w:r>
              <w:rPr>
                <w:rFonts w:ascii="Arial" w:cs="Arial" w:eastAsia="Arial" w:hAnsi="Arial"/>
                <w:sz w:val="11"/>
                <w:szCs w:val="11"/>
                <w:color w:val="auto"/>
              </w:rPr>
              <w:t>Partners' capital contributions</w:t>
            </w:r>
          </w:p>
        </w:tc>
        <w:tc>
          <w:tcPr>
            <w:tcW w:w="100" w:type="dxa"/>
            <w:vAlign w:val="bottom"/>
          </w:tcPr>
          <w:p>
            <w:pPr>
              <w:spacing w:after="0"/>
              <w:rPr>
                <w:sz w:val="9"/>
                <w:szCs w:val="9"/>
                <w:color w:val="auto"/>
              </w:rPr>
            </w:pPr>
          </w:p>
        </w:tc>
        <w:tc>
          <w:tcPr>
            <w:tcW w:w="640" w:type="dxa"/>
            <w:vAlign w:val="bottom"/>
            <w:gridSpan w:val="2"/>
          </w:tcPr>
          <w:p>
            <w:pPr>
              <w:jc w:val="right"/>
              <w:ind w:right="140"/>
              <w:spacing w:after="0" w:line="113" w:lineRule="exact"/>
              <w:rPr>
                <w:sz w:val="20"/>
                <w:szCs w:val="20"/>
                <w:color w:val="auto"/>
              </w:rPr>
            </w:pPr>
            <w:r>
              <w:rPr>
                <w:rFonts w:ascii="Arial" w:cs="Arial" w:eastAsia="Arial" w:hAnsi="Arial"/>
                <w:sz w:val="11"/>
                <w:szCs w:val="11"/>
                <w:color w:val="auto"/>
              </w:rPr>
              <w:t>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20,923</w:t>
            </w:r>
          </w:p>
        </w:tc>
        <w:tc>
          <w:tcPr>
            <w:tcW w:w="8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tcPr>
          <w:p>
            <w:pPr>
              <w:jc w:val="right"/>
              <w:ind w:right="78"/>
              <w:spacing w:after="0" w:line="11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20,929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60" w:type="dxa"/>
            <w:vAlign w:val="bottom"/>
            <w:shd w:val="clear" w:color="auto" w:fill="CCFFCC"/>
          </w:tcPr>
          <w:p>
            <w:pPr>
              <w:ind w:left="100"/>
              <w:spacing w:after="0" w:line="113" w:lineRule="exact"/>
              <w:rPr>
                <w:sz w:val="20"/>
                <w:szCs w:val="20"/>
                <w:color w:val="auto"/>
              </w:rPr>
            </w:pPr>
            <w:r>
              <w:rPr>
                <w:rFonts w:ascii="Arial" w:cs="Arial" w:eastAsia="Arial" w:hAnsi="Arial"/>
                <w:sz w:val="11"/>
                <w:szCs w:val="11"/>
                <w:color w:val="auto"/>
              </w:rPr>
              <w:t>Distribution to partners</w:t>
            </w:r>
          </w:p>
        </w:tc>
        <w:tc>
          <w:tcPr>
            <w:tcW w:w="100" w:type="dxa"/>
            <w:vAlign w:val="bottom"/>
            <w:shd w:val="clear" w:color="auto" w:fill="CCFFCC"/>
          </w:tcPr>
          <w:p>
            <w:pPr>
              <w:spacing w:after="0"/>
              <w:rPr>
                <w:sz w:val="9"/>
                <w:szCs w:val="9"/>
                <w:color w:val="auto"/>
              </w:rPr>
            </w:pPr>
          </w:p>
        </w:tc>
        <w:tc>
          <w:tcPr>
            <w:tcW w:w="640" w:type="dxa"/>
            <w:vAlign w:val="bottom"/>
            <w:gridSpan w:val="2"/>
            <w:shd w:val="clear" w:color="auto" w:fill="CCFFCC"/>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gridSpan w:val="2"/>
            <w:shd w:val="clear" w:color="auto" w:fill="CCFFCC"/>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9"/>
                <w:szCs w:val="9"/>
                <w:color w:val="auto"/>
              </w:rPr>
            </w:pPr>
          </w:p>
        </w:tc>
        <w:tc>
          <w:tcPr>
            <w:tcW w:w="700" w:type="dxa"/>
            <w:vAlign w:val="bottom"/>
            <w:gridSpan w:val="2"/>
            <w:shd w:val="clear" w:color="auto" w:fill="CCFFCC"/>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9"/>
                <w:szCs w:val="9"/>
                <w:color w:val="auto"/>
              </w:rPr>
            </w:pPr>
          </w:p>
        </w:tc>
        <w:tc>
          <w:tcPr>
            <w:tcW w:w="700" w:type="dxa"/>
            <w:vAlign w:val="bottom"/>
            <w:gridSpan w:val="2"/>
            <w:shd w:val="clear" w:color="auto" w:fill="CCFFCC"/>
          </w:tcPr>
          <w:p>
            <w:pPr>
              <w:jc w:val="right"/>
              <w:ind w:right="100"/>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40" w:type="dxa"/>
            <w:vAlign w:val="bottom"/>
            <w:gridSpan w:val="2"/>
            <w:shd w:val="clear" w:color="auto" w:fill="CCFFCC"/>
          </w:tcPr>
          <w:p>
            <w:pPr>
              <w:jc w:val="right"/>
              <w:ind w:right="200"/>
              <w:spacing w:after="0" w:line="113" w:lineRule="exact"/>
              <w:rPr>
                <w:sz w:val="20"/>
                <w:szCs w:val="20"/>
                <w:color w:val="auto"/>
              </w:rPr>
            </w:pPr>
            <w:r>
              <w:rPr>
                <w:rFonts w:ascii="Arial" w:cs="Arial" w:eastAsia="Arial" w:hAnsi="Arial"/>
                <w:sz w:val="11"/>
                <w:szCs w:val="11"/>
                <w:color w:val="auto"/>
              </w:rPr>
              <w:t>(2,237)</w:t>
            </w:r>
          </w:p>
        </w:tc>
        <w:tc>
          <w:tcPr>
            <w:tcW w:w="80" w:type="dxa"/>
            <w:vAlign w:val="bottom"/>
            <w:shd w:val="clear" w:color="auto" w:fill="CCFFCC"/>
          </w:tcPr>
          <w:p>
            <w:pPr>
              <w:spacing w:after="0"/>
              <w:rPr>
                <w:sz w:val="9"/>
                <w:szCs w:val="9"/>
                <w:color w:val="auto"/>
              </w:rPr>
            </w:pPr>
          </w:p>
        </w:tc>
        <w:tc>
          <w:tcPr>
            <w:tcW w:w="940" w:type="dxa"/>
            <w:vAlign w:val="bottom"/>
            <w:gridSpan w:val="2"/>
            <w:shd w:val="clear" w:color="auto" w:fill="CCFFCC"/>
          </w:tcPr>
          <w:p>
            <w:pPr>
              <w:jc w:val="right"/>
              <w:ind w:right="38"/>
              <w:spacing w:after="0" w:line="113" w:lineRule="exact"/>
              <w:rPr>
                <w:sz w:val="20"/>
                <w:szCs w:val="20"/>
                <w:color w:val="auto"/>
              </w:rPr>
            </w:pPr>
            <w:r>
              <w:rPr>
                <w:rFonts w:ascii="Arial" w:cs="Arial" w:eastAsia="Arial" w:hAnsi="Arial"/>
                <w:sz w:val="11"/>
                <w:szCs w:val="11"/>
                <w:color w:val="auto"/>
              </w:rPr>
              <w:t>(2,963)</w:t>
            </w: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940" w:type="dxa"/>
            <w:vAlign w:val="bottom"/>
            <w:gridSpan w:val="2"/>
            <w:shd w:val="clear" w:color="auto" w:fill="CCFFCC"/>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740" w:type="dxa"/>
            <w:vAlign w:val="bottom"/>
            <w:gridSpan w:val="2"/>
            <w:shd w:val="clear" w:color="auto" w:fill="CCFFCC"/>
          </w:tcPr>
          <w:p>
            <w:pPr>
              <w:jc w:val="right"/>
              <w:ind w:right="80"/>
              <w:spacing w:after="0" w:line="113" w:lineRule="exact"/>
              <w:rPr>
                <w:sz w:val="20"/>
                <w:szCs w:val="20"/>
                <w:color w:val="auto"/>
              </w:rPr>
            </w:pPr>
            <w:r>
              <w:rPr>
                <w:rFonts w:ascii="Arial" w:cs="Arial" w:eastAsia="Arial" w:hAnsi="Arial"/>
                <w:sz w:val="11"/>
                <w:szCs w:val="11"/>
                <w:color w:val="auto"/>
              </w:rPr>
              <w:t>(5,200)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60" w:type="dxa"/>
            <w:vAlign w:val="bottom"/>
          </w:tcPr>
          <w:p>
            <w:pPr>
              <w:ind w:left="100"/>
              <w:spacing w:after="0" w:line="113" w:lineRule="exact"/>
              <w:rPr>
                <w:sz w:val="20"/>
                <w:szCs w:val="20"/>
                <w:color w:val="auto"/>
              </w:rPr>
            </w:pPr>
            <w:r>
              <w:rPr>
                <w:rFonts w:ascii="Arial" w:cs="Arial" w:eastAsia="Arial" w:hAnsi="Arial"/>
                <w:sz w:val="11"/>
                <w:szCs w:val="11"/>
                <w:color w:val="auto"/>
              </w:rPr>
              <w:t>Net investment income</w:t>
            </w:r>
          </w:p>
        </w:tc>
        <w:tc>
          <w:tcPr>
            <w:tcW w:w="100" w:type="dxa"/>
            <w:vAlign w:val="bottom"/>
          </w:tcPr>
          <w:p>
            <w:pPr>
              <w:spacing w:after="0"/>
              <w:rPr>
                <w:sz w:val="9"/>
                <w:szCs w:val="9"/>
                <w:color w:val="auto"/>
              </w:rPr>
            </w:pPr>
          </w:p>
        </w:tc>
        <w:tc>
          <w:tcPr>
            <w:tcW w:w="640" w:type="dxa"/>
            <w:vAlign w:val="bottom"/>
            <w:gridSpan w:val="2"/>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13" w:lineRule="exact"/>
              <w:rPr>
                <w:sz w:val="20"/>
                <w:szCs w:val="20"/>
                <w:color w:val="auto"/>
              </w:rPr>
            </w:pPr>
            <w:r>
              <w:rPr>
                <w:rFonts w:ascii="Arial" w:cs="Arial" w:eastAsia="Arial" w:hAnsi="Arial"/>
                <w:sz w:val="11"/>
                <w:szCs w:val="11"/>
                <w:color w:val="auto"/>
              </w:rPr>
              <w:t>8,913</w:t>
            </w:r>
          </w:p>
        </w:tc>
        <w:tc>
          <w:tcPr>
            <w:tcW w:w="80" w:type="dxa"/>
            <w:vAlign w:val="bottom"/>
          </w:tcPr>
          <w:p>
            <w:pPr>
              <w:spacing w:after="0"/>
              <w:rPr>
                <w:sz w:val="9"/>
                <w:szCs w:val="9"/>
                <w:color w:val="auto"/>
              </w:rPr>
            </w:pPr>
          </w:p>
        </w:tc>
        <w:tc>
          <w:tcPr>
            <w:tcW w:w="940" w:type="dxa"/>
            <w:vAlign w:val="bottom"/>
            <w:gridSpan w:val="2"/>
          </w:tcPr>
          <w:p>
            <w:pPr>
              <w:jc w:val="right"/>
              <w:ind w:right="78"/>
              <w:spacing w:after="0" w:line="11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8,913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60" w:type="dxa"/>
            <w:vAlign w:val="bottom"/>
            <w:shd w:val="clear" w:color="auto" w:fill="CCFFCC"/>
          </w:tcPr>
          <w:p>
            <w:pPr>
              <w:ind w:left="100"/>
              <w:spacing w:after="0" w:line="113" w:lineRule="exact"/>
              <w:rPr>
                <w:sz w:val="20"/>
                <w:szCs w:val="20"/>
                <w:color w:val="auto"/>
              </w:rPr>
            </w:pPr>
            <w:r>
              <w:rPr>
                <w:rFonts w:ascii="Arial" w:cs="Arial" w:eastAsia="Arial" w:hAnsi="Arial"/>
                <w:sz w:val="11"/>
                <w:szCs w:val="11"/>
                <w:color w:val="auto"/>
              </w:rPr>
              <w:t>Net realized gain on portfolio investments</w:t>
            </w:r>
          </w:p>
        </w:tc>
        <w:tc>
          <w:tcPr>
            <w:tcW w:w="100" w:type="dxa"/>
            <w:vAlign w:val="bottom"/>
            <w:shd w:val="clear" w:color="auto" w:fill="CCFFCC"/>
          </w:tcPr>
          <w:p>
            <w:pPr>
              <w:spacing w:after="0"/>
              <w:rPr>
                <w:sz w:val="9"/>
                <w:szCs w:val="9"/>
                <w:color w:val="auto"/>
              </w:rPr>
            </w:pPr>
          </w:p>
        </w:tc>
        <w:tc>
          <w:tcPr>
            <w:tcW w:w="640" w:type="dxa"/>
            <w:vAlign w:val="bottom"/>
            <w:gridSpan w:val="2"/>
            <w:shd w:val="clear" w:color="auto" w:fill="CCFFCC"/>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gridSpan w:val="2"/>
            <w:shd w:val="clear" w:color="auto" w:fill="CCFFCC"/>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9"/>
                <w:szCs w:val="9"/>
                <w:color w:val="auto"/>
              </w:rPr>
            </w:pPr>
          </w:p>
        </w:tc>
        <w:tc>
          <w:tcPr>
            <w:tcW w:w="700" w:type="dxa"/>
            <w:vAlign w:val="bottom"/>
            <w:gridSpan w:val="2"/>
            <w:shd w:val="clear" w:color="auto" w:fill="CCFFCC"/>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9"/>
                <w:szCs w:val="9"/>
                <w:color w:val="auto"/>
              </w:rPr>
            </w:pPr>
          </w:p>
        </w:tc>
        <w:tc>
          <w:tcPr>
            <w:tcW w:w="700" w:type="dxa"/>
            <w:vAlign w:val="bottom"/>
            <w:gridSpan w:val="2"/>
            <w:shd w:val="clear" w:color="auto" w:fill="CCFFCC"/>
          </w:tcPr>
          <w:p>
            <w:pPr>
              <w:jc w:val="right"/>
              <w:ind w:right="100"/>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40" w:type="dxa"/>
            <w:vAlign w:val="bottom"/>
            <w:gridSpan w:val="2"/>
            <w:shd w:val="clear" w:color="auto" w:fill="CCFFCC"/>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9"/>
                <w:szCs w:val="9"/>
                <w:color w:val="auto"/>
              </w:rPr>
            </w:pPr>
          </w:p>
        </w:tc>
        <w:tc>
          <w:tcPr>
            <w:tcW w:w="940" w:type="dxa"/>
            <w:vAlign w:val="bottom"/>
            <w:gridSpan w:val="2"/>
            <w:shd w:val="clear" w:color="auto" w:fill="CCFFCC"/>
          </w:tcPr>
          <w:p>
            <w:pPr>
              <w:jc w:val="right"/>
              <w:ind w:right="78"/>
              <w:spacing w:after="0" w:line="113" w:lineRule="exact"/>
              <w:rPr>
                <w:sz w:val="20"/>
                <w:szCs w:val="20"/>
                <w:color w:val="auto"/>
              </w:rPr>
            </w:pPr>
            <w:r>
              <w:rPr>
                <w:rFonts w:ascii="Arial" w:cs="Arial" w:eastAsia="Arial" w:hAnsi="Arial"/>
                <w:sz w:val="11"/>
                <w:szCs w:val="11"/>
                <w:color w:val="auto"/>
              </w:rPr>
              <w:t>2,963</w:t>
            </w: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940" w:type="dxa"/>
            <w:vAlign w:val="bottom"/>
            <w:gridSpan w:val="2"/>
            <w:shd w:val="clear" w:color="auto" w:fill="CCFFCC"/>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740" w:type="dxa"/>
            <w:vAlign w:val="bottom"/>
            <w:gridSpan w:val="2"/>
            <w:shd w:val="clear" w:color="auto" w:fill="CCFFCC"/>
          </w:tcPr>
          <w:p>
            <w:pPr>
              <w:jc w:val="right"/>
              <w:ind w:right="120"/>
              <w:spacing w:after="0" w:line="113" w:lineRule="exact"/>
              <w:rPr>
                <w:sz w:val="20"/>
                <w:szCs w:val="20"/>
                <w:color w:val="auto"/>
              </w:rPr>
            </w:pPr>
            <w:r>
              <w:rPr>
                <w:rFonts w:ascii="Arial" w:cs="Arial" w:eastAsia="Arial" w:hAnsi="Arial"/>
                <w:sz w:val="11"/>
                <w:szCs w:val="11"/>
                <w:color w:val="auto"/>
              </w:rPr>
              <w:t>2,963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960" w:type="dxa"/>
            <w:vAlign w:val="bottom"/>
          </w:tcPr>
          <w:p>
            <w:pPr>
              <w:ind w:left="120"/>
              <w:spacing w:after="0" w:line="125" w:lineRule="exact"/>
              <w:rPr>
                <w:sz w:val="20"/>
                <w:szCs w:val="20"/>
                <w:color w:val="auto"/>
              </w:rPr>
            </w:pPr>
            <w:r>
              <w:rPr>
                <w:rFonts w:ascii="Arial" w:cs="Arial" w:eastAsia="Arial" w:hAnsi="Arial"/>
                <w:sz w:val="11"/>
                <w:szCs w:val="11"/>
                <w:color w:val="auto"/>
                <w:w w:val="92"/>
              </w:rPr>
              <w:t>Net change in unrealized appreciation on portfolio investments</w:t>
            </w: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20"/>
              <w:spacing w:after="0" w:line="125"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2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940" w:type="dxa"/>
            <w:vAlign w:val="bottom"/>
            <w:gridSpan w:val="2"/>
          </w:tcPr>
          <w:p>
            <w:pPr>
              <w:jc w:val="right"/>
              <w:ind w:right="78"/>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13,461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13,461</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960" w:type="dxa"/>
            <w:vAlign w:val="bottom"/>
            <w:tcBorders>
              <w:top w:val="single" w:sz="8" w:color="CCFFCC"/>
            </w:tcBorders>
            <w:shd w:val="clear" w:color="auto" w:fill="CCFFCC"/>
          </w:tcPr>
          <w:p>
            <w:pPr>
              <w:spacing w:after="0" w:line="105" w:lineRule="exact"/>
              <w:rPr>
                <w:sz w:val="20"/>
                <w:szCs w:val="20"/>
                <w:color w:val="auto"/>
              </w:rPr>
            </w:pPr>
            <w:r>
              <w:rPr>
                <w:rFonts w:ascii="Arial" w:cs="Arial" w:eastAsia="Arial" w:hAnsi="Arial"/>
                <w:sz w:val="11"/>
                <w:szCs w:val="11"/>
                <w:color w:val="auto"/>
              </w:rPr>
              <w:t>BALANCE, December 31, 2011</w:t>
            </w:r>
          </w:p>
        </w:tc>
        <w:tc>
          <w:tcPr>
            <w:tcW w:w="100" w:type="dxa"/>
            <w:vAlign w:val="bottom"/>
            <w:tcBorders>
              <w:top w:val="single" w:sz="8" w:color="auto"/>
            </w:tcBorders>
            <w:shd w:val="clear" w:color="auto" w:fill="CCFFCC"/>
          </w:tcPr>
          <w:p>
            <w:pPr>
              <w:spacing w:after="0"/>
              <w:rPr>
                <w:sz w:val="9"/>
                <w:szCs w:val="9"/>
                <w:color w:val="auto"/>
              </w:rPr>
            </w:pPr>
          </w:p>
        </w:tc>
        <w:tc>
          <w:tcPr>
            <w:tcW w:w="500" w:type="dxa"/>
            <w:vAlign w:val="bottom"/>
            <w:tcBorders>
              <w:top w:val="single" w:sz="8" w:color="auto"/>
            </w:tcBorders>
            <w:shd w:val="clear" w:color="auto" w:fill="CCFFCC"/>
          </w:tcPr>
          <w:p>
            <w:pPr>
              <w:jc w:val="right"/>
              <w:spacing w:after="0" w:line="105" w:lineRule="exact"/>
              <w:rPr>
                <w:sz w:val="20"/>
                <w:szCs w:val="20"/>
                <w:color w:val="auto"/>
              </w:rPr>
            </w:pPr>
            <w:r>
              <w:rPr>
                <w:rFonts w:ascii="Arial" w:cs="Arial" w:eastAsia="Arial" w:hAnsi="Arial"/>
                <w:sz w:val="11"/>
                <w:szCs w:val="11"/>
                <w:color w:val="auto"/>
              </w:rPr>
              <w:t>209</w:t>
            </w:r>
          </w:p>
        </w:tc>
        <w:tc>
          <w:tcPr>
            <w:tcW w:w="14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500" w:type="dxa"/>
            <w:vAlign w:val="bottom"/>
            <w:tcBorders>
              <w:top w:val="single" w:sz="8" w:color="auto"/>
            </w:tcBorders>
            <w:shd w:val="clear" w:color="auto" w:fill="CCFFCC"/>
          </w:tcPr>
          <w:p>
            <w:pPr>
              <w:jc w:val="right"/>
              <w:spacing w:after="0" w:line="105" w:lineRule="exact"/>
              <w:rPr>
                <w:sz w:val="20"/>
                <w:szCs w:val="20"/>
                <w:color w:val="auto"/>
              </w:rPr>
            </w:pPr>
            <w:r>
              <w:rPr>
                <w:rFonts w:ascii="Arial" w:cs="Arial" w:eastAsia="Arial" w:hAnsi="Arial"/>
                <w:sz w:val="11"/>
                <w:szCs w:val="11"/>
                <w:color w:val="auto"/>
              </w:rPr>
              <w:t>70,366</w:t>
            </w:r>
          </w:p>
        </w:tc>
        <w:tc>
          <w:tcPr>
            <w:tcW w:w="220" w:type="dxa"/>
            <w:vAlign w:val="bottom"/>
            <w:tcBorders>
              <w:top w:val="single" w:sz="8" w:color="CCFFCC"/>
            </w:tcBorders>
            <w:shd w:val="clear" w:color="auto" w:fill="CCFFCC"/>
          </w:tcPr>
          <w:p>
            <w:pPr>
              <w:spacing w:after="0"/>
              <w:rPr>
                <w:sz w:val="9"/>
                <w:szCs w:val="9"/>
                <w:color w:val="auto"/>
              </w:rPr>
            </w:pPr>
          </w:p>
        </w:tc>
        <w:tc>
          <w:tcPr>
            <w:tcW w:w="600" w:type="dxa"/>
            <w:vAlign w:val="bottom"/>
            <w:tcBorders>
              <w:top w:val="single" w:sz="8" w:color="auto"/>
            </w:tcBorders>
            <w:shd w:val="clear" w:color="auto" w:fill="CCFFCC"/>
          </w:tcPr>
          <w:p>
            <w:pPr>
              <w:jc w:val="right"/>
              <w:spacing w:after="0" w:line="105" w:lineRule="exact"/>
              <w:rPr>
                <w:sz w:val="20"/>
                <w:szCs w:val="20"/>
                <w:color w:val="auto"/>
              </w:rPr>
            </w:pPr>
            <w:r>
              <w:rPr>
                <w:rFonts w:ascii="Arial" w:cs="Arial" w:eastAsia="Arial" w:hAnsi="Arial"/>
                <w:sz w:val="11"/>
                <w:szCs w:val="11"/>
                <w:color w:val="auto"/>
              </w:rPr>
              <w:t>-</w:t>
            </w:r>
          </w:p>
        </w:tc>
        <w:tc>
          <w:tcPr>
            <w:tcW w:w="2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auto"/>
            </w:tcBorders>
            <w:shd w:val="clear" w:color="auto" w:fill="CCFFCC"/>
          </w:tcPr>
          <w:p>
            <w:pPr>
              <w:spacing w:after="0"/>
              <w:rPr>
                <w:sz w:val="9"/>
                <w:szCs w:val="9"/>
                <w:color w:val="auto"/>
              </w:rPr>
            </w:pPr>
          </w:p>
        </w:tc>
        <w:tc>
          <w:tcPr>
            <w:tcW w:w="460" w:type="dxa"/>
            <w:vAlign w:val="bottom"/>
            <w:tcBorders>
              <w:top w:val="single" w:sz="8" w:color="auto"/>
            </w:tcBorders>
            <w:shd w:val="clear" w:color="auto" w:fill="CCFFCC"/>
          </w:tcPr>
          <w:p>
            <w:pPr>
              <w:jc w:val="right"/>
              <w:spacing w:after="0" w:line="105" w:lineRule="exact"/>
              <w:rPr>
                <w:sz w:val="20"/>
                <w:szCs w:val="20"/>
                <w:color w:val="auto"/>
              </w:rPr>
            </w:pPr>
            <w:r>
              <w:rPr>
                <w:rFonts w:ascii="Arial" w:cs="Arial" w:eastAsia="Arial" w:hAnsi="Arial"/>
                <w:sz w:val="11"/>
                <w:szCs w:val="11"/>
                <w:color w:val="auto"/>
              </w:rPr>
              <w:t>-</w:t>
            </w:r>
          </w:p>
        </w:tc>
        <w:tc>
          <w:tcPr>
            <w:tcW w:w="2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600" w:type="dxa"/>
            <w:vAlign w:val="bottom"/>
            <w:tcBorders>
              <w:top w:val="single" w:sz="8" w:color="auto"/>
            </w:tcBorders>
            <w:shd w:val="clear" w:color="auto" w:fill="CCFFCC"/>
          </w:tcPr>
          <w:p>
            <w:pPr>
              <w:jc w:val="right"/>
              <w:spacing w:after="0" w:line="10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FFCC"/>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auto"/>
            </w:tcBorders>
            <w:shd w:val="clear" w:color="auto" w:fill="CCFFCC"/>
          </w:tcPr>
          <w:p>
            <w:pPr>
              <w:spacing w:after="0"/>
              <w:rPr>
                <w:sz w:val="9"/>
                <w:szCs w:val="9"/>
                <w:color w:val="auto"/>
              </w:rPr>
            </w:pPr>
          </w:p>
        </w:tc>
        <w:tc>
          <w:tcPr>
            <w:tcW w:w="800" w:type="dxa"/>
            <w:vAlign w:val="bottom"/>
            <w:tcBorders>
              <w:top w:val="single" w:sz="8" w:color="auto"/>
            </w:tcBorders>
            <w:shd w:val="clear" w:color="auto" w:fill="CCFFCC"/>
          </w:tcPr>
          <w:p>
            <w:pPr>
              <w:jc w:val="right"/>
              <w:spacing w:after="0" w:line="105" w:lineRule="exact"/>
              <w:rPr>
                <w:sz w:val="20"/>
                <w:szCs w:val="20"/>
                <w:color w:val="auto"/>
              </w:rPr>
            </w:pPr>
            <w:r>
              <w:rPr>
                <w:rFonts w:ascii="Arial" w:cs="Arial" w:eastAsia="Arial" w:hAnsi="Arial"/>
                <w:sz w:val="11"/>
                <w:szCs w:val="11"/>
                <w:color w:val="auto"/>
              </w:rPr>
              <w:t>7,783</w:t>
            </w:r>
          </w:p>
        </w:tc>
        <w:tc>
          <w:tcPr>
            <w:tcW w:w="2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820" w:type="dxa"/>
            <w:vAlign w:val="bottom"/>
            <w:tcBorders>
              <w:top w:val="single" w:sz="8" w:color="auto"/>
            </w:tcBorders>
            <w:shd w:val="clear" w:color="auto" w:fill="CCFFCC"/>
          </w:tcPr>
          <w:p>
            <w:pPr>
              <w:jc w:val="right"/>
              <w:spacing w:after="0" w:line="10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820" w:type="dxa"/>
            <w:vAlign w:val="bottom"/>
            <w:tcBorders>
              <w:top w:val="single" w:sz="8" w:color="auto"/>
            </w:tcBorders>
            <w:shd w:val="clear" w:color="auto" w:fill="CCFFCC"/>
          </w:tcPr>
          <w:p>
            <w:pPr>
              <w:jc w:val="right"/>
              <w:spacing w:after="0" w:line="105" w:lineRule="exact"/>
              <w:rPr>
                <w:sz w:val="20"/>
                <w:szCs w:val="20"/>
                <w:color w:val="auto"/>
              </w:rPr>
            </w:pPr>
            <w:r>
              <w:rPr>
                <w:rFonts w:ascii="Arial" w:cs="Arial" w:eastAsia="Arial" w:hAnsi="Arial"/>
                <w:sz w:val="11"/>
                <w:szCs w:val="11"/>
                <w:color w:val="auto"/>
              </w:rPr>
              <w:t>21,177</w:t>
            </w:r>
          </w:p>
        </w:tc>
        <w:tc>
          <w:tcPr>
            <w:tcW w:w="120" w:type="dxa"/>
            <w:vAlign w:val="bottom"/>
            <w:tcBorders>
              <w:top w:val="single" w:sz="8" w:color="CCFFCC"/>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60" w:type="dxa"/>
            <w:vAlign w:val="bottom"/>
            <w:tcBorders>
              <w:top w:val="single" w:sz="8" w:color="auto"/>
            </w:tcBorders>
            <w:shd w:val="clear" w:color="auto" w:fill="CCFFCC"/>
          </w:tcPr>
          <w:p>
            <w:pPr>
              <w:spacing w:after="0"/>
              <w:rPr>
                <w:sz w:val="9"/>
                <w:szCs w:val="9"/>
                <w:color w:val="auto"/>
              </w:rPr>
            </w:pPr>
          </w:p>
        </w:tc>
        <w:tc>
          <w:tcPr>
            <w:tcW w:w="620" w:type="dxa"/>
            <w:vAlign w:val="bottom"/>
            <w:tcBorders>
              <w:top w:val="single" w:sz="8" w:color="auto"/>
            </w:tcBorders>
            <w:shd w:val="clear" w:color="auto" w:fill="CCFFCC"/>
          </w:tcPr>
          <w:p>
            <w:pPr>
              <w:jc w:val="right"/>
              <w:spacing w:after="0" w:line="105" w:lineRule="exact"/>
              <w:rPr>
                <w:sz w:val="20"/>
                <w:szCs w:val="20"/>
                <w:color w:val="auto"/>
              </w:rPr>
            </w:pPr>
            <w:r>
              <w:rPr>
                <w:rFonts w:ascii="Arial" w:cs="Arial" w:eastAsia="Arial" w:hAnsi="Arial"/>
                <w:sz w:val="11"/>
                <w:szCs w:val="11"/>
                <w:color w:val="auto"/>
              </w:rPr>
              <w:t>99,535</w:t>
            </w:r>
          </w:p>
        </w:tc>
        <w:tc>
          <w:tcPr>
            <w:tcW w:w="120" w:type="dxa"/>
            <w:vAlign w:val="bottom"/>
            <w:tcBorders>
              <w:top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60" w:type="dxa"/>
            <w:vAlign w:val="bottom"/>
          </w:tcPr>
          <w:p>
            <w:pPr>
              <w:ind w:left="120"/>
              <w:spacing w:after="0" w:line="113" w:lineRule="exact"/>
              <w:rPr>
                <w:sz w:val="20"/>
                <w:szCs w:val="20"/>
                <w:color w:val="auto"/>
              </w:rPr>
            </w:pPr>
            <w:r>
              <w:rPr>
                <w:rFonts w:ascii="Arial" w:cs="Arial" w:eastAsia="Arial" w:hAnsi="Arial"/>
                <w:sz w:val="11"/>
                <w:szCs w:val="11"/>
                <w:color w:val="auto"/>
              </w:rPr>
              <w:t>Partners' capital contributions</w:t>
            </w:r>
          </w:p>
        </w:tc>
        <w:tc>
          <w:tcPr>
            <w:tcW w:w="100" w:type="dxa"/>
            <w:vAlign w:val="bottom"/>
          </w:tcPr>
          <w:p>
            <w:pPr>
              <w:spacing w:after="0"/>
              <w:rPr>
                <w:sz w:val="9"/>
                <w:szCs w:val="9"/>
                <w:color w:val="auto"/>
              </w:rPr>
            </w:pPr>
          </w:p>
        </w:tc>
        <w:tc>
          <w:tcPr>
            <w:tcW w:w="640" w:type="dxa"/>
            <w:vAlign w:val="bottom"/>
            <w:gridSpan w:val="2"/>
          </w:tcPr>
          <w:p>
            <w:pPr>
              <w:jc w:val="right"/>
              <w:ind w:right="140"/>
              <w:spacing w:after="0" w:line="113" w:lineRule="exact"/>
              <w:rPr>
                <w:sz w:val="20"/>
                <w:szCs w:val="20"/>
                <w:color w:val="auto"/>
              </w:rPr>
            </w:pPr>
            <w:r>
              <w:rPr>
                <w:rFonts w:ascii="Arial" w:cs="Arial" w:eastAsia="Arial" w:hAnsi="Arial"/>
                <w:sz w:val="11"/>
                <w:szCs w:val="11"/>
                <w:color w:val="auto"/>
              </w:rPr>
              <w:t>73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6,992</w:t>
            </w:r>
          </w:p>
        </w:tc>
        <w:tc>
          <w:tcPr>
            <w:tcW w:w="8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tcPr>
          <w:p>
            <w:pPr>
              <w:jc w:val="right"/>
              <w:ind w:right="78"/>
              <w:spacing w:after="0" w:line="11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7,065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60" w:type="dxa"/>
            <w:vAlign w:val="bottom"/>
            <w:shd w:val="clear" w:color="auto" w:fill="CCFFCC"/>
          </w:tcPr>
          <w:p>
            <w:pPr>
              <w:ind w:left="120"/>
              <w:spacing w:after="0" w:line="113" w:lineRule="exact"/>
              <w:rPr>
                <w:sz w:val="20"/>
                <w:szCs w:val="20"/>
                <w:color w:val="auto"/>
              </w:rPr>
            </w:pPr>
            <w:r>
              <w:rPr>
                <w:rFonts w:ascii="Arial" w:cs="Arial" w:eastAsia="Arial" w:hAnsi="Arial"/>
                <w:sz w:val="11"/>
                <w:szCs w:val="11"/>
                <w:color w:val="auto"/>
              </w:rPr>
              <w:t>Distribution to partners</w:t>
            </w:r>
          </w:p>
        </w:tc>
        <w:tc>
          <w:tcPr>
            <w:tcW w:w="100" w:type="dxa"/>
            <w:vAlign w:val="bottom"/>
            <w:shd w:val="clear" w:color="auto" w:fill="CCFFCC"/>
          </w:tcPr>
          <w:p>
            <w:pPr>
              <w:spacing w:after="0"/>
              <w:rPr>
                <w:sz w:val="9"/>
                <w:szCs w:val="9"/>
                <w:color w:val="auto"/>
              </w:rPr>
            </w:pPr>
          </w:p>
        </w:tc>
        <w:tc>
          <w:tcPr>
            <w:tcW w:w="640" w:type="dxa"/>
            <w:vAlign w:val="bottom"/>
            <w:gridSpan w:val="2"/>
            <w:shd w:val="clear" w:color="auto" w:fill="CCFFCC"/>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gridSpan w:val="2"/>
            <w:shd w:val="clear" w:color="auto" w:fill="CCFFCC"/>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9"/>
                <w:szCs w:val="9"/>
                <w:color w:val="auto"/>
              </w:rPr>
            </w:pPr>
          </w:p>
        </w:tc>
        <w:tc>
          <w:tcPr>
            <w:tcW w:w="700" w:type="dxa"/>
            <w:vAlign w:val="bottom"/>
            <w:gridSpan w:val="2"/>
            <w:shd w:val="clear" w:color="auto" w:fill="CCFFCC"/>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9"/>
                <w:szCs w:val="9"/>
                <w:color w:val="auto"/>
              </w:rPr>
            </w:pPr>
          </w:p>
        </w:tc>
        <w:tc>
          <w:tcPr>
            <w:tcW w:w="700" w:type="dxa"/>
            <w:vAlign w:val="bottom"/>
            <w:gridSpan w:val="2"/>
            <w:shd w:val="clear" w:color="auto" w:fill="CCFFCC"/>
          </w:tcPr>
          <w:p>
            <w:pPr>
              <w:jc w:val="right"/>
              <w:ind w:right="100"/>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40" w:type="dxa"/>
            <w:vAlign w:val="bottom"/>
            <w:gridSpan w:val="2"/>
            <w:shd w:val="clear" w:color="auto" w:fill="CCFFCC"/>
          </w:tcPr>
          <w:p>
            <w:pPr>
              <w:jc w:val="right"/>
              <w:ind w:right="200"/>
              <w:spacing w:after="0" w:line="113" w:lineRule="exact"/>
              <w:rPr>
                <w:sz w:val="20"/>
                <w:szCs w:val="20"/>
                <w:color w:val="auto"/>
              </w:rPr>
            </w:pPr>
            <w:r>
              <w:rPr>
                <w:rFonts w:ascii="Arial" w:cs="Arial" w:eastAsia="Arial" w:hAnsi="Arial"/>
                <w:sz w:val="11"/>
                <w:szCs w:val="11"/>
                <w:color w:val="auto"/>
              </w:rPr>
              <w:t>(12,147)</w:t>
            </w:r>
          </w:p>
        </w:tc>
        <w:tc>
          <w:tcPr>
            <w:tcW w:w="80" w:type="dxa"/>
            <w:vAlign w:val="bottom"/>
            <w:shd w:val="clear" w:color="auto" w:fill="CCFFCC"/>
          </w:tcPr>
          <w:p>
            <w:pPr>
              <w:spacing w:after="0"/>
              <w:rPr>
                <w:sz w:val="9"/>
                <w:szCs w:val="9"/>
                <w:color w:val="auto"/>
              </w:rPr>
            </w:pPr>
          </w:p>
        </w:tc>
        <w:tc>
          <w:tcPr>
            <w:tcW w:w="940" w:type="dxa"/>
            <w:vAlign w:val="bottom"/>
            <w:gridSpan w:val="2"/>
            <w:shd w:val="clear" w:color="auto" w:fill="CCFFCC"/>
          </w:tcPr>
          <w:p>
            <w:pPr>
              <w:jc w:val="right"/>
              <w:ind w:right="38"/>
              <w:spacing w:after="0" w:line="113" w:lineRule="exact"/>
              <w:rPr>
                <w:sz w:val="20"/>
                <w:szCs w:val="20"/>
                <w:color w:val="auto"/>
              </w:rPr>
            </w:pPr>
            <w:r>
              <w:rPr>
                <w:rFonts w:ascii="Arial" w:cs="Arial" w:eastAsia="Arial" w:hAnsi="Arial"/>
                <w:sz w:val="11"/>
                <w:szCs w:val="11"/>
                <w:color w:val="auto"/>
              </w:rPr>
              <w:t>(1,590)</w:t>
            </w: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940" w:type="dxa"/>
            <w:vAlign w:val="bottom"/>
            <w:gridSpan w:val="2"/>
            <w:shd w:val="clear" w:color="auto" w:fill="CCFFCC"/>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740" w:type="dxa"/>
            <w:vAlign w:val="bottom"/>
            <w:gridSpan w:val="2"/>
            <w:shd w:val="clear" w:color="auto" w:fill="CCFFCC"/>
          </w:tcPr>
          <w:p>
            <w:pPr>
              <w:jc w:val="right"/>
              <w:ind w:right="80"/>
              <w:spacing w:after="0" w:line="113" w:lineRule="exact"/>
              <w:rPr>
                <w:sz w:val="20"/>
                <w:szCs w:val="20"/>
                <w:color w:val="auto"/>
              </w:rPr>
            </w:pPr>
            <w:r>
              <w:rPr>
                <w:rFonts w:ascii="Arial" w:cs="Arial" w:eastAsia="Arial" w:hAnsi="Arial"/>
                <w:sz w:val="11"/>
                <w:szCs w:val="11"/>
                <w:color w:val="auto"/>
              </w:rPr>
              <w:t>(13,737)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60" w:type="dxa"/>
            <w:vAlign w:val="bottom"/>
          </w:tcPr>
          <w:p>
            <w:pPr>
              <w:ind w:left="120"/>
              <w:spacing w:after="0" w:line="113" w:lineRule="exact"/>
              <w:rPr>
                <w:sz w:val="20"/>
                <w:szCs w:val="20"/>
                <w:color w:val="auto"/>
              </w:rPr>
            </w:pPr>
            <w:r>
              <w:rPr>
                <w:rFonts w:ascii="Arial" w:cs="Arial" w:eastAsia="Arial" w:hAnsi="Arial"/>
                <w:sz w:val="11"/>
                <w:szCs w:val="11"/>
                <w:color w:val="auto"/>
              </w:rPr>
              <w:t>Net investment income</w:t>
            </w:r>
          </w:p>
        </w:tc>
        <w:tc>
          <w:tcPr>
            <w:tcW w:w="100" w:type="dxa"/>
            <w:vAlign w:val="bottom"/>
          </w:tcPr>
          <w:p>
            <w:pPr>
              <w:spacing w:after="0"/>
              <w:rPr>
                <w:sz w:val="9"/>
                <w:szCs w:val="9"/>
                <w:color w:val="auto"/>
              </w:rPr>
            </w:pPr>
          </w:p>
        </w:tc>
        <w:tc>
          <w:tcPr>
            <w:tcW w:w="640" w:type="dxa"/>
            <w:vAlign w:val="bottom"/>
            <w:gridSpan w:val="2"/>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13" w:lineRule="exact"/>
              <w:rPr>
                <w:sz w:val="20"/>
                <w:szCs w:val="20"/>
                <w:color w:val="auto"/>
              </w:rPr>
            </w:pPr>
            <w:r>
              <w:rPr>
                <w:rFonts w:ascii="Arial" w:cs="Arial" w:eastAsia="Arial" w:hAnsi="Arial"/>
                <w:sz w:val="11"/>
                <w:szCs w:val="11"/>
                <w:color w:val="auto"/>
              </w:rPr>
              <w:t>12,924</w:t>
            </w:r>
          </w:p>
        </w:tc>
        <w:tc>
          <w:tcPr>
            <w:tcW w:w="80" w:type="dxa"/>
            <w:vAlign w:val="bottom"/>
          </w:tcPr>
          <w:p>
            <w:pPr>
              <w:spacing w:after="0"/>
              <w:rPr>
                <w:sz w:val="9"/>
                <w:szCs w:val="9"/>
                <w:color w:val="auto"/>
              </w:rPr>
            </w:pPr>
          </w:p>
        </w:tc>
        <w:tc>
          <w:tcPr>
            <w:tcW w:w="940" w:type="dxa"/>
            <w:vAlign w:val="bottom"/>
            <w:gridSpan w:val="2"/>
          </w:tcPr>
          <w:p>
            <w:pPr>
              <w:jc w:val="right"/>
              <w:ind w:right="78"/>
              <w:spacing w:after="0" w:line="11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12,924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60" w:type="dxa"/>
            <w:vAlign w:val="bottom"/>
            <w:shd w:val="clear" w:color="auto" w:fill="CCFFCC"/>
          </w:tcPr>
          <w:p>
            <w:pPr>
              <w:ind w:left="120"/>
              <w:spacing w:after="0" w:line="113" w:lineRule="exact"/>
              <w:rPr>
                <w:sz w:val="20"/>
                <w:szCs w:val="20"/>
                <w:color w:val="auto"/>
              </w:rPr>
            </w:pPr>
            <w:r>
              <w:rPr>
                <w:rFonts w:ascii="Arial" w:cs="Arial" w:eastAsia="Arial" w:hAnsi="Arial"/>
                <w:sz w:val="11"/>
                <w:szCs w:val="11"/>
                <w:color w:val="auto"/>
              </w:rPr>
              <w:t>Net realized gain on portfolio investments</w:t>
            </w:r>
          </w:p>
        </w:tc>
        <w:tc>
          <w:tcPr>
            <w:tcW w:w="100" w:type="dxa"/>
            <w:vAlign w:val="bottom"/>
            <w:shd w:val="clear" w:color="auto" w:fill="CCFFCC"/>
          </w:tcPr>
          <w:p>
            <w:pPr>
              <w:spacing w:after="0"/>
              <w:rPr>
                <w:sz w:val="9"/>
                <w:szCs w:val="9"/>
                <w:color w:val="auto"/>
              </w:rPr>
            </w:pPr>
          </w:p>
        </w:tc>
        <w:tc>
          <w:tcPr>
            <w:tcW w:w="640" w:type="dxa"/>
            <w:vAlign w:val="bottom"/>
            <w:gridSpan w:val="2"/>
            <w:shd w:val="clear" w:color="auto" w:fill="CCFFCC"/>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gridSpan w:val="2"/>
            <w:shd w:val="clear" w:color="auto" w:fill="CCFFCC"/>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9"/>
                <w:szCs w:val="9"/>
                <w:color w:val="auto"/>
              </w:rPr>
            </w:pPr>
          </w:p>
        </w:tc>
        <w:tc>
          <w:tcPr>
            <w:tcW w:w="700" w:type="dxa"/>
            <w:vAlign w:val="bottom"/>
            <w:gridSpan w:val="2"/>
            <w:shd w:val="clear" w:color="auto" w:fill="CCFFCC"/>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9"/>
                <w:szCs w:val="9"/>
                <w:color w:val="auto"/>
              </w:rPr>
            </w:pPr>
          </w:p>
        </w:tc>
        <w:tc>
          <w:tcPr>
            <w:tcW w:w="700" w:type="dxa"/>
            <w:vAlign w:val="bottom"/>
            <w:gridSpan w:val="2"/>
            <w:shd w:val="clear" w:color="auto" w:fill="CCFFCC"/>
          </w:tcPr>
          <w:p>
            <w:pPr>
              <w:jc w:val="right"/>
              <w:ind w:right="100"/>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40" w:type="dxa"/>
            <w:vAlign w:val="bottom"/>
            <w:gridSpan w:val="2"/>
            <w:shd w:val="clear" w:color="auto" w:fill="CCFFCC"/>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9"/>
                <w:szCs w:val="9"/>
                <w:color w:val="auto"/>
              </w:rPr>
            </w:pPr>
          </w:p>
        </w:tc>
        <w:tc>
          <w:tcPr>
            <w:tcW w:w="940" w:type="dxa"/>
            <w:vAlign w:val="bottom"/>
            <w:gridSpan w:val="2"/>
            <w:shd w:val="clear" w:color="auto" w:fill="CCFFCC"/>
          </w:tcPr>
          <w:p>
            <w:pPr>
              <w:jc w:val="right"/>
              <w:ind w:right="78"/>
              <w:spacing w:after="0" w:line="113" w:lineRule="exact"/>
              <w:rPr>
                <w:sz w:val="20"/>
                <w:szCs w:val="20"/>
                <w:color w:val="auto"/>
              </w:rPr>
            </w:pPr>
            <w:r>
              <w:rPr>
                <w:rFonts w:ascii="Arial" w:cs="Arial" w:eastAsia="Arial" w:hAnsi="Arial"/>
                <w:sz w:val="11"/>
                <w:szCs w:val="11"/>
                <w:color w:val="auto"/>
              </w:rPr>
              <w:t>1,590</w:t>
            </w: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940" w:type="dxa"/>
            <w:vAlign w:val="bottom"/>
            <w:gridSpan w:val="2"/>
            <w:shd w:val="clear" w:color="auto" w:fill="CCFFCC"/>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740" w:type="dxa"/>
            <w:vAlign w:val="bottom"/>
            <w:gridSpan w:val="2"/>
            <w:shd w:val="clear" w:color="auto" w:fill="CCFFCC"/>
          </w:tcPr>
          <w:p>
            <w:pPr>
              <w:jc w:val="right"/>
              <w:ind w:right="120"/>
              <w:spacing w:after="0" w:line="113" w:lineRule="exact"/>
              <w:rPr>
                <w:sz w:val="20"/>
                <w:szCs w:val="20"/>
                <w:color w:val="auto"/>
              </w:rPr>
            </w:pPr>
            <w:r>
              <w:rPr>
                <w:rFonts w:ascii="Arial" w:cs="Arial" w:eastAsia="Arial" w:hAnsi="Arial"/>
                <w:sz w:val="11"/>
                <w:szCs w:val="11"/>
                <w:color w:val="auto"/>
              </w:rPr>
              <w:t>1,590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960" w:type="dxa"/>
            <w:vAlign w:val="bottom"/>
          </w:tcPr>
          <w:p>
            <w:pPr>
              <w:ind w:left="120"/>
              <w:spacing w:after="0" w:line="125" w:lineRule="exact"/>
              <w:rPr>
                <w:sz w:val="20"/>
                <w:szCs w:val="20"/>
                <w:color w:val="auto"/>
              </w:rPr>
            </w:pPr>
            <w:r>
              <w:rPr>
                <w:rFonts w:ascii="Arial" w:cs="Arial" w:eastAsia="Arial" w:hAnsi="Arial"/>
                <w:sz w:val="11"/>
                <w:szCs w:val="11"/>
                <w:color w:val="auto"/>
                <w:w w:val="92"/>
              </w:rPr>
              <w:t>Net change in unrealized appreciation on portfolio investments</w:t>
            </w: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20"/>
              <w:spacing w:after="0" w:line="125"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2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940" w:type="dxa"/>
            <w:vAlign w:val="bottom"/>
            <w:gridSpan w:val="2"/>
          </w:tcPr>
          <w:p>
            <w:pPr>
              <w:jc w:val="right"/>
              <w:ind w:right="78"/>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35,056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35,056</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960" w:type="dxa"/>
            <w:vAlign w:val="bottom"/>
            <w:tcBorders>
              <w:top w:val="single" w:sz="8" w:color="CCFFCC"/>
            </w:tcBorders>
            <w:shd w:val="clear" w:color="auto" w:fill="CCFFCC"/>
          </w:tcPr>
          <w:p>
            <w:pPr>
              <w:spacing w:after="0" w:line="105" w:lineRule="exact"/>
              <w:rPr>
                <w:sz w:val="20"/>
                <w:szCs w:val="20"/>
                <w:color w:val="auto"/>
              </w:rPr>
            </w:pPr>
            <w:r>
              <w:rPr>
                <w:rFonts w:ascii="Arial" w:cs="Arial" w:eastAsia="Arial" w:hAnsi="Arial"/>
                <w:sz w:val="11"/>
                <w:szCs w:val="11"/>
                <w:color w:val="auto"/>
              </w:rPr>
              <w:t>BALANCE, December 31, 2012</w:t>
            </w:r>
          </w:p>
        </w:tc>
        <w:tc>
          <w:tcPr>
            <w:tcW w:w="100" w:type="dxa"/>
            <w:vAlign w:val="bottom"/>
            <w:tcBorders>
              <w:top w:val="single" w:sz="8" w:color="auto"/>
            </w:tcBorders>
            <w:shd w:val="clear" w:color="auto" w:fill="CCFFCC"/>
          </w:tcPr>
          <w:p>
            <w:pPr>
              <w:spacing w:after="0"/>
              <w:rPr>
                <w:sz w:val="9"/>
                <w:szCs w:val="9"/>
                <w:color w:val="auto"/>
              </w:rPr>
            </w:pPr>
          </w:p>
        </w:tc>
        <w:tc>
          <w:tcPr>
            <w:tcW w:w="500" w:type="dxa"/>
            <w:vAlign w:val="bottom"/>
            <w:tcBorders>
              <w:top w:val="single" w:sz="8" w:color="auto"/>
            </w:tcBorders>
            <w:shd w:val="clear" w:color="auto" w:fill="CCFFCC"/>
          </w:tcPr>
          <w:p>
            <w:pPr>
              <w:jc w:val="right"/>
              <w:spacing w:after="0" w:line="105" w:lineRule="exact"/>
              <w:rPr>
                <w:sz w:val="20"/>
                <w:szCs w:val="20"/>
                <w:color w:val="auto"/>
              </w:rPr>
            </w:pPr>
            <w:r>
              <w:rPr>
                <w:rFonts w:ascii="Arial" w:cs="Arial" w:eastAsia="Arial" w:hAnsi="Arial"/>
                <w:sz w:val="11"/>
                <w:szCs w:val="11"/>
                <w:color w:val="auto"/>
              </w:rPr>
              <w:t>282</w:t>
            </w:r>
          </w:p>
        </w:tc>
        <w:tc>
          <w:tcPr>
            <w:tcW w:w="14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500" w:type="dxa"/>
            <w:vAlign w:val="bottom"/>
            <w:tcBorders>
              <w:top w:val="single" w:sz="8" w:color="auto"/>
            </w:tcBorders>
            <w:shd w:val="clear" w:color="auto" w:fill="CCFFCC"/>
          </w:tcPr>
          <w:p>
            <w:pPr>
              <w:jc w:val="right"/>
              <w:spacing w:after="0" w:line="105" w:lineRule="exact"/>
              <w:rPr>
                <w:sz w:val="20"/>
                <w:szCs w:val="20"/>
                <w:color w:val="auto"/>
              </w:rPr>
            </w:pPr>
            <w:r>
              <w:rPr>
                <w:rFonts w:ascii="Arial" w:cs="Arial" w:eastAsia="Arial" w:hAnsi="Arial"/>
                <w:sz w:val="11"/>
                <w:szCs w:val="11"/>
                <w:color w:val="auto"/>
              </w:rPr>
              <w:t>77,358</w:t>
            </w:r>
          </w:p>
        </w:tc>
        <w:tc>
          <w:tcPr>
            <w:tcW w:w="220" w:type="dxa"/>
            <w:vAlign w:val="bottom"/>
            <w:tcBorders>
              <w:top w:val="single" w:sz="8" w:color="CCFFCC"/>
            </w:tcBorders>
            <w:shd w:val="clear" w:color="auto" w:fill="CCFFCC"/>
          </w:tcPr>
          <w:p>
            <w:pPr>
              <w:spacing w:after="0"/>
              <w:rPr>
                <w:sz w:val="9"/>
                <w:szCs w:val="9"/>
                <w:color w:val="auto"/>
              </w:rPr>
            </w:pPr>
          </w:p>
        </w:tc>
        <w:tc>
          <w:tcPr>
            <w:tcW w:w="600" w:type="dxa"/>
            <w:vAlign w:val="bottom"/>
            <w:tcBorders>
              <w:top w:val="single" w:sz="8" w:color="auto"/>
            </w:tcBorders>
            <w:shd w:val="clear" w:color="auto" w:fill="CCFFCC"/>
          </w:tcPr>
          <w:p>
            <w:pPr>
              <w:jc w:val="right"/>
              <w:spacing w:after="0" w:line="105" w:lineRule="exact"/>
              <w:rPr>
                <w:sz w:val="20"/>
                <w:szCs w:val="20"/>
                <w:color w:val="auto"/>
              </w:rPr>
            </w:pPr>
            <w:r>
              <w:rPr>
                <w:rFonts w:ascii="Arial" w:cs="Arial" w:eastAsia="Arial" w:hAnsi="Arial"/>
                <w:sz w:val="11"/>
                <w:szCs w:val="11"/>
                <w:color w:val="auto"/>
              </w:rPr>
              <w:t>-</w:t>
            </w:r>
          </w:p>
        </w:tc>
        <w:tc>
          <w:tcPr>
            <w:tcW w:w="2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auto"/>
            </w:tcBorders>
            <w:shd w:val="clear" w:color="auto" w:fill="CCFFCC"/>
          </w:tcPr>
          <w:p>
            <w:pPr>
              <w:spacing w:after="0"/>
              <w:rPr>
                <w:sz w:val="9"/>
                <w:szCs w:val="9"/>
                <w:color w:val="auto"/>
              </w:rPr>
            </w:pPr>
          </w:p>
        </w:tc>
        <w:tc>
          <w:tcPr>
            <w:tcW w:w="460" w:type="dxa"/>
            <w:vAlign w:val="bottom"/>
            <w:tcBorders>
              <w:top w:val="single" w:sz="8" w:color="auto"/>
            </w:tcBorders>
            <w:shd w:val="clear" w:color="auto" w:fill="CCFFCC"/>
          </w:tcPr>
          <w:p>
            <w:pPr>
              <w:jc w:val="right"/>
              <w:spacing w:after="0" w:line="105" w:lineRule="exact"/>
              <w:rPr>
                <w:sz w:val="20"/>
                <w:szCs w:val="20"/>
                <w:color w:val="auto"/>
              </w:rPr>
            </w:pPr>
            <w:r>
              <w:rPr>
                <w:rFonts w:ascii="Arial" w:cs="Arial" w:eastAsia="Arial" w:hAnsi="Arial"/>
                <w:sz w:val="11"/>
                <w:szCs w:val="11"/>
                <w:color w:val="auto"/>
              </w:rPr>
              <w:t>-</w:t>
            </w:r>
          </w:p>
        </w:tc>
        <w:tc>
          <w:tcPr>
            <w:tcW w:w="2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600" w:type="dxa"/>
            <w:vAlign w:val="bottom"/>
            <w:tcBorders>
              <w:top w:val="single" w:sz="8" w:color="auto"/>
            </w:tcBorders>
            <w:shd w:val="clear" w:color="auto" w:fill="CCFFCC"/>
          </w:tcPr>
          <w:p>
            <w:pPr>
              <w:jc w:val="right"/>
              <w:spacing w:after="0" w:line="10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FFCC"/>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auto"/>
            </w:tcBorders>
            <w:shd w:val="clear" w:color="auto" w:fill="CCFFCC"/>
          </w:tcPr>
          <w:p>
            <w:pPr>
              <w:spacing w:after="0"/>
              <w:rPr>
                <w:sz w:val="9"/>
                <w:szCs w:val="9"/>
                <w:color w:val="auto"/>
              </w:rPr>
            </w:pPr>
          </w:p>
        </w:tc>
        <w:tc>
          <w:tcPr>
            <w:tcW w:w="800" w:type="dxa"/>
            <w:vAlign w:val="bottom"/>
            <w:tcBorders>
              <w:top w:val="single" w:sz="8" w:color="auto"/>
            </w:tcBorders>
            <w:shd w:val="clear" w:color="auto" w:fill="CCFFCC"/>
          </w:tcPr>
          <w:p>
            <w:pPr>
              <w:jc w:val="right"/>
              <w:spacing w:after="0" w:line="105" w:lineRule="exact"/>
              <w:rPr>
                <w:sz w:val="20"/>
                <w:szCs w:val="20"/>
                <w:color w:val="auto"/>
              </w:rPr>
            </w:pPr>
            <w:r>
              <w:rPr>
                <w:rFonts w:ascii="Arial" w:cs="Arial" w:eastAsia="Arial" w:hAnsi="Arial"/>
                <w:sz w:val="11"/>
                <w:szCs w:val="11"/>
                <w:color w:val="auto"/>
              </w:rPr>
              <w:t>8,560</w:t>
            </w:r>
          </w:p>
        </w:tc>
        <w:tc>
          <w:tcPr>
            <w:tcW w:w="2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820" w:type="dxa"/>
            <w:vAlign w:val="bottom"/>
            <w:tcBorders>
              <w:top w:val="single" w:sz="8" w:color="auto"/>
            </w:tcBorders>
            <w:shd w:val="clear" w:color="auto" w:fill="CCFFCC"/>
          </w:tcPr>
          <w:p>
            <w:pPr>
              <w:jc w:val="right"/>
              <w:spacing w:after="0" w:line="10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820" w:type="dxa"/>
            <w:vAlign w:val="bottom"/>
            <w:tcBorders>
              <w:top w:val="single" w:sz="8" w:color="auto"/>
            </w:tcBorders>
            <w:shd w:val="clear" w:color="auto" w:fill="CCFFCC"/>
          </w:tcPr>
          <w:p>
            <w:pPr>
              <w:jc w:val="right"/>
              <w:spacing w:after="0" w:line="105" w:lineRule="exact"/>
              <w:rPr>
                <w:sz w:val="20"/>
                <w:szCs w:val="20"/>
                <w:color w:val="auto"/>
              </w:rPr>
            </w:pPr>
            <w:r>
              <w:rPr>
                <w:rFonts w:ascii="Arial" w:cs="Arial" w:eastAsia="Arial" w:hAnsi="Arial"/>
                <w:sz w:val="11"/>
                <w:szCs w:val="11"/>
                <w:color w:val="auto"/>
              </w:rPr>
              <w:t>56,233</w:t>
            </w:r>
          </w:p>
        </w:tc>
        <w:tc>
          <w:tcPr>
            <w:tcW w:w="120" w:type="dxa"/>
            <w:vAlign w:val="bottom"/>
            <w:tcBorders>
              <w:top w:val="single" w:sz="8" w:color="CCFFCC"/>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60" w:type="dxa"/>
            <w:vAlign w:val="bottom"/>
            <w:tcBorders>
              <w:top w:val="single" w:sz="8" w:color="auto"/>
            </w:tcBorders>
            <w:shd w:val="clear" w:color="auto" w:fill="CCFFCC"/>
          </w:tcPr>
          <w:p>
            <w:pPr>
              <w:spacing w:after="0"/>
              <w:rPr>
                <w:sz w:val="9"/>
                <w:szCs w:val="9"/>
                <w:color w:val="auto"/>
              </w:rPr>
            </w:pPr>
          </w:p>
        </w:tc>
        <w:tc>
          <w:tcPr>
            <w:tcW w:w="620" w:type="dxa"/>
            <w:vAlign w:val="bottom"/>
            <w:tcBorders>
              <w:top w:val="single" w:sz="8" w:color="auto"/>
            </w:tcBorders>
            <w:shd w:val="clear" w:color="auto" w:fill="CCFFCC"/>
          </w:tcPr>
          <w:p>
            <w:pPr>
              <w:jc w:val="right"/>
              <w:spacing w:after="0" w:line="105" w:lineRule="exact"/>
              <w:rPr>
                <w:sz w:val="20"/>
                <w:szCs w:val="20"/>
                <w:color w:val="auto"/>
              </w:rPr>
            </w:pPr>
            <w:r>
              <w:rPr>
                <w:rFonts w:ascii="Arial" w:cs="Arial" w:eastAsia="Arial" w:hAnsi="Arial"/>
                <w:sz w:val="11"/>
                <w:szCs w:val="11"/>
                <w:color w:val="auto"/>
              </w:rPr>
              <w:t>142,433</w:t>
            </w:r>
          </w:p>
        </w:tc>
        <w:tc>
          <w:tcPr>
            <w:tcW w:w="120" w:type="dxa"/>
            <w:vAlign w:val="bottom"/>
            <w:tcBorders>
              <w:top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60" w:type="dxa"/>
            <w:vAlign w:val="bottom"/>
          </w:tcPr>
          <w:p>
            <w:pPr>
              <w:ind w:left="120"/>
              <w:spacing w:after="0" w:line="113" w:lineRule="exact"/>
              <w:rPr>
                <w:sz w:val="20"/>
                <w:szCs w:val="20"/>
                <w:color w:val="auto"/>
              </w:rPr>
            </w:pPr>
            <w:r>
              <w:rPr>
                <w:rFonts w:ascii="Arial" w:cs="Arial" w:eastAsia="Arial" w:hAnsi="Arial"/>
                <w:sz w:val="11"/>
                <w:szCs w:val="11"/>
                <w:color w:val="auto"/>
              </w:rPr>
              <w:t>Partners' capital contributions</w:t>
            </w:r>
          </w:p>
        </w:tc>
        <w:tc>
          <w:tcPr>
            <w:tcW w:w="100" w:type="dxa"/>
            <w:vAlign w:val="bottom"/>
          </w:tcPr>
          <w:p>
            <w:pPr>
              <w:spacing w:after="0"/>
              <w:rPr>
                <w:sz w:val="9"/>
                <w:szCs w:val="9"/>
                <w:color w:val="auto"/>
              </w:rPr>
            </w:pPr>
          </w:p>
        </w:tc>
        <w:tc>
          <w:tcPr>
            <w:tcW w:w="640" w:type="dxa"/>
            <w:vAlign w:val="bottom"/>
            <w:gridSpan w:val="2"/>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24,852</w:t>
            </w:r>
          </w:p>
        </w:tc>
        <w:tc>
          <w:tcPr>
            <w:tcW w:w="8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tcPr>
          <w:p>
            <w:pPr>
              <w:jc w:val="right"/>
              <w:ind w:right="78"/>
              <w:spacing w:after="0" w:line="11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24,852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60" w:type="dxa"/>
            <w:vAlign w:val="bottom"/>
            <w:shd w:val="clear" w:color="auto" w:fill="CCFFCC"/>
          </w:tcPr>
          <w:p>
            <w:pPr>
              <w:ind w:left="120"/>
              <w:spacing w:after="0" w:line="113" w:lineRule="exact"/>
              <w:rPr>
                <w:sz w:val="20"/>
                <w:szCs w:val="20"/>
                <w:color w:val="auto"/>
              </w:rPr>
            </w:pPr>
            <w:r>
              <w:rPr>
                <w:rFonts w:ascii="Arial" w:cs="Arial" w:eastAsia="Arial" w:hAnsi="Arial"/>
                <w:sz w:val="11"/>
                <w:szCs w:val="11"/>
                <w:color w:val="auto"/>
              </w:rPr>
              <w:t>Distribution to partners</w:t>
            </w:r>
          </w:p>
        </w:tc>
        <w:tc>
          <w:tcPr>
            <w:tcW w:w="100" w:type="dxa"/>
            <w:vAlign w:val="bottom"/>
            <w:shd w:val="clear" w:color="auto" w:fill="CCFFCC"/>
          </w:tcPr>
          <w:p>
            <w:pPr>
              <w:spacing w:after="0"/>
              <w:rPr>
                <w:sz w:val="9"/>
                <w:szCs w:val="9"/>
                <w:color w:val="auto"/>
              </w:rPr>
            </w:pPr>
          </w:p>
        </w:tc>
        <w:tc>
          <w:tcPr>
            <w:tcW w:w="640" w:type="dxa"/>
            <w:vAlign w:val="bottom"/>
            <w:gridSpan w:val="2"/>
            <w:shd w:val="clear" w:color="auto" w:fill="CCFFCC"/>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gridSpan w:val="2"/>
            <w:shd w:val="clear" w:color="auto" w:fill="CCFFCC"/>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9"/>
                <w:szCs w:val="9"/>
                <w:color w:val="auto"/>
              </w:rPr>
            </w:pPr>
          </w:p>
        </w:tc>
        <w:tc>
          <w:tcPr>
            <w:tcW w:w="700" w:type="dxa"/>
            <w:vAlign w:val="bottom"/>
            <w:gridSpan w:val="2"/>
            <w:shd w:val="clear" w:color="auto" w:fill="CCFFCC"/>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9"/>
                <w:szCs w:val="9"/>
                <w:color w:val="auto"/>
              </w:rPr>
            </w:pPr>
          </w:p>
        </w:tc>
        <w:tc>
          <w:tcPr>
            <w:tcW w:w="700" w:type="dxa"/>
            <w:vAlign w:val="bottom"/>
            <w:gridSpan w:val="2"/>
            <w:shd w:val="clear" w:color="auto" w:fill="CCFFCC"/>
          </w:tcPr>
          <w:p>
            <w:pPr>
              <w:jc w:val="right"/>
              <w:ind w:right="100"/>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40" w:type="dxa"/>
            <w:vAlign w:val="bottom"/>
            <w:gridSpan w:val="2"/>
            <w:shd w:val="clear" w:color="auto" w:fill="CCFFCC"/>
          </w:tcPr>
          <w:p>
            <w:pPr>
              <w:jc w:val="right"/>
              <w:ind w:right="200"/>
              <w:spacing w:after="0" w:line="113" w:lineRule="exact"/>
              <w:rPr>
                <w:sz w:val="20"/>
                <w:szCs w:val="20"/>
                <w:color w:val="auto"/>
              </w:rPr>
            </w:pPr>
            <w:r>
              <w:rPr>
                <w:rFonts w:ascii="Arial" w:cs="Arial" w:eastAsia="Arial" w:hAnsi="Arial"/>
                <w:sz w:val="11"/>
                <w:szCs w:val="11"/>
                <w:color w:val="auto"/>
              </w:rPr>
              <w:t>(5,186)</w:t>
            </w:r>
          </w:p>
        </w:tc>
        <w:tc>
          <w:tcPr>
            <w:tcW w:w="80" w:type="dxa"/>
            <w:vAlign w:val="bottom"/>
            <w:shd w:val="clear" w:color="auto" w:fill="CCFFCC"/>
          </w:tcPr>
          <w:p>
            <w:pPr>
              <w:spacing w:after="0"/>
              <w:rPr>
                <w:sz w:val="9"/>
                <w:szCs w:val="9"/>
                <w:color w:val="auto"/>
              </w:rPr>
            </w:pPr>
          </w:p>
        </w:tc>
        <w:tc>
          <w:tcPr>
            <w:tcW w:w="940" w:type="dxa"/>
            <w:vAlign w:val="bottom"/>
            <w:gridSpan w:val="2"/>
            <w:shd w:val="clear" w:color="auto" w:fill="CCFFCC"/>
          </w:tcPr>
          <w:p>
            <w:pPr>
              <w:jc w:val="right"/>
              <w:ind w:right="38"/>
              <w:spacing w:after="0" w:line="113" w:lineRule="exact"/>
              <w:rPr>
                <w:sz w:val="20"/>
                <w:szCs w:val="20"/>
                <w:color w:val="auto"/>
              </w:rPr>
            </w:pPr>
            <w:r>
              <w:rPr>
                <w:rFonts w:ascii="Arial" w:cs="Arial" w:eastAsia="Arial" w:hAnsi="Arial"/>
                <w:sz w:val="11"/>
                <w:szCs w:val="11"/>
                <w:color w:val="auto"/>
              </w:rPr>
              <w:t>(2,235)</w:t>
            </w: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940" w:type="dxa"/>
            <w:vAlign w:val="bottom"/>
            <w:gridSpan w:val="2"/>
            <w:shd w:val="clear" w:color="auto" w:fill="CCFFCC"/>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740" w:type="dxa"/>
            <w:vAlign w:val="bottom"/>
            <w:gridSpan w:val="2"/>
            <w:shd w:val="clear" w:color="auto" w:fill="CCFFCC"/>
          </w:tcPr>
          <w:p>
            <w:pPr>
              <w:jc w:val="right"/>
              <w:ind w:right="80"/>
              <w:spacing w:after="0" w:line="113" w:lineRule="exact"/>
              <w:rPr>
                <w:sz w:val="20"/>
                <w:szCs w:val="20"/>
                <w:color w:val="auto"/>
              </w:rPr>
            </w:pPr>
            <w:r>
              <w:rPr>
                <w:rFonts w:ascii="Arial" w:cs="Arial" w:eastAsia="Arial" w:hAnsi="Arial"/>
                <w:sz w:val="11"/>
                <w:szCs w:val="11"/>
                <w:color w:val="auto"/>
              </w:rPr>
              <w:t>(7,421)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60" w:type="dxa"/>
            <w:vAlign w:val="bottom"/>
          </w:tcPr>
          <w:p>
            <w:pPr>
              <w:ind w:left="120"/>
              <w:spacing w:after="0" w:line="113" w:lineRule="exact"/>
              <w:rPr>
                <w:sz w:val="20"/>
                <w:szCs w:val="20"/>
                <w:color w:val="auto"/>
              </w:rPr>
            </w:pPr>
            <w:r>
              <w:rPr>
                <w:rFonts w:ascii="Arial" w:cs="Arial" w:eastAsia="Arial" w:hAnsi="Arial"/>
                <w:sz w:val="11"/>
                <w:szCs w:val="11"/>
                <w:color w:val="auto"/>
              </w:rPr>
              <w:t>Formation transactions</w:t>
            </w:r>
          </w:p>
        </w:tc>
        <w:tc>
          <w:tcPr>
            <w:tcW w:w="100" w:type="dxa"/>
            <w:vAlign w:val="bottom"/>
          </w:tcPr>
          <w:p>
            <w:pPr>
              <w:spacing w:after="0"/>
              <w:rPr>
                <w:sz w:val="9"/>
                <w:szCs w:val="9"/>
                <w:color w:val="auto"/>
              </w:rPr>
            </w:pPr>
          </w:p>
        </w:tc>
        <w:tc>
          <w:tcPr>
            <w:tcW w:w="640" w:type="dxa"/>
            <w:vAlign w:val="bottom"/>
            <w:gridSpan w:val="2"/>
          </w:tcPr>
          <w:p>
            <w:pPr>
              <w:jc w:val="right"/>
              <w:ind w:right="100"/>
              <w:spacing w:after="0" w:line="113" w:lineRule="exact"/>
              <w:rPr>
                <w:sz w:val="20"/>
                <w:szCs w:val="20"/>
                <w:color w:val="auto"/>
              </w:rPr>
            </w:pPr>
            <w:r>
              <w:rPr>
                <w:rFonts w:ascii="Arial" w:cs="Arial" w:eastAsia="Arial" w:hAnsi="Arial"/>
                <w:sz w:val="11"/>
                <w:szCs w:val="11"/>
                <w:color w:val="auto"/>
              </w:rPr>
              <w:t>(282)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180"/>
              <w:spacing w:after="0" w:line="113" w:lineRule="exact"/>
              <w:rPr>
                <w:sz w:val="20"/>
                <w:szCs w:val="20"/>
                <w:color w:val="auto"/>
              </w:rPr>
            </w:pPr>
            <w:r>
              <w:rPr>
                <w:rFonts w:ascii="Arial" w:cs="Arial" w:eastAsia="Arial" w:hAnsi="Arial"/>
                <w:sz w:val="11"/>
                <w:szCs w:val="11"/>
                <w:color w:val="auto"/>
              </w:rPr>
              <w:t>(102,210)</w:t>
            </w:r>
          </w:p>
        </w:tc>
        <w:tc>
          <w:tcPr>
            <w:tcW w:w="8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8,974,420</w:t>
            </w:r>
          </w:p>
        </w:tc>
        <w:tc>
          <w:tcPr>
            <w:tcW w:w="100" w:type="dxa"/>
            <w:vAlign w:val="bottom"/>
          </w:tcPr>
          <w:p>
            <w:pPr>
              <w:spacing w:after="0"/>
              <w:rPr>
                <w:sz w:val="9"/>
                <w:szCs w:val="9"/>
                <w:color w:val="auto"/>
              </w:rPr>
            </w:pPr>
          </w:p>
        </w:tc>
        <w:tc>
          <w:tcPr>
            <w:tcW w:w="700" w:type="dxa"/>
            <w:vAlign w:val="bottom"/>
            <w:gridSpan w:val="2"/>
          </w:tcPr>
          <w:p>
            <w:pPr>
              <w:jc w:val="right"/>
              <w:ind w:right="240"/>
              <w:spacing w:after="0" w:line="113" w:lineRule="exact"/>
              <w:rPr>
                <w:sz w:val="20"/>
                <w:szCs w:val="20"/>
                <w:color w:val="auto"/>
              </w:rPr>
            </w:pPr>
            <w:r>
              <w:rPr>
                <w:rFonts w:ascii="Arial" w:cs="Arial" w:eastAsia="Arial" w:hAnsi="Arial"/>
                <w:sz w:val="11"/>
                <w:szCs w:val="11"/>
                <w:color w:val="auto"/>
              </w:rPr>
              <w:t>90</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13" w:lineRule="exact"/>
              <w:rPr>
                <w:sz w:val="20"/>
                <w:szCs w:val="20"/>
                <w:color w:val="auto"/>
              </w:rPr>
            </w:pPr>
            <w:r>
              <w:rPr>
                <w:rFonts w:ascii="Arial" w:cs="Arial" w:eastAsia="Arial" w:hAnsi="Arial"/>
                <w:sz w:val="11"/>
                <w:szCs w:val="11"/>
                <w:color w:val="auto"/>
              </w:rPr>
              <w:t>114,198</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tcPr>
          <w:p>
            <w:pPr>
              <w:jc w:val="right"/>
              <w:ind w:right="78"/>
              <w:spacing w:after="0" w:line="11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11,796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60" w:type="dxa"/>
            <w:vAlign w:val="bottom"/>
            <w:shd w:val="clear" w:color="auto" w:fill="CCFFCC"/>
          </w:tcPr>
          <w:p>
            <w:pPr>
              <w:ind w:left="120"/>
              <w:spacing w:after="0" w:line="113" w:lineRule="exact"/>
              <w:rPr>
                <w:sz w:val="20"/>
                <w:szCs w:val="20"/>
                <w:color w:val="auto"/>
              </w:rPr>
            </w:pPr>
            <w:r>
              <w:rPr>
                <w:rFonts w:ascii="Arial" w:cs="Arial" w:eastAsia="Arial" w:hAnsi="Arial"/>
                <w:sz w:val="11"/>
                <w:szCs w:val="11"/>
                <w:color w:val="auto"/>
              </w:rPr>
              <w:t>Public offering of common stock</w:t>
            </w:r>
          </w:p>
        </w:tc>
        <w:tc>
          <w:tcPr>
            <w:tcW w:w="100" w:type="dxa"/>
            <w:vAlign w:val="bottom"/>
            <w:shd w:val="clear" w:color="auto" w:fill="CCFFCC"/>
          </w:tcPr>
          <w:p>
            <w:pPr>
              <w:spacing w:after="0"/>
              <w:rPr>
                <w:sz w:val="9"/>
                <w:szCs w:val="9"/>
                <w:color w:val="auto"/>
              </w:rPr>
            </w:pPr>
          </w:p>
        </w:tc>
        <w:tc>
          <w:tcPr>
            <w:tcW w:w="640" w:type="dxa"/>
            <w:vAlign w:val="bottom"/>
            <w:gridSpan w:val="2"/>
            <w:shd w:val="clear" w:color="auto" w:fill="CCFFCC"/>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gridSpan w:val="2"/>
            <w:shd w:val="clear" w:color="auto" w:fill="CCFFCC"/>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220"/>
              <w:spacing w:after="0" w:line="113" w:lineRule="exact"/>
              <w:rPr>
                <w:sz w:val="20"/>
                <w:szCs w:val="20"/>
                <w:color w:val="auto"/>
              </w:rPr>
            </w:pPr>
            <w:r>
              <w:rPr>
                <w:rFonts w:ascii="Arial" w:cs="Arial" w:eastAsia="Arial" w:hAnsi="Arial"/>
                <w:sz w:val="11"/>
                <w:szCs w:val="11"/>
                <w:color w:val="auto"/>
              </w:rPr>
              <w:t>4,000,000</w:t>
            </w:r>
          </w:p>
        </w:tc>
        <w:tc>
          <w:tcPr>
            <w:tcW w:w="100" w:type="dxa"/>
            <w:vAlign w:val="bottom"/>
            <w:shd w:val="clear" w:color="auto" w:fill="CCFFCC"/>
          </w:tcPr>
          <w:p>
            <w:pPr>
              <w:spacing w:after="0"/>
              <w:rPr>
                <w:sz w:val="9"/>
                <w:szCs w:val="9"/>
                <w:color w:val="auto"/>
              </w:rPr>
            </w:pPr>
          </w:p>
        </w:tc>
        <w:tc>
          <w:tcPr>
            <w:tcW w:w="700" w:type="dxa"/>
            <w:vAlign w:val="bottom"/>
            <w:gridSpan w:val="2"/>
            <w:shd w:val="clear" w:color="auto" w:fill="CCFFCC"/>
          </w:tcPr>
          <w:p>
            <w:pPr>
              <w:jc w:val="right"/>
              <w:ind w:right="240"/>
              <w:spacing w:after="0" w:line="113" w:lineRule="exact"/>
              <w:rPr>
                <w:sz w:val="20"/>
                <w:szCs w:val="20"/>
                <w:color w:val="auto"/>
              </w:rPr>
            </w:pPr>
            <w:r>
              <w:rPr>
                <w:rFonts w:ascii="Arial" w:cs="Arial" w:eastAsia="Arial" w:hAnsi="Arial"/>
                <w:sz w:val="11"/>
                <w:szCs w:val="11"/>
                <w:color w:val="auto"/>
              </w:rPr>
              <w:t>40</w:t>
            </w:r>
          </w:p>
        </w:tc>
        <w:tc>
          <w:tcPr>
            <w:tcW w:w="80" w:type="dxa"/>
            <w:vAlign w:val="bottom"/>
            <w:shd w:val="clear" w:color="auto" w:fill="CCFFCC"/>
          </w:tcPr>
          <w:p>
            <w:pPr>
              <w:spacing w:after="0"/>
              <w:rPr>
                <w:sz w:val="9"/>
                <w:szCs w:val="9"/>
                <w:color w:val="auto"/>
              </w:rPr>
            </w:pPr>
          </w:p>
        </w:tc>
        <w:tc>
          <w:tcPr>
            <w:tcW w:w="700" w:type="dxa"/>
            <w:vAlign w:val="bottom"/>
            <w:gridSpan w:val="2"/>
            <w:shd w:val="clear" w:color="auto" w:fill="CCFFCC"/>
          </w:tcPr>
          <w:p>
            <w:pPr>
              <w:jc w:val="right"/>
              <w:ind w:right="100"/>
              <w:spacing w:after="0" w:line="113" w:lineRule="exact"/>
              <w:rPr>
                <w:sz w:val="20"/>
                <w:szCs w:val="20"/>
                <w:color w:val="auto"/>
              </w:rPr>
            </w:pPr>
            <w:r>
              <w:rPr>
                <w:rFonts w:ascii="Arial" w:cs="Arial" w:eastAsia="Arial" w:hAnsi="Arial"/>
                <w:sz w:val="11"/>
                <w:szCs w:val="11"/>
                <w:color w:val="auto"/>
              </w:rPr>
              <w:t>74,210</w:t>
            </w: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40" w:type="dxa"/>
            <w:vAlign w:val="bottom"/>
            <w:gridSpan w:val="2"/>
            <w:shd w:val="clear" w:color="auto" w:fill="CCFFCC"/>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9"/>
                <w:szCs w:val="9"/>
                <w:color w:val="auto"/>
              </w:rPr>
            </w:pPr>
          </w:p>
        </w:tc>
        <w:tc>
          <w:tcPr>
            <w:tcW w:w="940" w:type="dxa"/>
            <w:vAlign w:val="bottom"/>
            <w:gridSpan w:val="2"/>
            <w:shd w:val="clear" w:color="auto" w:fill="CCFFCC"/>
          </w:tcPr>
          <w:p>
            <w:pPr>
              <w:jc w:val="right"/>
              <w:ind w:right="78"/>
              <w:spacing w:after="0" w:line="113"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940" w:type="dxa"/>
            <w:vAlign w:val="bottom"/>
            <w:gridSpan w:val="2"/>
            <w:shd w:val="clear" w:color="auto" w:fill="CCFFCC"/>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740" w:type="dxa"/>
            <w:vAlign w:val="bottom"/>
            <w:gridSpan w:val="2"/>
            <w:shd w:val="clear" w:color="auto" w:fill="CCFFCC"/>
          </w:tcPr>
          <w:p>
            <w:pPr>
              <w:jc w:val="right"/>
              <w:ind w:right="120"/>
              <w:spacing w:after="0" w:line="113" w:lineRule="exact"/>
              <w:rPr>
                <w:sz w:val="20"/>
                <w:szCs w:val="20"/>
                <w:color w:val="auto"/>
              </w:rPr>
            </w:pPr>
            <w:r>
              <w:rPr>
                <w:rFonts w:ascii="Arial" w:cs="Arial" w:eastAsia="Arial" w:hAnsi="Arial"/>
                <w:sz w:val="11"/>
                <w:szCs w:val="11"/>
                <w:color w:val="auto"/>
              </w:rPr>
              <w:t>74,250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60" w:type="dxa"/>
            <w:vAlign w:val="bottom"/>
          </w:tcPr>
          <w:p>
            <w:pPr>
              <w:ind w:left="120"/>
              <w:spacing w:after="0" w:line="113" w:lineRule="exact"/>
              <w:rPr>
                <w:sz w:val="20"/>
                <w:szCs w:val="20"/>
                <w:color w:val="auto"/>
              </w:rPr>
            </w:pPr>
            <w:r>
              <w:rPr>
                <w:rFonts w:ascii="Arial" w:cs="Arial" w:eastAsia="Arial" w:hAnsi="Arial"/>
                <w:sz w:val="11"/>
                <w:szCs w:val="11"/>
                <w:color w:val="auto"/>
              </w:rPr>
              <w:t>Net investment income</w:t>
            </w:r>
          </w:p>
        </w:tc>
        <w:tc>
          <w:tcPr>
            <w:tcW w:w="100" w:type="dxa"/>
            <w:vAlign w:val="bottom"/>
          </w:tcPr>
          <w:p>
            <w:pPr>
              <w:spacing w:after="0"/>
              <w:rPr>
                <w:sz w:val="9"/>
                <w:szCs w:val="9"/>
                <w:color w:val="auto"/>
              </w:rPr>
            </w:pPr>
          </w:p>
        </w:tc>
        <w:tc>
          <w:tcPr>
            <w:tcW w:w="640" w:type="dxa"/>
            <w:vAlign w:val="bottom"/>
            <w:gridSpan w:val="2"/>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13" w:lineRule="exact"/>
              <w:rPr>
                <w:sz w:val="20"/>
                <w:szCs w:val="20"/>
                <w:color w:val="auto"/>
              </w:rPr>
            </w:pPr>
            <w:r>
              <w:rPr>
                <w:rFonts w:ascii="Arial" w:cs="Arial" w:eastAsia="Arial" w:hAnsi="Arial"/>
                <w:sz w:val="11"/>
                <w:szCs w:val="11"/>
                <w:color w:val="auto"/>
              </w:rPr>
              <w:t>19,484</w:t>
            </w:r>
          </w:p>
        </w:tc>
        <w:tc>
          <w:tcPr>
            <w:tcW w:w="80" w:type="dxa"/>
            <w:vAlign w:val="bottom"/>
          </w:tcPr>
          <w:p>
            <w:pPr>
              <w:spacing w:after="0"/>
              <w:rPr>
                <w:sz w:val="9"/>
                <w:szCs w:val="9"/>
                <w:color w:val="auto"/>
              </w:rPr>
            </w:pPr>
          </w:p>
        </w:tc>
        <w:tc>
          <w:tcPr>
            <w:tcW w:w="940" w:type="dxa"/>
            <w:vAlign w:val="bottom"/>
            <w:gridSpan w:val="2"/>
          </w:tcPr>
          <w:p>
            <w:pPr>
              <w:jc w:val="right"/>
              <w:ind w:right="78"/>
              <w:spacing w:after="0" w:line="11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19,484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640" w:type="dxa"/>
            <w:vAlign w:val="bottom"/>
            <w:gridSpan w:val="2"/>
            <w:shd w:val="clear" w:color="auto" w:fill="CCFFCC"/>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gridSpan w:val="2"/>
            <w:shd w:val="clear" w:color="auto" w:fill="CCFFCC"/>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9"/>
                <w:szCs w:val="9"/>
                <w:color w:val="auto"/>
              </w:rPr>
            </w:pPr>
          </w:p>
        </w:tc>
        <w:tc>
          <w:tcPr>
            <w:tcW w:w="700" w:type="dxa"/>
            <w:vAlign w:val="bottom"/>
            <w:gridSpan w:val="2"/>
            <w:shd w:val="clear" w:color="auto" w:fill="CCFFCC"/>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9"/>
                <w:szCs w:val="9"/>
                <w:color w:val="auto"/>
              </w:rPr>
            </w:pPr>
          </w:p>
        </w:tc>
        <w:tc>
          <w:tcPr>
            <w:tcW w:w="700" w:type="dxa"/>
            <w:vAlign w:val="bottom"/>
            <w:gridSpan w:val="2"/>
            <w:shd w:val="clear" w:color="auto" w:fill="CCFFCC"/>
          </w:tcPr>
          <w:p>
            <w:pPr>
              <w:jc w:val="right"/>
              <w:ind w:right="100"/>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40" w:type="dxa"/>
            <w:vAlign w:val="bottom"/>
            <w:gridSpan w:val="2"/>
            <w:shd w:val="clear" w:color="auto" w:fill="CCFFCC"/>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9"/>
                <w:szCs w:val="9"/>
                <w:color w:val="auto"/>
              </w:rPr>
            </w:pPr>
          </w:p>
        </w:tc>
        <w:tc>
          <w:tcPr>
            <w:tcW w:w="940" w:type="dxa"/>
            <w:vAlign w:val="bottom"/>
            <w:gridSpan w:val="2"/>
            <w:shd w:val="clear" w:color="auto" w:fill="CCFFCC"/>
          </w:tcPr>
          <w:p>
            <w:pPr>
              <w:jc w:val="right"/>
              <w:ind w:right="78"/>
              <w:spacing w:after="0" w:line="113"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940" w:type="dxa"/>
            <w:vAlign w:val="bottom"/>
            <w:gridSpan w:val="2"/>
            <w:shd w:val="clear" w:color="auto" w:fill="CCFFCC"/>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740" w:type="dxa"/>
            <w:vAlign w:val="bottom"/>
            <w:gridSpan w:val="2"/>
            <w:shd w:val="clear" w:color="auto" w:fill="CCFFCC"/>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60" w:type="dxa"/>
            <w:vAlign w:val="bottom"/>
          </w:tcPr>
          <w:p>
            <w:pPr>
              <w:ind w:left="120"/>
              <w:spacing w:after="0" w:line="113" w:lineRule="exact"/>
              <w:rPr>
                <w:sz w:val="20"/>
                <w:szCs w:val="20"/>
                <w:color w:val="auto"/>
              </w:rPr>
            </w:pPr>
            <w:r>
              <w:rPr>
                <w:rFonts w:ascii="Arial" w:cs="Arial" w:eastAsia="Arial" w:hAnsi="Arial"/>
                <w:sz w:val="11"/>
                <w:szCs w:val="11"/>
                <w:color w:val="auto"/>
              </w:rPr>
              <w:t>Net realized gain on portfolio investments</w:t>
            </w:r>
          </w:p>
        </w:tc>
        <w:tc>
          <w:tcPr>
            <w:tcW w:w="100" w:type="dxa"/>
            <w:vAlign w:val="bottom"/>
          </w:tcPr>
          <w:p>
            <w:pPr>
              <w:spacing w:after="0"/>
              <w:rPr>
                <w:sz w:val="9"/>
                <w:szCs w:val="9"/>
                <w:color w:val="auto"/>
              </w:rPr>
            </w:pPr>
          </w:p>
        </w:tc>
        <w:tc>
          <w:tcPr>
            <w:tcW w:w="640" w:type="dxa"/>
            <w:vAlign w:val="bottom"/>
            <w:gridSpan w:val="2"/>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tcPr>
          <w:p>
            <w:pPr>
              <w:jc w:val="right"/>
              <w:ind w:right="78"/>
              <w:spacing w:after="0" w:line="113" w:lineRule="exact"/>
              <w:rPr>
                <w:sz w:val="20"/>
                <w:szCs w:val="20"/>
                <w:color w:val="auto"/>
              </w:rPr>
            </w:pPr>
            <w:r>
              <w:rPr>
                <w:rFonts w:ascii="Arial" w:cs="Arial" w:eastAsia="Arial" w:hAnsi="Arial"/>
                <w:sz w:val="11"/>
                <w:szCs w:val="11"/>
                <w:color w:val="auto"/>
              </w:rPr>
              <w:t>2,187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rPr>
              <w:t>2,187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60" w:type="dxa"/>
            <w:vAlign w:val="bottom"/>
            <w:shd w:val="clear" w:color="auto" w:fill="CCFFCC"/>
          </w:tcPr>
          <w:p>
            <w:pPr>
              <w:ind w:left="120"/>
              <w:spacing w:after="0" w:line="113" w:lineRule="exact"/>
              <w:rPr>
                <w:sz w:val="20"/>
                <w:szCs w:val="20"/>
                <w:color w:val="auto"/>
              </w:rPr>
            </w:pPr>
            <w:r>
              <w:rPr>
                <w:rFonts w:ascii="Arial" w:cs="Arial" w:eastAsia="Arial" w:hAnsi="Arial"/>
                <w:sz w:val="11"/>
                <w:szCs w:val="11"/>
                <w:color w:val="auto"/>
                <w:w w:val="92"/>
              </w:rPr>
              <w:t>Net change in unrealized appreciation on portfolio investments</w:t>
            </w:r>
          </w:p>
        </w:tc>
        <w:tc>
          <w:tcPr>
            <w:tcW w:w="100" w:type="dxa"/>
            <w:vAlign w:val="bottom"/>
            <w:shd w:val="clear" w:color="auto" w:fill="CCFFCC"/>
          </w:tcPr>
          <w:p>
            <w:pPr>
              <w:spacing w:after="0"/>
              <w:rPr>
                <w:sz w:val="9"/>
                <w:szCs w:val="9"/>
                <w:color w:val="auto"/>
              </w:rPr>
            </w:pPr>
          </w:p>
        </w:tc>
        <w:tc>
          <w:tcPr>
            <w:tcW w:w="640" w:type="dxa"/>
            <w:vAlign w:val="bottom"/>
            <w:gridSpan w:val="2"/>
            <w:shd w:val="clear" w:color="auto" w:fill="CCFFCC"/>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gridSpan w:val="2"/>
            <w:shd w:val="clear" w:color="auto" w:fill="CCFFCC"/>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9"/>
                <w:szCs w:val="9"/>
                <w:color w:val="auto"/>
              </w:rPr>
            </w:pPr>
          </w:p>
        </w:tc>
        <w:tc>
          <w:tcPr>
            <w:tcW w:w="700" w:type="dxa"/>
            <w:vAlign w:val="bottom"/>
            <w:gridSpan w:val="2"/>
            <w:shd w:val="clear" w:color="auto" w:fill="CCFFCC"/>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9"/>
                <w:szCs w:val="9"/>
                <w:color w:val="auto"/>
              </w:rPr>
            </w:pPr>
          </w:p>
        </w:tc>
        <w:tc>
          <w:tcPr>
            <w:tcW w:w="700" w:type="dxa"/>
            <w:vAlign w:val="bottom"/>
            <w:gridSpan w:val="2"/>
            <w:shd w:val="clear" w:color="auto" w:fill="CCFFCC"/>
          </w:tcPr>
          <w:p>
            <w:pPr>
              <w:jc w:val="right"/>
              <w:ind w:right="100"/>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40" w:type="dxa"/>
            <w:vAlign w:val="bottom"/>
            <w:gridSpan w:val="2"/>
            <w:shd w:val="clear" w:color="auto" w:fill="CCFFCC"/>
          </w:tcPr>
          <w:p>
            <w:pPr>
              <w:jc w:val="right"/>
              <w:ind w:right="240"/>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9"/>
                <w:szCs w:val="9"/>
                <w:color w:val="auto"/>
              </w:rPr>
            </w:pPr>
          </w:p>
        </w:tc>
        <w:tc>
          <w:tcPr>
            <w:tcW w:w="940" w:type="dxa"/>
            <w:vAlign w:val="bottom"/>
            <w:gridSpan w:val="2"/>
            <w:shd w:val="clear" w:color="auto" w:fill="CCFFCC"/>
          </w:tcPr>
          <w:p>
            <w:pPr>
              <w:jc w:val="right"/>
              <w:ind w:right="78"/>
              <w:spacing w:after="0" w:line="113"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940" w:type="dxa"/>
            <w:vAlign w:val="bottom"/>
            <w:gridSpan w:val="2"/>
            <w:shd w:val="clear" w:color="auto" w:fill="CCFFCC"/>
          </w:tcPr>
          <w:p>
            <w:pPr>
              <w:jc w:val="right"/>
              <w:ind w:right="120"/>
              <w:spacing w:after="0" w:line="113" w:lineRule="exact"/>
              <w:rPr>
                <w:sz w:val="20"/>
                <w:szCs w:val="20"/>
                <w:color w:val="auto"/>
              </w:rPr>
            </w:pPr>
            <w:r>
              <w:rPr>
                <w:rFonts w:ascii="Arial" w:cs="Arial" w:eastAsia="Arial" w:hAnsi="Arial"/>
                <w:sz w:val="11"/>
                <w:szCs w:val="11"/>
                <w:color w:val="auto"/>
              </w:rPr>
              <w:t>7,187</w:t>
            </w: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740" w:type="dxa"/>
            <w:vAlign w:val="bottom"/>
            <w:gridSpan w:val="2"/>
            <w:shd w:val="clear" w:color="auto" w:fill="CCFFCC"/>
          </w:tcPr>
          <w:p>
            <w:pPr>
              <w:jc w:val="right"/>
              <w:ind w:right="120"/>
              <w:spacing w:after="0" w:line="113" w:lineRule="exact"/>
              <w:rPr>
                <w:sz w:val="20"/>
                <w:szCs w:val="20"/>
                <w:color w:val="auto"/>
              </w:rPr>
            </w:pPr>
            <w:r>
              <w:rPr>
                <w:rFonts w:ascii="Arial" w:cs="Arial" w:eastAsia="Arial" w:hAnsi="Arial"/>
                <w:sz w:val="11"/>
                <w:szCs w:val="11"/>
                <w:color w:val="auto"/>
              </w:rPr>
              <w:t>7,187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960" w:type="dxa"/>
            <w:vAlign w:val="bottom"/>
          </w:tcPr>
          <w:p>
            <w:pPr>
              <w:ind w:left="120"/>
              <w:spacing w:after="0" w:line="125" w:lineRule="exact"/>
              <w:rPr>
                <w:sz w:val="20"/>
                <w:szCs w:val="20"/>
                <w:color w:val="auto"/>
              </w:rPr>
            </w:pPr>
            <w:r>
              <w:rPr>
                <w:rFonts w:ascii="Arial" w:cs="Arial" w:eastAsia="Arial" w:hAnsi="Arial"/>
                <w:sz w:val="11"/>
                <w:szCs w:val="11"/>
                <w:color w:val="auto"/>
              </w:rPr>
              <w:t>Dividends declared from net investment income</w:t>
            </w: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20"/>
              <w:spacing w:after="0" w:line="125"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2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auto"/>
              </w:rPr>
              <w:t>(6,098)</w:t>
            </w:r>
          </w:p>
        </w:tc>
        <w:tc>
          <w:tcPr>
            <w:tcW w:w="80" w:type="dxa"/>
            <w:vAlign w:val="bottom"/>
          </w:tcPr>
          <w:p>
            <w:pPr>
              <w:spacing w:after="0"/>
              <w:rPr>
                <w:sz w:val="10"/>
                <w:szCs w:val="10"/>
                <w:color w:val="auto"/>
              </w:rPr>
            </w:pPr>
          </w:p>
        </w:tc>
        <w:tc>
          <w:tcPr>
            <w:tcW w:w="940" w:type="dxa"/>
            <w:vAlign w:val="bottom"/>
            <w:gridSpan w:val="2"/>
          </w:tcPr>
          <w:p>
            <w:pPr>
              <w:jc w:val="right"/>
              <w:ind w:right="78"/>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(6,098)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60" w:type="dxa"/>
            <w:vAlign w:val="bottom"/>
            <w:tcBorders>
              <w:top w:val="single" w:sz="8" w:color="CCFFCC"/>
              <w:bottom w:val="single" w:sz="8" w:color="CCFFCC"/>
            </w:tcBorders>
            <w:shd w:val="clear" w:color="auto" w:fill="CCFFCC"/>
          </w:tcPr>
          <w:p>
            <w:pPr>
              <w:spacing w:after="0" w:line="116" w:lineRule="exact"/>
              <w:rPr>
                <w:sz w:val="20"/>
                <w:szCs w:val="20"/>
                <w:color w:val="auto"/>
              </w:rPr>
            </w:pPr>
            <w:r>
              <w:rPr>
                <w:rFonts w:ascii="Arial" w:cs="Arial" w:eastAsia="Arial" w:hAnsi="Arial"/>
                <w:sz w:val="11"/>
                <w:szCs w:val="11"/>
                <w:color w:val="auto"/>
              </w:rPr>
              <w:t>BALANCE, December 31, 2013</w:t>
            </w: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CCFFCC"/>
              <w:bottom w:val="single" w:sz="8" w:color="CCFFCC"/>
            </w:tcBorders>
            <w:shd w:val="clear" w:color="auto" w:fill="CCFFCC"/>
          </w:tcPr>
          <w:p>
            <w:pPr>
              <w:spacing w:after="0"/>
              <w:rPr>
                <w:sz w:val="10"/>
                <w:szCs w:val="10"/>
                <w:color w:val="auto"/>
              </w:rPr>
            </w:pPr>
          </w:p>
        </w:tc>
        <w:tc>
          <w:tcPr>
            <w:tcW w:w="100" w:type="dxa"/>
            <w:vAlign w:val="bottom"/>
            <w:tcBorders>
              <w:top w:val="single" w:sz="8" w:color="CCFFCC"/>
              <w:bottom w:val="single" w:sz="8" w:color="CCFFCC"/>
            </w:tcBorders>
            <w:shd w:val="clear" w:color="auto" w:fill="CCFFCC"/>
          </w:tcPr>
          <w:p>
            <w:pPr>
              <w:spacing w:after="0"/>
              <w:rPr>
                <w:sz w:val="10"/>
                <w:szCs w:val="10"/>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1"/>
                <w:szCs w:val="11"/>
                <w:color w:val="auto"/>
              </w:rPr>
              <w:t>-</w:t>
            </w:r>
          </w:p>
        </w:tc>
        <w:tc>
          <w:tcPr>
            <w:tcW w:w="220" w:type="dxa"/>
            <w:vAlign w:val="bottom"/>
            <w:tcBorders>
              <w:top w:val="single" w:sz="8" w:color="CCFFCC"/>
              <w:bottom w:val="single" w:sz="8" w:color="CCFFCC"/>
            </w:tcBorders>
            <w:shd w:val="clear" w:color="auto" w:fill="CCFFCC"/>
          </w:tcPr>
          <w:p>
            <w:pPr>
              <w:spacing w:after="0"/>
              <w:rPr>
                <w:sz w:val="10"/>
                <w:szCs w:val="10"/>
                <w:color w:val="auto"/>
              </w:rPr>
            </w:pPr>
          </w:p>
        </w:tc>
        <w:tc>
          <w:tcPr>
            <w:tcW w:w="600" w:type="dxa"/>
            <w:vAlign w:val="bottom"/>
            <w:tcBorders>
              <w:top w:val="single" w:sz="8" w:color="auto"/>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1"/>
                <w:szCs w:val="11"/>
                <w:color w:val="auto"/>
              </w:rPr>
              <w:t>12,974,420</w:t>
            </w:r>
          </w:p>
        </w:tc>
        <w:tc>
          <w:tcPr>
            <w:tcW w:w="220" w:type="dxa"/>
            <w:vAlign w:val="bottom"/>
            <w:tcBorders>
              <w:top w:val="single" w:sz="8" w:color="CCFFCC"/>
              <w:bottom w:val="single" w:sz="8" w:color="CCFFCC"/>
            </w:tcBorders>
            <w:shd w:val="clear" w:color="auto" w:fill="CCFFCC"/>
          </w:tcPr>
          <w:p>
            <w:pPr>
              <w:spacing w:after="0"/>
              <w:rPr>
                <w:sz w:val="10"/>
                <w:szCs w:val="10"/>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1"/>
                <w:szCs w:val="11"/>
                <w:color w:val="auto"/>
              </w:rPr>
              <w:t>130</w:t>
            </w:r>
          </w:p>
        </w:tc>
        <w:tc>
          <w:tcPr>
            <w:tcW w:w="240" w:type="dxa"/>
            <w:vAlign w:val="bottom"/>
            <w:tcBorders>
              <w:top w:val="single" w:sz="8" w:color="CCFFCC"/>
              <w:bottom w:val="single" w:sz="8" w:color="CCFFCC"/>
            </w:tcBorders>
            <w:shd w:val="clear" w:color="auto" w:fill="CCFFCC"/>
          </w:tcPr>
          <w:p>
            <w:pPr>
              <w:spacing w:after="0"/>
              <w:rPr>
                <w:sz w:val="10"/>
                <w:szCs w:val="10"/>
                <w:color w:val="auto"/>
              </w:rPr>
            </w:pPr>
          </w:p>
        </w:tc>
        <w:tc>
          <w:tcPr>
            <w:tcW w:w="80" w:type="dxa"/>
            <w:vAlign w:val="bottom"/>
            <w:tcBorders>
              <w:top w:val="single" w:sz="8" w:color="auto"/>
              <w:bottom w:val="single" w:sz="8" w:color="auto"/>
            </w:tcBorders>
            <w:shd w:val="clear" w:color="auto" w:fill="CCFFCC"/>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1"/>
                <w:szCs w:val="11"/>
                <w:color w:val="auto"/>
              </w:rPr>
              <w:t>188,408</w:t>
            </w:r>
          </w:p>
        </w:tc>
        <w:tc>
          <w:tcPr>
            <w:tcW w:w="100" w:type="dxa"/>
            <w:vAlign w:val="bottom"/>
            <w:tcBorders>
              <w:top w:val="single" w:sz="8" w:color="CCFFCC"/>
              <w:bottom w:val="single" w:sz="8" w:color="CCFFCC"/>
            </w:tcBorders>
            <w:shd w:val="clear" w:color="auto" w:fill="CCFFCC"/>
          </w:tcPr>
          <w:p>
            <w:pPr>
              <w:spacing w:after="0"/>
              <w:rPr>
                <w:sz w:val="10"/>
                <w:szCs w:val="10"/>
                <w:color w:val="auto"/>
              </w:rPr>
            </w:pPr>
          </w:p>
        </w:tc>
        <w:tc>
          <w:tcPr>
            <w:tcW w:w="120" w:type="dxa"/>
            <w:vAlign w:val="bottom"/>
            <w:tcBorders>
              <w:top w:val="single" w:sz="8" w:color="CCFFCC"/>
              <w:bottom w:val="single" w:sz="8" w:color="CCFFCC"/>
            </w:tcBorders>
            <w:shd w:val="clear" w:color="auto" w:fill="CCFFCC"/>
          </w:tcPr>
          <w:p>
            <w:pPr>
              <w:spacing w:after="0"/>
              <w:rPr>
                <w:sz w:val="10"/>
                <w:szCs w:val="10"/>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1"/>
                <w:szCs w:val="11"/>
                <w:color w:val="auto"/>
              </w:rPr>
              <w:t>16,760</w:t>
            </w:r>
          </w:p>
        </w:tc>
        <w:tc>
          <w:tcPr>
            <w:tcW w:w="240" w:type="dxa"/>
            <w:vAlign w:val="bottom"/>
            <w:tcBorders>
              <w:top w:val="single" w:sz="8" w:color="CCFFCC"/>
              <w:bottom w:val="single" w:sz="8" w:color="CCFFCC"/>
            </w:tcBorders>
            <w:shd w:val="clear" w:color="auto" w:fill="CCFFCC"/>
          </w:tcPr>
          <w:p>
            <w:pPr>
              <w:spacing w:after="0"/>
              <w:rPr>
                <w:sz w:val="10"/>
                <w:szCs w:val="10"/>
                <w:color w:val="auto"/>
              </w:rPr>
            </w:pPr>
          </w:p>
        </w:tc>
        <w:tc>
          <w:tcPr>
            <w:tcW w:w="8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5"/>
                <w:szCs w:val="5"/>
                <w:color w:val="auto"/>
                <w:w w:val="70"/>
              </w:rPr>
              <w:t>$</w:t>
            </w:r>
          </w:p>
        </w:tc>
        <w:tc>
          <w:tcPr>
            <w:tcW w:w="820" w:type="dxa"/>
            <w:vAlign w:val="bottom"/>
            <w:tcBorders>
              <w:top w:val="single" w:sz="8" w:color="auto"/>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1"/>
                <w:szCs w:val="11"/>
                <w:color w:val="auto"/>
              </w:rPr>
              <w:t>(48</w:t>
            </w:r>
          </w:p>
        </w:tc>
        <w:tc>
          <w:tcPr>
            <w:tcW w:w="120" w:type="dxa"/>
            <w:vAlign w:val="bottom"/>
            <w:tcBorders>
              <w:top w:val="single" w:sz="8" w:color="CCFFCC"/>
              <w:bottom w:val="single" w:sz="8" w:color="CCFFCC"/>
            </w:tcBorders>
            <w:shd w:val="clear" w:color="auto" w:fill="CCFFCC"/>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FFCC"/>
              <w:bottom w:val="single" w:sz="8" w:color="CCFFCC"/>
            </w:tcBorders>
            <w:shd w:val="clear" w:color="auto" w:fill="CCFFCC"/>
          </w:tcPr>
          <w:p>
            <w:pPr>
              <w:spacing w:after="0"/>
              <w:rPr>
                <w:sz w:val="10"/>
                <w:szCs w:val="10"/>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1"/>
                <w:szCs w:val="11"/>
                <w:color w:val="auto"/>
              </w:rPr>
              <w:t>63,420</w:t>
            </w:r>
          </w:p>
        </w:tc>
        <w:tc>
          <w:tcPr>
            <w:tcW w:w="120" w:type="dxa"/>
            <w:vAlign w:val="bottom"/>
            <w:tcBorders>
              <w:top w:val="single" w:sz="8" w:color="CCFFCC"/>
              <w:bottom w:val="single" w:sz="8" w:color="CCFFCC"/>
            </w:tcBorders>
            <w:shd w:val="clear" w:color="auto" w:fill="CCFFCC"/>
          </w:tcPr>
          <w:p>
            <w:pPr>
              <w:spacing w:after="0"/>
              <w:rPr>
                <w:sz w:val="10"/>
                <w:szCs w:val="10"/>
                <w:color w:val="auto"/>
              </w:rPr>
            </w:pPr>
          </w:p>
        </w:tc>
        <w:tc>
          <w:tcPr>
            <w:tcW w:w="120" w:type="dxa"/>
            <w:vAlign w:val="bottom"/>
            <w:tcBorders>
              <w:top w:val="single" w:sz="8" w:color="CCFFCC"/>
              <w:bottom w:val="single" w:sz="8" w:color="CCFFCC"/>
            </w:tcBorders>
            <w:shd w:val="clear" w:color="auto" w:fill="CCFFCC"/>
          </w:tcPr>
          <w:p>
            <w:pPr>
              <w:spacing w:after="0"/>
              <w:rPr>
                <w:sz w:val="10"/>
                <w:szCs w:val="10"/>
                <w:color w:val="auto"/>
              </w:rPr>
            </w:pPr>
          </w:p>
        </w:tc>
        <w:tc>
          <w:tcPr>
            <w:tcW w:w="160" w:type="dxa"/>
            <w:vAlign w:val="bottom"/>
            <w:tcBorders>
              <w:top w:val="single" w:sz="8" w:color="auto"/>
              <w:bottom w:val="single" w:sz="8" w:color="auto"/>
            </w:tcBorders>
            <w:shd w:val="clear" w:color="auto" w:fill="CCFFCC"/>
          </w:tcPr>
          <w:p>
            <w:pPr>
              <w:jc w:val="right"/>
              <w:ind w:right="94"/>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1"/>
                <w:szCs w:val="11"/>
                <w:color w:val="auto"/>
              </w:rPr>
              <w:t>268,670</w:t>
            </w:r>
          </w:p>
        </w:tc>
        <w:tc>
          <w:tcPr>
            <w:tcW w:w="120" w:type="dxa"/>
            <w:vAlign w:val="bottom"/>
            <w:tcBorders>
              <w:top w:val="single" w:sz="8" w:color="CCFFCC"/>
              <w:bottom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81" w:right="2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7020" w:type="dxa"/>
            <w:vAlign w:val="bottom"/>
          </w:tcPr>
          <w:p>
            <w:pPr>
              <w:jc w:val="center"/>
              <w:ind w:left="4285"/>
              <w:spacing w:after="0"/>
              <w:rPr>
                <w:sz w:val="20"/>
                <w:szCs w:val="20"/>
                <w:color w:val="auto"/>
              </w:rPr>
            </w:pPr>
            <w:r>
              <w:rPr>
                <w:rFonts w:ascii="Arial" w:cs="Arial" w:eastAsia="Arial" w:hAnsi="Arial"/>
                <w:sz w:val="15"/>
                <w:szCs w:val="15"/>
                <w:b w:val="1"/>
                <w:bCs w:val="1"/>
                <w:color w:val="auto"/>
                <w:w w:val="92"/>
              </w:rPr>
              <w:t>Capitala Finance Corp.</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7020" w:type="dxa"/>
            <w:vAlign w:val="bottom"/>
          </w:tcPr>
          <w:p>
            <w:pPr>
              <w:jc w:val="center"/>
              <w:ind w:left="4285"/>
              <w:spacing w:after="0"/>
              <w:rPr>
                <w:sz w:val="20"/>
                <w:szCs w:val="20"/>
                <w:color w:val="auto"/>
              </w:rPr>
            </w:pPr>
            <w:r>
              <w:rPr>
                <w:rFonts w:ascii="Arial" w:cs="Arial" w:eastAsia="Arial" w:hAnsi="Arial"/>
                <w:sz w:val="15"/>
                <w:szCs w:val="15"/>
                <w:b w:val="1"/>
                <w:bCs w:val="1"/>
                <w:color w:val="auto"/>
                <w:w w:val="88"/>
              </w:rPr>
              <w:t>Consolidated Statements of Cash Flows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20" w:type="dxa"/>
            <w:vAlign w:val="bottom"/>
          </w:tcPr>
          <w:p>
            <w:pPr>
              <w:jc w:val="center"/>
              <w:ind w:left="4305"/>
              <w:spacing w:after="0"/>
              <w:rPr>
                <w:sz w:val="20"/>
                <w:szCs w:val="20"/>
                <w:color w:val="auto"/>
              </w:rPr>
            </w:pPr>
            <w:r>
              <w:rPr>
                <w:rFonts w:ascii="Arial" w:cs="Arial" w:eastAsia="Arial" w:hAnsi="Arial"/>
                <w:sz w:val="15"/>
                <w:szCs w:val="15"/>
                <w:b w:val="1"/>
                <w:bCs w:val="1"/>
                <w:color w:val="auto"/>
                <w:w w:val="88"/>
              </w:rPr>
              <w:t>(in thousands)</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jc w:val="center"/>
              <w:ind w:left="665"/>
              <w:spacing w:after="0"/>
              <w:rPr>
                <w:sz w:val="20"/>
                <w:szCs w:val="20"/>
                <w:color w:val="auto"/>
              </w:rPr>
            </w:pPr>
            <w:r>
              <w:rPr>
                <w:rFonts w:ascii="Arial" w:cs="Arial" w:eastAsia="Arial" w:hAnsi="Arial"/>
                <w:sz w:val="15"/>
                <w:szCs w:val="15"/>
                <w:b w:val="1"/>
                <w:bCs w:val="1"/>
                <w:color w:val="auto"/>
                <w:w w:val="90"/>
              </w:rPr>
              <w:t>For the year ended December 31</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5"/>
              <w:spacing w:after="0"/>
              <w:rPr>
                <w:sz w:val="20"/>
                <w:szCs w:val="20"/>
                <w:color w:val="auto"/>
              </w:rPr>
            </w:pPr>
            <w:r>
              <w:rPr>
                <w:rFonts w:ascii="Arial" w:cs="Arial" w:eastAsia="Arial" w:hAnsi="Arial"/>
                <w:sz w:val="15"/>
                <w:szCs w:val="15"/>
                <w:b w:val="1"/>
                <w:bCs w:val="1"/>
                <w:color w:val="auto"/>
                <w:w w:val="89"/>
              </w:rPr>
              <w:t>2012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85"/>
              <w:spacing w:after="0"/>
              <w:rPr>
                <w:sz w:val="20"/>
                <w:szCs w:val="20"/>
                <w:color w:val="auto"/>
              </w:rPr>
            </w:pPr>
            <w:r>
              <w:rPr>
                <w:rFonts w:ascii="Arial" w:cs="Arial" w:eastAsia="Arial" w:hAnsi="Arial"/>
                <w:sz w:val="15"/>
                <w:szCs w:val="15"/>
                <w:b w:val="1"/>
                <w:bCs w:val="1"/>
                <w:color w:val="auto"/>
                <w:w w:val="89"/>
              </w:rPr>
              <w:t>(combined)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Arial" w:cs="Arial" w:eastAsia="Arial" w:hAnsi="Arial"/>
                <w:sz w:val="15"/>
                <w:szCs w:val="15"/>
                <w:b w:val="1"/>
                <w:bCs w:val="1"/>
                <w:color w:val="auto"/>
                <w:w w:val="91"/>
              </w:rPr>
              <w:t>(combined)</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6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tcPr>
          <w:p>
            <w:pPr>
              <w:ind w:left="120"/>
              <w:spacing w:after="0"/>
              <w:rPr>
                <w:sz w:val="20"/>
                <w:szCs w:val="20"/>
                <w:color w:val="auto"/>
              </w:rPr>
            </w:pPr>
            <w:r>
              <w:rPr>
                <w:rFonts w:ascii="Arial" w:cs="Arial" w:eastAsia="Arial" w:hAnsi="Arial"/>
                <w:sz w:val="15"/>
                <w:szCs w:val="15"/>
                <w:color w:val="auto"/>
              </w:rPr>
              <w:t>Net increase in net assets resulting from operations</w:t>
            </w:r>
          </w:p>
        </w:tc>
        <w:tc>
          <w:tcPr>
            <w:tcW w:w="340" w:type="dxa"/>
            <w:vAlign w:val="bottom"/>
            <w:gridSpan w:val="2"/>
          </w:tcPr>
          <w:p>
            <w:pPr>
              <w:jc w:val="right"/>
              <w:ind w:right="125"/>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5"/>
              <w:spacing w:after="0"/>
              <w:rPr>
                <w:sz w:val="20"/>
                <w:szCs w:val="20"/>
                <w:color w:val="auto"/>
              </w:rPr>
            </w:pPr>
            <w:r>
              <w:rPr>
                <w:rFonts w:ascii="Arial" w:cs="Arial" w:eastAsia="Arial" w:hAnsi="Arial"/>
                <w:sz w:val="15"/>
                <w:szCs w:val="15"/>
                <w:color w:val="auto"/>
              </w:rPr>
              <w:t>28,858</w:t>
            </w:r>
          </w:p>
        </w:tc>
        <w:tc>
          <w:tcPr>
            <w:tcW w:w="26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65"/>
              <w:spacing w:after="0"/>
              <w:rPr>
                <w:sz w:val="20"/>
                <w:szCs w:val="20"/>
                <w:color w:val="auto"/>
              </w:rPr>
            </w:pPr>
            <w:r>
              <w:rPr>
                <w:rFonts w:ascii="Arial" w:cs="Arial" w:eastAsia="Arial" w:hAnsi="Arial"/>
                <w:sz w:val="15"/>
                <w:szCs w:val="15"/>
                <w:color w:val="auto"/>
              </w:rPr>
              <w:t>49,570</w:t>
            </w:r>
          </w:p>
        </w:tc>
        <w:tc>
          <w:tcPr>
            <w:tcW w:w="320" w:type="dxa"/>
            <w:vAlign w:val="bottom"/>
            <w:gridSpan w:val="2"/>
          </w:tcPr>
          <w:p>
            <w:pPr>
              <w:jc w:val="right"/>
              <w:ind w:right="85"/>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ind w:right="82"/>
              <w:spacing w:after="0"/>
              <w:rPr>
                <w:sz w:val="20"/>
                <w:szCs w:val="20"/>
                <w:color w:val="auto"/>
              </w:rPr>
            </w:pPr>
            <w:r>
              <w:rPr>
                <w:rFonts w:ascii="Arial" w:cs="Arial" w:eastAsia="Arial" w:hAnsi="Arial"/>
                <w:sz w:val="15"/>
                <w:szCs w:val="15"/>
                <w:color w:val="auto"/>
              </w:rPr>
              <w:t>25,337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20" w:type="dxa"/>
            <w:vAlign w:val="bottom"/>
            <w:shd w:val="clear" w:color="auto" w:fill="CCFFCC"/>
          </w:tcPr>
          <w:p>
            <w:pPr>
              <w:ind w:left="120"/>
              <w:spacing w:after="0" w:line="171" w:lineRule="exact"/>
              <w:rPr>
                <w:sz w:val="20"/>
                <w:szCs w:val="20"/>
                <w:color w:val="auto"/>
              </w:rPr>
            </w:pPr>
            <w:r>
              <w:rPr>
                <w:rFonts w:ascii="Arial" w:cs="Arial" w:eastAsia="Arial" w:hAnsi="Arial"/>
                <w:sz w:val="15"/>
                <w:szCs w:val="15"/>
                <w:color w:val="auto"/>
                <w:w w:val="97"/>
              </w:rPr>
              <w:t>Adjustments to reconcile net increase in net assets resulting from operations to net cash used in operating</w:t>
            </w:r>
          </w:p>
        </w:tc>
        <w:tc>
          <w:tcPr>
            <w:tcW w:w="60" w:type="dxa"/>
            <w:vAlign w:val="bottom"/>
            <w:shd w:val="clear" w:color="auto" w:fill="CCFFCC"/>
          </w:tcPr>
          <w:p>
            <w:pPr>
              <w:spacing w:after="0"/>
              <w:rPr>
                <w:sz w:val="14"/>
                <w:szCs w:val="14"/>
                <w:color w:val="auto"/>
              </w:rPr>
            </w:pPr>
          </w:p>
        </w:tc>
        <w:tc>
          <w:tcPr>
            <w:tcW w:w="28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0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02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20" w:type="dxa"/>
            <w:vAlign w:val="bottom"/>
            <w:shd w:val="clear" w:color="auto" w:fill="CCFFCC"/>
          </w:tcPr>
          <w:p>
            <w:pPr>
              <w:ind w:left="260"/>
              <w:spacing w:after="0"/>
              <w:rPr>
                <w:sz w:val="20"/>
                <w:szCs w:val="20"/>
                <w:color w:val="auto"/>
              </w:rPr>
            </w:pPr>
            <w:r>
              <w:rPr>
                <w:rFonts w:ascii="Arial" w:cs="Arial" w:eastAsia="Arial" w:hAnsi="Arial"/>
                <w:sz w:val="15"/>
                <w:szCs w:val="15"/>
                <w:color w:val="auto"/>
              </w:rPr>
              <w:t>activities:</w:t>
            </w:r>
          </w:p>
        </w:tc>
        <w:tc>
          <w:tcPr>
            <w:tcW w:w="6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0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020" w:type="dxa"/>
            <w:vAlign w:val="bottom"/>
            <w:shd w:val="clear" w:color="auto" w:fill="CCFFCC"/>
          </w:tcPr>
          <w:p>
            <w:pPr>
              <w:spacing w:after="0"/>
              <w:rPr>
                <w:sz w:val="16"/>
                <w:szCs w:val="16"/>
                <w:color w:val="auto"/>
              </w:rPr>
            </w:pP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tcPr>
          <w:p>
            <w:pPr>
              <w:ind w:left="240"/>
              <w:spacing w:after="0"/>
              <w:rPr>
                <w:sz w:val="20"/>
                <w:szCs w:val="20"/>
                <w:color w:val="auto"/>
              </w:rPr>
            </w:pPr>
            <w:r>
              <w:rPr>
                <w:rFonts w:ascii="Arial" w:cs="Arial" w:eastAsia="Arial" w:hAnsi="Arial"/>
                <w:sz w:val="15"/>
                <w:szCs w:val="15"/>
                <w:color w:val="auto"/>
              </w:rPr>
              <w:t>Purchase of portfolio investments</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Arial" w:cs="Arial" w:eastAsia="Arial" w:hAnsi="Arial"/>
                <w:sz w:val="15"/>
                <w:szCs w:val="15"/>
                <w:color w:val="auto"/>
              </w:rPr>
              <w:t>(110,929)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5"/>
              <w:spacing w:after="0"/>
              <w:rPr>
                <w:sz w:val="20"/>
                <w:szCs w:val="20"/>
                <w:color w:val="auto"/>
              </w:rPr>
            </w:pPr>
            <w:r>
              <w:rPr>
                <w:rFonts w:ascii="Arial" w:cs="Arial" w:eastAsia="Arial" w:hAnsi="Arial"/>
                <w:sz w:val="15"/>
                <w:szCs w:val="15"/>
                <w:color w:val="auto"/>
              </w:rPr>
              <w:t>(56,473)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3"/>
          </w:tcPr>
          <w:p>
            <w:pPr>
              <w:jc w:val="right"/>
              <w:ind w:right="22"/>
              <w:spacing w:after="0"/>
              <w:rPr>
                <w:sz w:val="20"/>
                <w:szCs w:val="20"/>
                <w:color w:val="auto"/>
              </w:rPr>
            </w:pPr>
            <w:r>
              <w:rPr>
                <w:rFonts w:ascii="Arial" w:cs="Arial" w:eastAsia="Arial" w:hAnsi="Arial"/>
                <w:sz w:val="15"/>
                <w:szCs w:val="15"/>
                <w:color w:val="auto"/>
              </w:rPr>
              <w:t>(117,243)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shd w:val="clear" w:color="auto" w:fill="CCFFCC"/>
          </w:tcPr>
          <w:p>
            <w:pPr>
              <w:ind w:left="240"/>
              <w:spacing w:after="0"/>
              <w:rPr>
                <w:sz w:val="20"/>
                <w:szCs w:val="20"/>
                <w:color w:val="auto"/>
              </w:rPr>
            </w:pPr>
            <w:r>
              <w:rPr>
                <w:rFonts w:ascii="Arial" w:cs="Arial" w:eastAsia="Arial" w:hAnsi="Arial"/>
                <w:sz w:val="15"/>
                <w:szCs w:val="15"/>
                <w:color w:val="auto"/>
              </w:rPr>
              <w:t>Repayments of portfolio investments</w:t>
            </w:r>
          </w:p>
        </w:tc>
        <w:tc>
          <w:tcPr>
            <w:tcW w:w="6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12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52,755</w:t>
            </w: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2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23,716</w:t>
            </w: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140" w:type="dxa"/>
            <w:vAlign w:val="bottom"/>
            <w:gridSpan w:val="3"/>
            <w:shd w:val="clear" w:color="auto" w:fill="CCFFCC"/>
          </w:tcPr>
          <w:p>
            <w:pPr>
              <w:jc w:val="right"/>
              <w:ind w:right="82"/>
              <w:spacing w:after="0"/>
              <w:rPr>
                <w:sz w:val="20"/>
                <w:szCs w:val="20"/>
                <w:color w:val="auto"/>
              </w:rPr>
            </w:pPr>
            <w:r>
              <w:rPr>
                <w:rFonts w:ascii="Arial" w:cs="Arial" w:eastAsia="Arial" w:hAnsi="Arial"/>
                <w:sz w:val="15"/>
                <w:szCs w:val="15"/>
                <w:color w:val="auto"/>
              </w:rPr>
              <w:t>44,885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tcPr>
          <w:p>
            <w:pPr>
              <w:ind w:left="240"/>
              <w:spacing w:after="0"/>
              <w:rPr>
                <w:sz w:val="20"/>
                <w:szCs w:val="20"/>
                <w:color w:val="auto"/>
              </w:rPr>
            </w:pPr>
            <w:r>
              <w:rPr>
                <w:rFonts w:ascii="Arial" w:cs="Arial" w:eastAsia="Arial" w:hAnsi="Arial"/>
                <w:sz w:val="15"/>
                <w:szCs w:val="15"/>
                <w:color w:val="auto"/>
              </w:rPr>
              <w:t>Net realized gain on portfolio investments</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Arial" w:cs="Arial" w:eastAsia="Arial" w:hAnsi="Arial"/>
                <w:sz w:val="15"/>
                <w:szCs w:val="15"/>
                <w:color w:val="auto"/>
              </w:rPr>
              <w:t>(2,187)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5"/>
              <w:spacing w:after="0"/>
              <w:rPr>
                <w:sz w:val="20"/>
                <w:szCs w:val="20"/>
                <w:color w:val="auto"/>
              </w:rPr>
            </w:pPr>
            <w:r>
              <w:rPr>
                <w:rFonts w:ascii="Arial" w:cs="Arial" w:eastAsia="Arial" w:hAnsi="Arial"/>
                <w:sz w:val="15"/>
                <w:szCs w:val="15"/>
                <w:color w:val="auto"/>
              </w:rPr>
              <w:t>(1,590)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3"/>
          </w:tcPr>
          <w:p>
            <w:pPr>
              <w:jc w:val="right"/>
              <w:ind w:right="22"/>
              <w:spacing w:after="0"/>
              <w:rPr>
                <w:sz w:val="20"/>
                <w:szCs w:val="20"/>
                <w:color w:val="auto"/>
              </w:rPr>
            </w:pPr>
            <w:r>
              <w:rPr>
                <w:rFonts w:ascii="Arial" w:cs="Arial" w:eastAsia="Arial" w:hAnsi="Arial"/>
                <w:sz w:val="15"/>
                <w:szCs w:val="15"/>
                <w:color w:val="auto"/>
              </w:rPr>
              <w:t>(2,963)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shd w:val="clear" w:color="auto" w:fill="CCFFCC"/>
          </w:tcPr>
          <w:p>
            <w:pPr>
              <w:ind w:left="240"/>
              <w:spacing w:after="0"/>
              <w:rPr>
                <w:sz w:val="20"/>
                <w:szCs w:val="20"/>
                <w:color w:val="auto"/>
              </w:rPr>
            </w:pPr>
            <w:r>
              <w:rPr>
                <w:rFonts w:ascii="Arial" w:cs="Arial" w:eastAsia="Arial" w:hAnsi="Arial"/>
                <w:sz w:val="15"/>
                <w:szCs w:val="15"/>
                <w:color w:val="auto"/>
              </w:rPr>
              <w:t>Increase in net unrealized appreciation on portfolio investments</w:t>
            </w:r>
          </w:p>
        </w:tc>
        <w:tc>
          <w:tcPr>
            <w:tcW w:w="6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120" w:type="dxa"/>
            <w:vAlign w:val="bottom"/>
            <w:gridSpan w:val="2"/>
            <w:shd w:val="clear" w:color="auto" w:fill="CCFFCC"/>
          </w:tcPr>
          <w:p>
            <w:pPr>
              <w:jc w:val="right"/>
              <w:ind w:right="5"/>
              <w:spacing w:after="0"/>
              <w:rPr>
                <w:sz w:val="20"/>
                <w:szCs w:val="20"/>
                <w:color w:val="auto"/>
              </w:rPr>
            </w:pPr>
            <w:r>
              <w:rPr>
                <w:rFonts w:ascii="Arial" w:cs="Arial" w:eastAsia="Arial" w:hAnsi="Arial"/>
                <w:sz w:val="15"/>
                <w:szCs w:val="15"/>
                <w:color w:val="auto"/>
              </w:rPr>
              <w:t>(7,187)</w:t>
            </w: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20" w:type="dxa"/>
            <w:vAlign w:val="bottom"/>
            <w:gridSpan w:val="2"/>
            <w:shd w:val="clear" w:color="auto" w:fill="CCFFCC"/>
          </w:tcPr>
          <w:p>
            <w:pPr>
              <w:jc w:val="right"/>
              <w:ind w:right="5"/>
              <w:spacing w:after="0"/>
              <w:rPr>
                <w:sz w:val="20"/>
                <w:szCs w:val="20"/>
                <w:color w:val="auto"/>
              </w:rPr>
            </w:pPr>
            <w:r>
              <w:rPr>
                <w:rFonts w:ascii="Arial" w:cs="Arial" w:eastAsia="Arial" w:hAnsi="Arial"/>
                <w:sz w:val="15"/>
                <w:szCs w:val="15"/>
                <w:color w:val="auto"/>
              </w:rPr>
              <w:t>(35,056)</w:t>
            </w: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140" w:type="dxa"/>
            <w:vAlign w:val="bottom"/>
            <w:gridSpan w:val="3"/>
            <w:shd w:val="clear" w:color="auto" w:fill="CCFFCC"/>
          </w:tcPr>
          <w:p>
            <w:pPr>
              <w:jc w:val="right"/>
              <w:ind w:right="22"/>
              <w:spacing w:after="0"/>
              <w:rPr>
                <w:sz w:val="20"/>
                <w:szCs w:val="20"/>
                <w:color w:val="auto"/>
              </w:rPr>
            </w:pPr>
            <w:r>
              <w:rPr>
                <w:rFonts w:ascii="Arial" w:cs="Arial" w:eastAsia="Arial" w:hAnsi="Arial"/>
                <w:sz w:val="15"/>
                <w:szCs w:val="15"/>
                <w:color w:val="auto"/>
              </w:rPr>
              <w:t>(13,461)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tcPr>
          <w:p>
            <w:pPr>
              <w:ind w:left="240"/>
              <w:spacing w:after="0"/>
              <w:rPr>
                <w:sz w:val="20"/>
                <w:szCs w:val="20"/>
                <w:color w:val="auto"/>
              </w:rPr>
            </w:pPr>
            <w:r>
              <w:rPr>
                <w:rFonts w:ascii="Arial" w:cs="Arial" w:eastAsia="Arial" w:hAnsi="Arial"/>
                <w:sz w:val="15"/>
                <w:szCs w:val="15"/>
                <w:color w:val="auto"/>
              </w:rPr>
              <w:t>Payment-in-kind interest accrued, net of payments received</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Arial" w:cs="Arial" w:eastAsia="Arial" w:hAnsi="Arial"/>
                <w:sz w:val="15"/>
                <w:szCs w:val="15"/>
                <w:color w:val="auto"/>
              </w:rPr>
              <w:t>(1,408)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5"/>
              <w:spacing w:after="0"/>
              <w:rPr>
                <w:sz w:val="20"/>
                <w:szCs w:val="20"/>
                <w:color w:val="auto"/>
              </w:rPr>
            </w:pPr>
            <w:r>
              <w:rPr>
                <w:rFonts w:ascii="Arial" w:cs="Arial" w:eastAsia="Arial" w:hAnsi="Arial"/>
                <w:sz w:val="15"/>
                <w:szCs w:val="15"/>
                <w:color w:val="auto"/>
              </w:rPr>
              <w:t>(1,473)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3"/>
          </w:tcPr>
          <w:p>
            <w:pPr>
              <w:jc w:val="right"/>
              <w:ind w:right="22"/>
              <w:spacing w:after="0"/>
              <w:rPr>
                <w:sz w:val="20"/>
                <w:szCs w:val="20"/>
                <w:color w:val="auto"/>
              </w:rPr>
            </w:pPr>
            <w:r>
              <w:rPr>
                <w:rFonts w:ascii="Arial" w:cs="Arial" w:eastAsia="Arial" w:hAnsi="Arial"/>
                <w:sz w:val="15"/>
                <w:szCs w:val="15"/>
                <w:color w:val="auto"/>
              </w:rPr>
              <w:t>(1,159)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shd w:val="clear" w:color="auto" w:fill="CCFFCC"/>
          </w:tcPr>
          <w:p>
            <w:pPr>
              <w:ind w:left="240"/>
              <w:spacing w:after="0"/>
              <w:rPr>
                <w:sz w:val="20"/>
                <w:szCs w:val="20"/>
                <w:color w:val="auto"/>
              </w:rPr>
            </w:pPr>
            <w:r>
              <w:rPr>
                <w:rFonts w:ascii="Arial" w:cs="Arial" w:eastAsia="Arial" w:hAnsi="Arial"/>
                <w:sz w:val="15"/>
                <w:szCs w:val="15"/>
                <w:color w:val="auto"/>
              </w:rPr>
              <w:t>Accretion of original issue discount on portfolio investments</w:t>
            </w:r>
          </w:p>
        </w:tc>
        <w:tc>
          <w:tcPr>
            <w:tcW w:w="6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120" w:type="dxa"/>
            <w:vAlign w:val="bottom"/>
            <w:gridSpan w:val="2"/>
            <w:shd w:val="clear" w:color="auto" w:fill="CCFFCC"/>
          </w:tcPr>
          <w:p>
            <w:pPr>
              <w:jc w:val="right"/>
              <w:ind w:right="5"/>
              <w:spacing w:after="0"/>
              <w:rPr>
                <w:sz w:val="20"/>
                <w:szCs w:val="20"/>
                <w:color w:val="auto"/>
              </w:rPr>
            </w:pPr>
            <w:r>
              <w:rPr>
                <w:rFonts w:ascii="Arial" w:cs="Arial" w:eastAsia="Arial" w:hAnsi="Arial"/>
                <w:sz w:val="15"/>
                <w:szCs w:val="15"/>
                <w:color w:val="auto"/>
              </w:rPr>
              <w:t>(36)</w:t>
            </w: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20" w:type="dxa"/>
            <w:vAlign w:val="bottom"/>
            <w:gridSpan w:val="2"/>
            <w:shd w:val="clear" w:color="auto" w:fill="CCFFCC"/>
          </w:tcPr>
          <w:p>
            <w:pPr>
              <w:jc w:val="right"/>
              <w:ind w:right="5"/>
              <w:spacing w:after="0"/>
              <w:rPr>
                <w:sz w:val="20"/>
                <w:szCs w:val="20"/>
                <w:color w:val="auto"/>
              </w:rPr>
            </w:pPr>
            <w:r>
              <w:rPr>
                <w:rFonts w:ascii="Arial" w:cs="Arial" w:eastAsia="Arial" w:hAnsi="Arial"/>
                <w:sz w:val="15"/>
                <w:szCs w:val="15"/>
                <w:color w:val="auto"/>
              </w:rPr>
              <w:t>(316)</w:t>
            </w: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140" w:type="dxa"/>
            <w:vAlign w:val="bottom"/>
            <w:gridSpan w:val="3"/>
            <w:shd w:val="clear" w:color="auto" w:fill="CCFFCC"/>
          </w:tcPr>
          <w:p>
            <w:pPr>
              <w:jc w:val="right"/>
              <w:ind w:right="22"/>
              <w:spacing w:after="0"/>
              <w:rPr>
                <w:sz w:val="20"/>
                <w:szCs w:val="20"/>
                <w:color w:val="auto"/>
              </w:rPr>
            </w:pPr>
            <w:r>
              <w:rPr>
                <w:rFonts w:ascii="Arial" w:cs="Arial" w:eastAsia="Arial" w:hAnsi="Arial"/>
                <w:sz w:val="15"/>
                <w:szCs w:val="15"/>
                <w:color w:val="auto"/>
              </w:rPr>
              <w:t>(478)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tcPr>
          <w:p>
            <w:pPr>
              <w:ind w:left="240"/>
              <w:spacing w:after="0"/>
              <w:rPr>
                <w:sz w:val="20"/>
                <w:szCs w:val="20"/>
                <w:color w:val="auto"/>
              </w:rPr>
            </w:pPr>
            <w:r>
              <w:rPr>
                <w:rFonts w:ascii="Arial" w:cs="Arial" w:eastAsia="Arial" w:hAnsi="Arial"/>
                <w:sz w:val="15"/>
                <w:szCs w:val="15"/>
                <w:color w:val="auto"/>
              </w:rPr>
              <w:t>Amortization of deferred financing fees</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Arial" w:cs="Arial" w:eastAsia="Arial" w:hAnsi="Arial"/>
                <w:sz w:val="15"/>
                <w:szCs w:val="15"/>
                <w:color w:val="auto"/>
              </w:rPr>
              <w:t>318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Arial" w:cs="Arial" w:eastAsia="Arial" w:hAnsi="Arial"/>
                <w:sz w:val="15"/>
                <w:szCs w:val="15"/>
                <w:color w:val="auto"/>
              </w:rPr>
              <w:t>634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481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shd w:val="clear" w:color="auto" w:fill="CCFFCC"/>
          </w:tcPr>
          <w:p>
            <w:pPr>
              <w:ind w:left="240"/>
              <w:spacing w:after="0"/>
              <w:rPr>
                <w:sz w:val="20"/>
                <w:szCs w:val="20"/>
                <w:color w:val="auto"/>
              </w:rPr>
            </w:pPr>
            <w:r>
              <w:rPr>
                <w:rFonts w:ascii="Arial" w:cs="Arial" w:eastAsia="Arial" w:hAnsi="Arial"/>
                <w:sz w:val="15"/>
                <w:szCs w:val="15"/>
                <w:color w:val="auto"/>
              </w:rPr>
              <w:t>Changes in assets and liabilities:</w:t>
            </w:r>
          </w:p>
        </w:tc>
        <w:tc>
          <w:tcPr>
            <w:tcW w:w="6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tcPr>
          <w:p>
            <w:pPr>
              <w:ind w:left="380"/>
              <w:spacing w:after="0"/>
              <w:rPr>
                <w:sz w:val="20"/>
                <w:szCs w:val="20"/>
                <w:color w:val="auto"/>
              </w:rPr>
            </w:pPr>
            <w:r>
              <w:rPr>
                <w:rFonts w:ascii="Arial" w:cs="Arial" w:eastAsia="Arial" w:hAnsi="Arial"/>
                <w:sz w:val="15"/>
                <w:szCs w:val="15"/>
                <w:color w:val="auto"/>
              </w:rPr>
              <w:t>Interest and dividend receivable</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Arial" w:cs="Arial" w:eastAsia="Arial" w:hAnsi="Arial"/>
                <w:sz w:val="15"/>
                <w:szCs w:val="15"/>
                <w:color w:val="auto"/>
              </w:rPr>
              <w:t>(1,000)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5"/>
              <w:spacing w:after="0"/>
              <w:rPr>
                <w:sz w:val="20"/>
                <w:szCs w:val="20"/>
                <w:color w:val="auto"/>
              </w:rPr>
            </w:pPr>
            <w:r>
              <w:rPr>
                <w:rFonts w:ascii="Arial" w:cs="Arial" w:eastAsia="Arial" w:hAnsi="Arial"/>
                <w:sz w:val="15"/>
                <w:szCs w:val="15"/>
                <w:color w:val="auto"/>
              </w:rPr>
              <w:t>(558)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3"/>
          </w:tcPr>
          <w:p>
            <w:pPr>
              <w:jc w:val="right"/>
              <w:ind w:right="22"/>
              <w:spacing w:after="0"/>
              <w:rPr>
                <w:sz w:val="20"/>
                <w:szCs w:val="20"/>
                <w:color w:val="auto"/>
              </w:rPr>
            </w:pPr>
            <w:r>
              <w:rPr>
                <w:rFonts w:ascii="Arial" w:cs="Arial" w:eastAsia="Arial" w:hAnsi="Arial"/>
                <w:sz w:val="15"/>
                <w:szCs w:val="15"/>
                <w:color w:val="auto"/>
              </w:rPr>
              <w:t>(612)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shd w:val="clear" w:color="auto" w:fill="CCFFCC"/>
          </w:tcPr>
          <w:p>
            <w:pPr>
              <w:ind w:left="380"/>
              <w:spacing w:after="0"/>
              <w:rPr>
                <w:sz w:val="20"/>
                <w:szCs w:val="20"/>
                <w:color w:val="auto"/>
              </w:rPr>
            </w:pPr>
            <w:r>
              <w:rPr>
                <w:rFonts w:ascii="Arial" w:cs="Arial" w:eastAsia="Arial" w:hAnsi="Arial"/>
                <w:sz w:val="15"/>
                <w:szCs w:val="15"/>
                <w:color w:val="auto"/>
              </w:rPr>
              <w:t>Interest payable</w:t>
            </w:r>
          </w:p>
        </w:tc>
        <w:tc>
          <w:tcPr>
            <w:tcW w:w="6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12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238</w:t>
            </w: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2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647</w:t>
            </w: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931</w:t>
            </w: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tcPr>
          <w:p>
            <w:pPr>
              <w:ind w:left="380"/>
              <w:spacing w:after="0"/>
              <w:rPr>
                <w:sz w:val="20"/>
                <w:szCs w:val="20"/>
                <w:color w:val="auto"/>
              </w:rPr>
            </w:pPr>
            <w:r>
              <w:rPr>
                <w:rFonts w:ascii="Arial" w:cs="Arial" w:eastAsia="Arial" w:hAnsi="Arial"/>
                <w:sz w:val="15"/>
                <w:szCs w:val="15"/>
                <w:color w:val="auto"/>
              </w:rPr>
              <w:t>Incentive fee payable</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shd w:val="clear" w:color="auto" w:fill="CCFFCC"/>
          </w:tcPr>
          <w:p>
            <w:pPr>
              <w:ind w:left="380"/>
              <w:spacing w:after="0"/>
              <w:rPr>
                <w:sz w:val="20"/>
                <w:szCs w:val="20"/>
                <w:color w:val="auto"/>
              </w:rPr>
            </w:pPr>
            <w:r>
              <w:rPr>
                <w:rFonts w:ascii="Arial" w:cs="Arial" w:eastAsia="Arial" w:hAnsi="Arial"/>
                <w:sz w:val="15"/>
                <w:szCs w:val="15"/>
                <w:color w:val="auto"/>
              </w:rPr>
              <w:t>Due from related parties</w:t>
            </w:r>
          </w:p>
        </w:tc>
        <w:tc>
          <w:tcPr>
            <w:tcW w:w="6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120" w:type="dxa"/>
            <w:vAlign w:val="bottom"/>
            <w:gridSpan w:val="2"/>
            <w:shd w:val="clear" w:color="auto" w:fill="CCFFCC"/>
          </w:tcPr>
          <w:p>
            <w:pPr>
              <w:jc w:val="right"/>
              <w:ind w:right="5"/>
              <w:spacing w:after="0"/>
              <w:rPr>
                <w:sz w:val="20"/>
                <w:szCs w:val="20"/>
                <w:color w:val="auto"/>
              </w:rPr>
            </w:pPr>
            <w:r>
              <w:rPr>
                <w:rFonts w:ascii="Arial" w:cs="Arial" w:eastAsia="Arial" w:hAnsi="Arial"/>
                <w:sz w:val="15"/>
                <w:szCs w:val="15"/>
                <w:color w:val="auto"/>
              </w:rPr>
              <w:t>(151)</w:t>
            </w: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2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142</w:t>
            </w: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140" w:type="dxa"/>
            <w:vAlign w:val="bottom"/>
            <w:gridSpan w:val="3"/>
            <w:shd w:val="clear" w:color="auto" w:fill="CCFFCC"/>
          </w:tcPr>
          <w:p>
            <w:pPr>
              <w:jc w:val="right"/>
              <w:ind w:right="22"/>
              <w:spacing w:after="0"/>
              <w:rPr>
                <w:sz w:val="20"/>
                <w:szCs w:val="20"/>
                <w:color w:val="auto"/>
              </w:rPr>
            </w:pPr>
            <w:r>
              <w:rPr>
                <w:rFonts w:ascii="Arial" w:cs="Arial" w:eastAsia="Arial" w:hAnsi="Arial"/>
                <w:sz w:val="15"/>
                <w:szCs w:val="15"/>
                <w:color w:val="auto"/>
              </w:rPr>
              <w:t>(420)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tcPr>
          <w:p>
            <w:pPr>
              <w:ind w:left="380"/>
              <w:spacing w:after="0"/>
              <w:rPr>
                <w:sz w:val="20"/>
                <w:szCs w:val="20"/>
                <w:color w:val="auto"/>
              </w:rPr>
            </w:pPr>
            <w:r>
              <w:rPr>
                <w:rFonts w:ascii="Arial" w:cs="Arial" w:eastAsia="Arial" w:hAnsi="Arial"/>
                <w:sz w:val="15"/>
                <w:szCs w:val="15"/>
                <w:color w:val="auto"/>
              </w:rPr>
              <w:t>Accounts payable and accrued expenses</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5"/>
              <w:spacing w:after="0"/>
              <w:rPr>
                <w:sz w:val="20"/>
                <w:szCs w:val="20"/>
                <w:color w:val="auto"/>
              </w:rPr>
            </w:pPr>
            <w:r>
              <w:rPr>
                <w:rFonts w:ascii="Arial" w:cs="Arial" w:eastAsia="Arial" w:hAnsi="Arial"/>
                <w:sz w:val="15"/>
                <w:szCs w:val="15"/>
                <w:color w:val="auto"/>
              </w:rPr>
              <w:t>(357)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3"/>
          </w:tcPr>
          <w:p>
            <w:pPr>
              <w:jc w:val="right"/>
              <w:ind w:right="22"/>
              <w:spacing w:after="0"/>
              <w:rPr>
                <w:sz w:val="20"/>
                <w:szCs w:val="20"/>
                <w:color w:val="auto"/>
              </w:rPr>
            </w:pPr>
            <w:r>
              <w:rPr>
                <w:rFonts w:ascii="Arial" w:cs="Arial" w:eastAsia="Arial" w:hAnsi="Arial"/>
                <w:sz w:val="15"/>
                <w:szCs w:val="15"/>
                <w:color w:val="auto"/>
              </w:rPr>
              <w:t>(272)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shd w:val="clear" w:color="auto" w:fill="CCFFCC"/>
          </w:tcPr>
          <w:p>
            <w:pPr>
              <w:ind w:left="380"/>
              <w:spacing w:after="0"/>
              <w:rPr>
                <w:sz w:val="20"/>
                <w:szCs w:val="20"/>
                <w:color w:val="auto"/>
              </w:rPr>
            </w:pPr>
            <w:r>
              <w:rPr>
                <w:rFonts w:ascii="Arial" w:cs="Arial" w:eastAsia="Arial" w:hAnsi="Arial"/>
                <w:sz w:val="15"/>
                <w:szCs w:val="15"/>
                <w:color w:val="auto"/>
              </w:rPr>
              <w:t>Due to related parties</w:t>
            </w:r>
          </w:p>
        </w:tc>
        <w:tc>
          <w:tcPr>
            <w:tcW w:w="6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12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956</w:t>
            </w: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20" w:type="dxa"/>
            <w:vAlign w:val="bottom"/>
            <w:gridSpan w:val="2"/>
            <w:shd w:val="clear" w:color="auto" w:fill="CCFFCC"/>
          </w:tcPr>
          <w:p>
            <w:pPr>
              <w:jc w:val="right"/>
              <w:ind w:right="5"/>
              <w:spacing w:after="0"/>
              <w:rPr>
                <w:sz w:val="20"/>
                <w:szCs w:val="20"/>
                <w:color w:val="auto"/>
              </w:rPr>
            </w:pPr>
            <w:r>
              <w:rPr>
                <w:rFonts w:ascii="Arial" w:cs="Arial" w:eastAsia="Arial" w:hAnsi="Arial"/>
                <w:sz w:val="15"/>
                <w:szCs w:val="15"/>
                <w:color w:val="auto"/>
              </w:rPr>
              <w:t>(224)</w:t>
            </w: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140" w:type="dxa"/>
            <w:vAlign w:val="bottom"/>
            <w:gridSpan w:val="3"/>
            <w:shd w:val="clear" w:color="auto" w:fill="CCFFCC"/>
          </w:tcPr>
          <w:p>
            <w:pPr>
              <w:jc w:val="right"/>
              <w:ind w:right="22"/>
              <w:spacing w:after="0"/>
              <w:rPr>
                <w:sz w:val="20"/>
                <w:szCs w:val="20"/>
                <w:color w:val="auto"/>
              </w:rPr>
            </w:pPr>
            <w:r>
              <w:rPr>
                <w:rFonts w:ascii="Arial" w:cs="Arial" w:eastAsia="Arial" w:hAnsi="Arial"/>
                <w:sz w:val="15"/>
                <w:szCs w:val="15"/>
                <w:color w:val="auto"/>
              </w:rPr>
              <w:t>(818)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20" w:type="dxa"/>
            <w:vAlign w:val="bottom"/>
          </w:tcPr>
          <w:p>
            <w:pPr>
              <w:ind w:left="380"/>
              <w:spacing w:after="0"/>
              <w:rPr>
                <w:sz w:val="20"/>
                <w:szCs w:val="20"/>
                <w:color w:val="auto"/>
              </w:rPr>
            </w:pPr>
            <w:r>
              <w:rPr>
                <w:rFonts w:ascii="Arial" w:cs="Arial" w:eastAsia="Arial" w:hAnsi="Arial"/>
                <w:sz w:val="15"/>
                <w:szCs w:val="15"/>
                <w:color w:val="auto"/>
              </w:rPr>
              <w:t>Prepaid expenses</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right"/>
              <w:ind w:right="5"/>
              <w:spacing w:after="0"/>
              <w:rPr>
                <w:sz w:val="20"/>
                <w:szCs w:val="20"/>
                <w:color w:val="auto"/>
              </w:rPr>
            </w:pPr>
            <w:r>
              <w:rPr>
                <w:rFonts w:ascii="Arial" w:cs="Arial" w:eastAsia="Arial" w:hAnsi="Arial"/>
                <w:sz w:val="15"/>
                <w:szCs w:val="15"/>
                <w:color w:val="auto"/>
              </w:rPr>
              <w:t>(654)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040" w:type="dxa"/>
            <w:vAlign w:val="bottom"/>
            <w:gridSpan w:val="2"/>
          </w:tcPr>
          <w:p>
            <w:pPr>
              <w:spacing w:after="0" w:line="171" w:lineRule="exact"/>
              <w:rPr>
                <w:sz w:val="20"/>
                <w:szCs w:val="20"/>
                <w:color w:val="auto"/>
              </w:rPr>
            </w:pPr>
            <w:r>
              <w:rPr>
                <w:rFonts w:ascii="Arial" w:cs="Arial" w:eastAsia="Arial" w:hAnsi="Arial"/>
                <w:sz w:val="15"/>
                <w:szCs w:val="15"/>
                <w:color w:val="auto"/>
              </w:rPr>
              <w:t>NET CASH USED IN OPERATING ACTIVITIES</w:t>
            </w:r>
          </w:p>
        </w:tc>
        <w:tc>
          <w:tcPr>
            <w:tcW w:w="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(38,822</w:t>
            </w:r>
          </w:p>
        </w:tc>
        <w:tc>
          <w:tcPr>
            <w:tcW w:w="140" w:type="dxa"/>
            <w:vAlign w:val="bottom"/>
          </w:tcPr>
          <w:p>
            <w:pPr>
              <w:jc w:val="right"/>
              <w:ind w:right="5"/>
              <w:spacing w:after="0" w:line="171" w:lineRule="exact"/>
              <w:rPr>
                <w:sz w:val="20"/>
                <w:szCs w:val="20"/>
                <w:color w:val="auto"/>
              </w:rPr>
            </w:pPr>
            <w:r>
              <w:rPr>
                <w:rFonts w:ascii="Arial" w:cs="Arial" w:eastAsia="Arial" w:hAnsi="Arial"/>
                <w:sz w:val="15"/>
                <w:szCs w:val="15"/>
                <w:color w:val="auto"/>
                <w:w w:val="79"/>
              </w:rPr>
              <w:t>)</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(21,338</w:t>
            </w:r>
          </w:p>
        </w:tc>
        <w:tc>
          <w:tcPr>
            <w:tcW w:w="140" w:type="dxa"/>
            <w:vAlign w:val="bottom"/>
          </w:tcPr>
          <w:p>
            <w:pPr>
              <w:jc w:val="right"/>
              <w:ind w:right="5"/>
              <w:spacing w:after="0" w:line="171" w:lineRule="exact"/>
              <w:rPr>
                <w:sz w:val="20"/>
                <w:szCs w:val="20"/>
                <w:color w:val="auto"/>
              </w:rPr>
            </w:pPr>
            <w:r>
              <w:rPr>
                <w:rFonts w:ascii="Arial" w:cs="Arial" w:eastAsia="Arial" w:hAnsi="Arial"/>
                <w:sz w:val="15"/>
                <w:szCs w:val="15"/>
                <w:color w:val="auto"/>
                <w:w w:val="79"/>
              </w:rPr>
              <w:t>)</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(65,792</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020" w:type="dxa"/>
            <w:vAlign w:val="bottom"/>
            <w:tcBorders>
              <w:top w:val="single" w:sz="8" w:color="CCFFCC"/>
            </w:tcBorders>
            <w:shd w:val="clear" w:color="auto" w:fill="CCFFCC"/>
          </w:tcPr>
          <w:p>
            <w:pPr>
              <w:spacing w:after="0"/>
              <w:rPr>
                <w:sz w:val="14"/>
                <w:szCs w:val="14"/>
                <w:color w:val="auto"/>
              </w:rPr>
            </w:pPr>
          </w:p>
        </w:tc>
        <w:tc>
          <w:tcPr>
            <w:tcW w:w="60" w:type="dxa"/>
            <w:vAlign w:val="bottom"/>
            <w:tcBorders>
              <w:top w:val="single" w:sz="8" w:color="CCFFCC"/>
            </w:tcBorders>
            <w:shd w:val="clear" w:color="auto" w:fill="CCFFCC"/>
          </w:tcPr>
          <w:p>
            <w:pPr>
              <w:spacing w:after="0"/>
              <w:rPr>
                <w:sz w:val="14"/>
                <w:szCs w:val="14"/>
                <w:color w:val="auto"/>
              </w:rPr>
            </w:pPr>
          </w:p>
        </w:tc>
        <w:tc>
          <w:tcPr>
            <w:tcW w:w="280" w:type="dxa"/>
            <w:vAlign w:val="bottom"/>
            <w:tcBorders>
              <w:top w:val="single" w:sz="8" w:color="auto"/>
            </w:tcBorders>
            <w:shd w:val="clear" w:color="auto" w:fill="CCFFCC"/>
          </w:tcPr>
          <w:p>
            <w:pPr>
              <w:spacing w:after="0"/>
              <w:rPr>
                <w:sz w:val="14"/>
                <w:szCs w:val="14"/>
                <w:color w:val="auto"/>
              </w:rPr>
            </w:pPr>
          </w:p>
        </w:tc>
        <w:tc>
          <w:tcPr>
            <w:tcW w:w="980" w:type="dxa"/>
            <w:vAlign w:val="bottom"/>
            <w:tcBorders>
              <w:top w:val="single" w:sz="8" w:color="auto"/>
            </w:tcBorders>
            <w:shd w:val="clear" w:color="auto" w:fill="CCFFCC"/>
          </w:tcPr>
          <w:p>
            <w:pPr>
              <w:spacing w:after="0"/>
              <w:rPr>
                <w:sz w:val="14"/>
                <w:szCs w:val="14"/>
                <w:color w:val="auto"/>
              </w:rPr>
            </w:pPr>
          </w:p>
        </w:tc>
        <w:tc>
          <w:tcPr>
            <w:tcW w:w="140" w:type="dxa"/>
            <w:vAlign w:val="bottom"/>
            <w:tcBorders>
              <w:top w:val="single" w:sz="8" w:color="CCFFCC"/>
            </w:tcBorders>
            <w:shd w:val="clear" w:color="auto" w:fill="CCFFCC"/>
          </w:tcPr>
          <w:p>
            <w:pPr>
              <w:spacing w:after="0"/>
              <w:rPr>
                <w:sz w:val="14"/>
                <w:szCs w:val="14"/>
                <w:color w:val="auto"/>
              </w:rPr>
            </w:pPr>
          </w:p>
        </w:tc>
        <w:tc>
          <w:tcPr>
            <w:tcW w:w="80" w:type="dxa"/>
            <w:vAlign w:val="bottom"/>
            <w:tcBorders>
              <w:top w:val="single" w:sz="8" w:color="CCFFCC"/>
            </w:tcBorders>
            <w:shd w:val="clear" w:color="auto" w:fill="CCFFCC"/>
          </w:tcPr>
          <w:p>
            <w:pPr>
              <w:spacing w:after="0"/>
              <w:rPr>
                <w:sz w:val="14"/>
                <w:szCs w:val="14"/>
                <w:color w:val="auto"/>
              </w:rPr>
            </w:pPr>
          </w:p>
        </w:tc>
        <w:tc>
          <w:tcPr>
            <w:tcW w:w="180" w:type="dxa"/>
            <w:vAlign w:val="bottom"/>
            <w:tcBorders>
              <w:top w:val="single" w:sz="8" w:color="auto"/>
            </w:tcBorders>
            <w:shd w:val="clear" w:color="auto" w:fill="CCFFCC"/>
          </w:tcPr>
          <w:p>
            <w:pPr>
              <w:spacing w:after="0"/>
              <w:rPr>
                <w:sz w:val="14"/>
                <w:szCs w:val="14"/>
                <w:color w:val="auto"/>
              </w:rPr>
            </w:pPr>
          </w:p>
        </w:tc>
        <w:tc>
          <w:tcPr>
            <w:tcW w:w="1080" w:type="dxa"/>
            <w:vAlign w:val="bottom"/>
            <w:tcBorders>
              <w:top w:val="single" w:sz="8" w:color="auto"/>
            </w:tcBorders>
            <w:shd w:val="clear" w:color="auto" w:fill="CCFFCC"/>
          </w:tcPr>
          <w:p>
            <w:pPr>
              <w:spacing w:after="0"/>
              <w:rPr>
                <w:sz w:val="14"/>
                <w:szCs w:val="14"/>
                <w:color w:val="auto"/>
              </w:rPr>
            </w:pPr>
          </w:p>
        </w:tc>
        <w:tc>
          <w:tcPr>
            <w:tcW w:w="140" w:type="dxa"/>
            <w:vAlign w:val="bottom"/>
            <w:tcBorders>
              <w:top w:val="single" w:sz="8" w:color="CCFFCC"/>
            </w:tcBorders>
            <w:shd w:val="clear" w:color="auto" w:fill="CCFFCC"/>
          </w:tcPr>
          <w:p>
            <w:pPr>
              <w:spacing w:after="0"/>
              <w:rPr>
                <w:sz w:val="14"/>
                <w:szCs w:val="14"/>
                <w:color w:val="auto"/>
              </w:rPr>
            </w:pPr>
          </w:p>
        </w:tc>
        <w:tc>
          <w:tcPr>
            <w:tcW w:w="80" w:type="dxa"/>
            <w:vAlign w:val="bottom"/>
            <w:tcBorders>
              <w:top w:val="single" w:sz="8" w:color="CCFFCC"/>
            </w:tcBorders>
            <w:shd w:val="clear" w:color="auto" w:fill="CCFFCC"/>
          </w:tcPr>
          <w:p>
            <w:pPr>
              <w:spacing w:after="0"/>
              <w:rPr>
                <w:sz w:val="14"/>
                <w:szCs w:val="14"/>
                <w:color w:val="auto"/>
              </w:rPr>
            </w:pPr>
          </w:p>
        </w:tc>
        <w:tc>
          <w:tcPr>
            <w:tcW w:w="240" w:type="dxa"/>
            <w:vAlign w:val="bottom"/>
            <w:tcBorders>
              <w:top w:val="single" w:sz="8" w:color="auto"/>
            </w:tcBorders>
            <w:shd w:val="clear" w:color="auto" w:fill="CCFFCC"/>
          </w:tcPr>
          <w:p>
            <w:pPr>
              <w:spacing w:after="0"/>
              <w:rPr>
                <w:sz w:val="14"/>
                <w:szCs w:val="14"/>
                <w:color w:val="auto"/>
              </w:rPr>
            </w:pPr>
          </w:p>
        </w:tc>
        <w:tc>
          <w:tcPr>
            <w:tcW w:w="1020" w:type="dxa"/>
            <w:vAlign w:val="bottom"/>
            <w:tcBorders>
              <w:top w:val="single" w:sz="8" w:color="auto"/>
            </w:tcBorders>
            <w:shd w:val="clear" w:color="auto" w:fill="CCFFCC"/>
          </w:tcPr>
          <w:p>
            <w:pPr>
              <w:spacing w:after="0"/>
              <w:rPr>
                <w:sz w:val="14"/>
                <w:szCs w:val="14"/>
                <w:color w:val="auto"/>
              </w:rPr>
            </w:pPr>
          </w:p>
        </w:tc>
        <w:tc>
          <w:tcPr>
            <w:tcW w:w="2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02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shd w:val="clear" w:color="auto" w:fill="CCFFCC"/>
          </w:tcPr>
          <w:p>
            <w:pPr>
              <w:ind w:left="100"/>
              <w:spacing w:after="0"/>
              <w:rPr>
                <w:sz w:val="20"/>
                <w:szCs w:val="20"/>
                <w:color w:val="auto"/>
              </w:rPr>
            </w:pPr>
            <w:r>
              <w:rPr>
                <w:rFonts w:ascii="Arial" w:cs="Arial" w:eastAsia="Arial" w:hAnsi="Arial"/>
                <w:sz w:val="15"/>
                <w:szCs w:val="15"/>
                <w:color w:val="auto"/>
              </w:rPr>
              <w:t>Proceeds from issuance of SBA-guaranteed debentures</w:t>
            </w:r>
          </w:p>
        </w:tc>
        <w:tc>
          <w:tcPr>
            <w:tcW w:w="6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12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25,000</w:t>
            </w: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2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35,000</w:t>
            </w: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140" w:type="dxa"/>
            <w:vAlign w:val="bottom"/>
            <w:gridSpan w:val="3"/>
            <w:shd w:val="clear" w:color="auto" w:fill="CCFFCC"/>
          </w:tcPr>
          <w:p>
            <w:pPr>
              <w:jc w:val="right"/>
              <w:ind w:right="82"/>
              <w:spacing w:after="0"/>
              <w:rPr>
                <w:sz w:val="20"/>
                <w:szCs w:val="20"/>
                <w:color w:val="auto"/>
              </w:rPr>
            </w:pPr>
            <w:r>
              <w:rPr>
                <w:rFonts w:ascii="Arial" w:cs="Arial" w:eastAsia="Arial" w:hAnsi="Arial"/>
                <w:sz w:val="15"/>
                <w:szCs w:val="15"/>
                <w:color w:val="auto"/>
              </w:rPr>
              <w:t>72,700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tcPr>
          <w:p>
            <w:pPr>
              <w:ind w:left="100"/>
              <w:spacing w:after="0"/>
              <w:rPr>
                <w:sz w:val="20"/>
                <w:szCs w:val="20"/>
                <w:color w:val="auto"/>
              </w:rPr>
            </w:pPr>
            <w:r>
              <w:rPr>
                <w:rFonts w:ascii="Arial" w:cs="Arial" w:eastAsia="Arial" w:hAnsi="Arial"/>
                <w:sz w:val="15"/>
                <w:szCs w:val="15"/>
                <w:color w:val="auto"/>
              </w:rPr>
              <w:t>Partners' capital contributions</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Arial" w:cs="Arial" w:eastAsia="Arial" w:hAnsi="Arial"/>
                <w:sz w:val="15"/>
                <w:szCs w:val="15"/>
                <w:color w:val="auto"/>
              </w:rPr>
              <w:t>24,852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7,252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3"/>
          </w:tcPr>
          <w:p>
            <w:pPr>
              <w:jc w:val="right"/>
              <w:ind w:right="82"/>
              <w:spacing w:after="0"/>
              <w:rPr>
                <w:sz w:val="20"/>
                <w:szCs w:val="20"/>
                <w:color w:val="auto"/>
              </w:rPr>
            </w:pPr>
            <w:r>
              <w:rPr>
                <w:rFonts w:ascii="Arial" w:cs="Arial" w:eastAsia="Arial" w:hAnsi="Arial"/>
                <w:sz w:val="15"/>
                <w:szCs w:val="15"/>
                <w:color w:val="auto"/>
              </w:rPr>
              <w:t>20,675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shd w:val="clear" w:color="auto" w:fill="CCFFCC"/>
          </w:tcPr>
          <w:p>
            <w:pPr>
              <w:ind w:left="100"/>
              <w:spacing w:after="0"/>
              <w:rPr>
                <w:sz w:val="20"/>
                <w:szCs w:val="20"/>
                <w:color w:val="auto"/>
              </w:rPr>
            </w:pPr>
            <w:r>
              <w:rPr>
                <w:rFonts w:ascii="Arial" w:cs="Arial" w:eastAsia="Arial" w:hAnsi="Arial"/>
                <w:sz w:val="15"/>
                <w:szCs w:val="15"/>
                <w:color w:val="auto"/>
              </w:rPr>
              <w:t>Proceeds from IPO, net of underwriting expense</w:t>
            </w:r>
          </w:p>
        </w:tc>
        <w:tc>
          <w:tcPr>
            <w:tcW w:w="6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12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74,250</w:t>
            </w: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tcPr>
          <w:p>
            <w:pPr>
              <w:ind w:left="100"/>
              <w:spacing w:after="0"/>
              <w:rPr>
                <w:sz w:val="20"/>
                <w:szCs w:val="20"/>
                <w:color w:val="auto"/>
              </w:rPr>
            </w:pPr>
            <w:r>
              <w:rPr>
                <w:rFonts w:ascii="Arial" w:cs="Arial" w:eastAsia="Arial" w:hAnsi="Arial"/>
                <w:sz w:val="15"/>
                <w:szCs w:val="15"/>
                <w:color w:val="auto"/>
              </w:rPr>
              <w:t>Distributions paid</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Arial" w:cs="Arial" w:eastAsia="Arial" w:hAnsi="Arial"/>
                <w:sz w:val="15"/>
                <w:szCs w:val="15"/>
                <w:color w:val="auto"/>
              </w:rPr>
              <w:t>(7,421)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5"/>
              <w:spacing w:after="0"/>
              <w:rPr>
                <w:sz w:val="20"/>
                <w:szCs w:val="20"/>
                <w:color w:val="auto"/>
              </w:rPr>
            </w:pPr>
            <w:r>
              <w:rPr>
                <w:rFonts w:ascii="Arial" w:cs="Arial" w:eastAsia="Arial" w:hAnsi="Arial"/>
                <w:sz w:val="15"/>
                <w:szCs w:val="15"/>
                <w:color w:val="auto"/>
              </w:rPr>
              <w:t>(13,779)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3"/>
          </w:tcPr>
          <w:p>
            <w:pPr>
              <w:jc w:val="right"/>
              <w:ind w:right="22"/>
              <w:spacing w:after="0"/>
              <w:rPr>
                <w:sz w:val="20"/>
                <w:szCs w:val="20"/>
                <w:color w:val="auto"/>
              </w:rPr>
            </w:pPr>
            <w:r>
              <w:rPr>
                <w:rFonts w:ascii="Arial" w:cs="Arial" w:eastAsia="Arial" w:hAnsi="Arial"/>
                <w:sz w:val="15"/>
                <w:szCs w:val="15"/>
                <w:color w:val="auto"/>
              </w:rPr>
              <w:t>(5,142)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shd w:val="clear" w:color="auto" w:fill="CCFFCC"/>
          </w:tcPr>
          <w:p>
            <w:pPr>
              <w:ind w:left="100"/>
              <w:spacing w:after="0"/>
              <w:rPr>
                <w:sz w:val="20"/>
                <w:szCs w:val="20"/>
                <w:color w:val="auto"/>
              </w:rPr>
            </w:pPr>
            <w:r>
              <w:rPr>
                <w:rFonts w:ascii="Arial" w:cs="Arial" w:eastAsia="Arial" w:hAnsi="Arial"/>
                <w:sz w:val="15"/>
                <w:szCs w:val="15"/>
                <w:color w:val="auto"/>
              </w:rPr>
              <w:t>Dividends declared and paid</w:t>
            </w:r>
          </w:p>
        </w:tc>
        <w:tc>
          <w:tcPr>
            <w:tcW w:w="6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120" w:type="dxa"/>
            <w:vAlign w:val="bottom"/>
            <w:gridSpan w:val="2"/>
            <w:shd w:val="clear" w:color="auto" w:fill="CCFFCC"/>
          </w:tcPr>
          <w:p>
            <w:pPr>
              <w:jc w:val="right"/>
              <w:ind w:right="5"/>
              <w:spacing w:after="0"/>
              <w:rPr>
                <w:sz w:val="20"/>
                <w:szCs w:val="20"/>
                <w:color w:val="auto"/>
              </w:rPr>
            </w:pPr>
            <w:r>
              <w:rPr>
                <w:rFonts w:ascii="Arial" w:cs="Arial" w:eastAsia="Arial" w:hAnsi="Arial"/>
                <w:sz w:val="15"/>
                <w:szCs w:val="15"/>
                <w:color w:val="auto"/>
              </w:rPr>
              <w:t>(6,098)</w:t>
            </w: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20" w:type="dxa"/>
            <w:vAlign w:val="bottom"/>
          </w:tcPr>
          <w:p>
            <w:pPr>
              <w:ind w:left="100"/>
              <w:spacing w:after="0"/>
              <w:rPr>
                <w:sz w:val="20"/>
                <w:szCs w:val="20"/>
                <w:color w:val="auto"/>
              </w:rPr>
            </w:pPr>
            <w:r>
              <w:rPr>
                <w:rFonts w:ascii="Arial" w:cs="Arial" w:eastAsia="Arial" w:hAnsi="Arial"/>
                <w:sz w:val="15"/>
                <w:szCs w:val="15"/>
                <w:color w:val="auto"/>
              </w:rPr>
              <w:t>Deferred financing fees paid</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right"/>
              <w:ind w:right="5"/>
              <w:spacing w:after="0"/>
              <w:rPr>
                <w:sz w:val="20"/>
                <w:szCs w:val="20"/>
                <w:color w:val="auto"/>
              </w:rPr>
            </w:pPr>
            <w:r>
              <w:rPr>
                <w:rFonts w:ascii="Arial" w:cs="Arial" w:eastAsia="Arial" w:hAnsi="Arial"/>
                <w:sz w:val="15"/>
                <w:szCs w:val="15"/>
                <w:color w:val="auto"/>
              </w:rPr>
              <w:t>(606)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5"/>
              <w:spacing w:after="0"/>
              <w:rPr>
                <w:sz w:val="20"/>
                <w:szCs w:val="20"/>
                <w:color w:val="auto"/>
              </w:rPr>
            </w:pPr>
            <w:r>
              <w:rPr>
                <w:rFonts w:ascii="Arial" w:cs="Arial" w:eastAsia="Arial" w:hAnsi="Arial"/>
                <w:sz w:val="15"/>
                <w:szCs w:val="15"/>
                <w:color w:val="auto"/>
              </w:rPr>
              <w:t>(849)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right"/>
              <w:ind w:right="22"/>
              <w:spacing w:after="0"/>
              <w:rPr>
                <w:sz w:val="20"/>
                <w:szCs w:val="20"/>
                <w:color w:val="auto"/>
              </w:rPr>
            </w:pPr>
            <w:r>
              <w:rPr>
                <w:rFonts w:ascii="Arial" w:cs="Arial" w:eastAsia="Arial" w:hAnsi="Arial"/>
                <w:sz w:val="15"/>
                <w:szCs w:val="15"/>
                <w:color w:val="auto"/>
              </w:rPr>
              <w:t>(2,670)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5"/>
                <w:szCs w:val="15"/>
                <w:color w:val="auto"/>
              </w:rPr>
              <w:t>NET CASH PROVIDED BY FINANCING ACTIVITIES</w:t>
            </w:r>
          </w:p>
        </w:tc>
        <w:tc>
          <w:tcPr>
            <w:tcW w:w="60" w:type="dxa"/>
            <w:vAlign w:val="bottom"/>
            <w:tcBorders>
              <w:top w:val="single" w:sz="8" w:color="CCFFCC"/>
            </w:tcBorders>
            <w:shd w:val="clear" w:color="auto" w:fill="CCFFCC"/>
          </w:tcPr>
          <w:p>
            <w:pPr>
              <w:spacing w:after="0"/>
              <w:rPr>
                <w:sz w:val="15"/>
                <w:szCs w:val="15"/>
                <w:color w:val="auto"/>
              </w:rPr>
            </w:pPr>
          </w:p>
        </w:tc>
        <w:tc>
          <w:tcPr>
            <w:tcW w:w="280" w:type="dxa"/>
            <w:vAlign w:val="bottom"/>
            <w:tcBorders>
              <w:top w:val="single" w:sz="8" w:color="auto"/>
              <w:bottom w:val="single" w:sz="8" w:color="auto"/>
            </w:tcBorders>
            <w:shd w:val="clear" w:color="auto" w:fill="CCFFCC"/>
          </w:tcPr>
          <w:p>
            <w:pPr>
              <w:spacing w:after="0"/>
              <w:rPr>
                <w:sz w:val="15"/>
                <w:szCs w:val="15"/>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109,977</w:t>
            </w: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180" w:type="dxa"/>
            <w:vAlign w:val="bottom"/>
            <w:tcBorders>
              <w:top w:val="single" w:sz="8" w:color="auto"/>
              <w:bottom w:val="single" w:sz="8" w:color="auto"/>
            </w:tcBorders>
            <w:shd w:val="clear" w:color="auto" w:fill="CCFFCC"/>
          </w:tcPr>
          <w:p>
            <w:pPr>
              <w:spacing w:after="0"/>
              <w:rPr>
                <w:sz w:val="15"/>
                <w:szCs w:val="15"/>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27,624</w:t>
            </w: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240" w:type="dxa"/>
            <w:vAlign w:val="bottom"/>
            <w:tcBorders>
              <w:top w:val="single" w:sz="8" w:color="auto"/>
              <w:bottom w:val="single" w:sz="8" w:color="auto"/>
            </w:tcBorders>
            <w:shd w:val="clear" w:color="auto" w:fill="CCFFCC"/>
          </w:tcPr>
          <w:p>
            <w:pPr>
              <w:spacing w:after="0"/>
              <w:rPr>
                <w:sz w:val="15"/>
                <w:szCs w:val="15"/>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85,563</w:t>
            </w:r>
          </w:p>
        </w:tc>
        <w:tc>
          <w:tcPr>
            <w:tcW w:w="2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5"/>
                <w:szCs w:val="15"/>
                <w:color w:val="auto"/>
              </w:rPr>
              <w:t>NET INCREASE IN CASH AND CASH EQUIVALENTS</w:t>
            </w:r>
          </w:p>
        </w:tc>
        <w:tc>
          <w:tcPr>
            <w:tcW w:w="6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12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71,155</w:t>
            </w: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6,286</w:t>
            </w: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140" w:type="dxa"/>
            <w:vAlign w:val="bottom"/>
            <w:gridSpan w:val="3"/>
            <w:shd w:val="clear" w:color="auto" w:fill="CCFFCC"/>
          </w:tcPr>
          <w:p>
            <w:pPr>
              <w:jc w:val="right"/>
              <w:ind w:right="82"/>
              <w:spacing w:after="0"/>
              <w:rPr>
                <w:sz w:val="20"/>
                <w:szCs w:val="20"/>
                <w:color w:val="auto"/>
              </w:rPr>
            </w:pPr>
            <w:r>
              <w:rPr>
                <w:rFonts w:ascii="Arial" w:cs="Arial" w:eastAsia="Arial" w:hAnsi="Arial"/>
                <w:sz w:val="15"/>
                <w:szCs w:val="15"/>
                <w:color w:val="auto"/>
              </w:rPr>
              <w:t>19,771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Arial" w:cs="Arial" w:eastAsia="Arial" w:hAnsi="Arial"/>
                <w:sz w:val="15"/>
                <w:szCs w:val="15"/>
                <w:color w:val="auto"/>
              </w:rPr>
              <w:t>CASH AND CASH EQUIVALENTS, beginning of year</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right"/>
              <w:ind w:right="65"/>
              <w:spacing w:after="0"/>
              <w:rPr>
                <w:sz w:val="20"/>
                <w:szCs w:val="20"/>
                <w:color w:val="auto"/>
              </w:rPr>
            </w:pPr>
            <w:r>
              <w:rPr>
                <w:rFonts w:ascii="Arial" w:cs="Arial" w:eastAsia="Arial" w:hAnsi="Arial"/>
                <w:sz w:val="15"/>
                <w:szCs w:val="15"/>
                <w:color w:val="auto"/>
              </w:rPr>
              <w:t>30,467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65"/>
              <w:spacing w:after="0"/>
              <w:rPr>
                <w:sz w:val="20"/>
                <w:szCs w:val="20"/>
                <w:color w:val="auto"/>
              </w:rPr>
            </w:pPr>
            <w:r>
              <w:rPr>
                <w:rFonts w:ascii="Arial" w:cs="Arial" w:eastAsia="Arial" w:hAnsi="Arial"/>
                <w:sz w:val="15"/>
                <w:szCs w:val="15"/>
                <w:color w:val="auto"/>
              </w:rPr>
              <w:t>24,181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4,410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5"/>
                <w:szCs w:val="15"/>
                <w:color w:val="auto"/>
              </w:rPr>
              <w:t>CASH AND CASH EQUIVALENTS, end of year</w:t>
            </w:r>
          </w:p>
        </w:tc>
        <w:tc>
          <w:tcPr>
            <w:tcW w:w="60" w:type="dxa"/>
            <w:vAlign w:val="bottom"/>
            <w:tcBorders>
              <w:top w:val="single" w:sz="8" w:color="CCFFCC"/>
            </w:tcBorders>
            <w:shd w:val="clear" w:color="auto" w:fill="CCFFCC"/>
          </w:tcPr>
          <w:p>
            <w:pPr>
              <w:spacing w:after="0"/>
              <w:rPr>
                <w:sz w:val="15"/>
                <w:szCs w:val="15"/>
                <w:color w:val="auto"/>
              </w:rPr>
            </w:pPr>
          </w:p>
        </w:tc>
        <w:tc>
          <w:tcPr>
            <w:tcW w:w="280" w:type="dxa"/>
            <w:vAlign w:val="bottom"/>
            <w:tcBorders>
              <w:top w:val="single" w:sz="8" w:color="auto"/>
              <w:bottom w:val="single" w:sz="8" w:color="auto"/>
            </w:tcBorders>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101,622</w:t>
            </w: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30,467</w:t>
            </w: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240" w:type="dxa"/>
            <w:vAlign w:val="bottom"/>
            <w:tcBorders>
              <w:top w:val="single" w:sz="8" w:color="auto"/>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24,181</w:t>
            </w:r>
          </w:p>
        </w:tc>
        <w:tc>
          <w:tcPr>
            <w:tcW w:w="2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5"/>
                <w:szCs w:val="15"/>
                <w:color w:val="auto"/>
              </w:rPr>
              <w:t>SUPPLEMENTAL DISCLOSURE OF CASH FLOW INFORMATION</w:t>
            </w:r>
          </w:p>
        </w:tc>
        <w:tc>
          <w:tcPr>
            <w:tcW w:w="6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tcPr>
          <w:p>
            <w:pPr>
              <w:ind w:left="100"/>
              <w:spacing w:after="0"/>
              <w:rPr>
                <w:sz w:val="20"/>
                <w:szCs w:val="20"/>
                <w:color w:val="auto"/>
              </w:rPr>
            </w:pPr>
            <w:r>
              <w:rPr>
                <w:rFonts w:ascii="Arial" w:cs="Arial" w:eastAsia="Arial" w:hAnsi="Arial"/>
                <w:sz w:val="15"/>
                <w:szCs w:val="15"/>
                <w:color w:val="auto"/>
              </w:rPr>
              <w:t>Cash paid for interest</w:t>
            </w:r>
          </w:p>
        </w:tc>
        <w:tc>
          <w:tcPr>
            <w:tcW w:w="340" w:type="dxa"/>
            <w:vAlign w:val="bottom"/>
            <w:gridSpan w:val="2"/>
          </w:tcPr>
          <w:p>
            <w:pPr>
              <w:jc w:val="right"/>
              <w:ind w:right="125"/>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7,828</w:t>
            </w:r>
          </w:p>
        </w:tc>
        <w:tc>
          <w:tcPr>
            <w:tcW w:w="140" w:type="dxa"/>
            <w:vAlign w:val="bottom"/>
          </w:tcPr>
          <w:p>
            <w:pPr>
              <w:spacing w:after="0"/>
              <w:rPr>
                <w:sz w:val="15"/>
                <w:szCs w:val="15"/>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6,573</w:t>
            </w:r>
          </w:p>
        </w:tc>
        <w:tc>
          <w:tcPr>
            <w:tcW w:w="140" w:type="dxa"/>
            <w:vAlign w:val="bottom"/>
          </w:tcPr>
          <w:p>
            <w:pPr>
              <w:spacing w:after="0"/>
              <w:rPr>
                <w:sz w:val="15"/>
                <w:szCs w:val="15"/>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4,070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702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020" w:type="dxa"/>
            <w:vAlign w:val="bottom"/>
          </w:tcPr>
          <w:p>
            <w:pPr>
              <w:spacing w:after="0"/>
              <w:rPr>
                <w:sz w:val="20"/>
                <w:szCs w:val="20"/>
                <w:color w:val="auto"/>
              </w:rPr>
            </w:pPr>
            <w:r>
              <w:rPr>
                <w:rFonts w:ascii="Arial" w:cs="Arial" w:eastAsia="Arial" w:hAnsi="Arial"/>
                <w:sz w:val="15"/>
                <w:szCs w:val="15"/>
                <w:color w:val="auto"/>
              </w:rPr>
              <w:t>SUPPLEMENTAL DISCLOSURE OF NON-CASH INVESTING AND FINANCING TRANSACTIONS</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shd w:val="clear" w:color="auto" w:fill="CCFFCC"/>
          </w:tcPr>
          <w:p>
            <w:pPr>
              <w:ind w:left="100"/>
              <w:spacing w:after="0"/>
              <w:rPr>
                <w:sz w:val="20"/>
                <w:szCs w:val="20"/>
                <w:color w:val="auto"/>
              </w:rPr>
            </w:pPr>
            <w:r>
              <w:rPr>
                <w:rFonts w:ascii="Arial" w:cs="Arial" w:eastAsia="Arial" w:hAnsi="Arial"/>
                <w:sz w:val="15"/>
                <w:szCs w:val="15"/>
                <w:color w:val="auto"/>
              </w:rPr>
              <w:t>In-kind contribution of assets</w:t>
            </w:r>
          </w:p>
        </w:tc>
        <w:tc>
          <w:tcPr>
            <w:tcW w:w="340" w:type="dxa"/>
            <w:vAlign w:val="bottom"/>
            <w:gridSpan w:val="2"/>
            <w:shd w:val="clear" w:color="auto" w:fill="CCFFCC"/>
          </w:tcPr>
          <w:p>
            <w:pPr>
              <w:jc w:val="right"/>
              <w:ind w:right="125"/>
              <w:spacing w:after="0"/>
              <w:rPr>
                <w:sz w:val="20"/>
                <w:szCs w:val="20"/>
                <w:color w:val="auto"/>
              </w:rPr>
            </w:pPr>
            <w:r>
              <w:rPr>
                <w:rFonts w:ascii="Arial" w:cs="Arial" w:eastAsia="Arial" w:hAnsi="Arial"/>
                <w:sz w:val="15"/>
                <w:szCs w:val="15"/>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11,796</w:t>
            </w:r>
          </w:p>
        </w:tc>
        <w:tc>
          <w:tcPr>
            <w:tcW w:w="140" w:type="dxa"/>
            <w:vAlign w:val="bottom"/>
            <w:shd w:val="clear" w:color="auto" w:fill="CCFFCC"/>
          </w:tcPr>
          <w:p>
            <w:pPr>
              <w:spacing w:after="0"/>
              <w:rPr>
                <w:sz w:val="15"/>
                <w:szCs w:val="15"/>
                <w:color w:val="auto"/>
              </w:rPr>
            </w:pPr>
          </w:p>
        </w:tc>
        <w:tc>
          <w:tcPr>
            <w:tcW w:w="260" w:type="dxa"/>
            <w:vAlign w:val="bottom"/>
            <w:gridSpan w:val="2"/>
            <w:shd w:val="clear" w:color="auto" w:fill="CCFFCC"/>
          </w:tcPr>
          <w:p>
            <w:pPr>
              <w:jc w:val="right"/>
              <w:ind w:right="25"/>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5"/>
                <w:szCs w:val="15"/>
                <w:color w:val="auto"/>
              </w:rPr>
            </w:pPr>
          </w:p>
        </w:tc>
        <w:tc>
          <w:tcPr>
            <w:tcW w:w="320" w:type="dxa"/>
            <w:vAlign w:val="bottom"/>
            <w:gridSpan w:val="2"/>
            <w:shd w:val="clear" w:color="auto" w:fill="CCFFCC"/>
          </w:tcPr>
          <w:p>
            <w:pPr>
              <w:jc w:val="right"/>
              <w:ind w:right="85"/>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tcPr>
          <w:p>
            <w:pPr>
              <w:ind w:left="100"/>
              <w:spacing w:after="0"/>
              <w:rPr>
                <w:sz w:val="20"/>
                <w:szCs w:val="20"/>
                <w:color w:val="auto"/>
              </w:rPr>
            </w:pPr>
            <w:r>
              <w:rPr>
                <w:rFonts w:ascii="Arial" w:cs="Arial" w:eastAsia="Arial" w:hAnsi="Arial"/>
                <w:sz w:val="15"/>
                <w:szCs w:val="15"/>
                <w:color w:val="auto"/>
              </w:rPr>
              <w:t>Distribtion payable</w:t>
            </w:r>
          </w:p>
        </w:tc>
        <w:tc>
          <w:tcPr>
            <w:tcW w:w="340" w:type="dxa"/>
            <w:vAlign w:val="bottom"/>
            <w:gridSpan w:val="2"/>
          </w:tcPr>
          <w:p>
            <w:pPr>
              <w:jc w:val="right"/>
              <w:ind w:right="125"/>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5"/>
              <w:spacing w:after="0"/>
              <w:rPr>
                <w:sz w:val="20"/>
                <w:szCs w:val="20"/>
                <w:color w:val="auto"/>
              </w:rPr>
            </w:pPr>
            <w:r>
              <w:rPr>
                <w:rFonts w:ascii="Arial" w:cs="Arial" w:eastAsia="Arial" w:hAnsi="Arial"/>
                <w:sz w:val="15"/>
                <w:szCs w:val="15"/>
                <w:color w:val="auto"/>
              </w:rPr>
              <w:t>(16)</w:t>
            </w:r>
          </w:p>
        </w:tc>
        <w:tc>
          <w:tcPr>
            <w:tcW w:w="320" w:type="dxa"/>
            <w:vAlign w:val="bottom"/>
            <w:gridSpan w:val="2"/>
          </w:tcPr>
          <w:p>
            <w:pPr>
              <w:jc w:val="right"/>
              <w:ind w:right="85"/>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ind w:right="22"/>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shd w:val="clear" w:color="auto" w:fill="CCFFCC"/>
          </w:tcPr>
          <w:p>
            <w:pPr>
              <w:ind w:left="100"/>
              <w:spacing w:after="0"/>
              <w:rPr>
                <w:sz w:val="20"/>
                <w:szCs w:val="20"/>
                <w:color w:val="auto"/>
              </w:rPr>
            </w:pPr>
            <w:r>
              <w:rPr>
                <w:rFonts w:ascii="Arial" w:cs="Arial" w:eastAsia="Arial" w:hAnsi="Arial"/>
                <w:sz w:val="15"/>
                <w:szCs w:val="15"/>
                <w:color w:val="auto"/>
              </w:rPr>
              <w:t>Conversion of debt securities to equity securities</w:t>
            </w:r>
          </w:p>
        </w:tc>
        <w:tc>
          <w:tcPr>
            <w:tcW w:w="340" w:type="dxa"/>
            <w:vAlign w:val="bottom"/>
            <w:gridSpan w:val="2"/>
            <w:shd w:val="clear" w:color="auto" w:fill="CCFFCC"/>
          </w:tcPr>
          <w:p>
            <w:pPr>
              <w:jc w:val="right"/>
              <w:ind w:right="125"/>
              <w:spacing w:after="0"/>
              <w:rPr>
                <w:sz w:val="20"/>
                <w:szCs w:val="20"/>
                <w:color w:val="auto"/>
              </w:rPr>
            </w:pPr>
            <w:r>
              <w:rPr>
                <w:rFonts w:ascii="Arial" w:cs="Arial" w:eastAsia="Arial" w:hAnsi="Arial"/>
                <w:sz w:val="15"/>
                <w:szCs w:val="15"/>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5"/>
                <w:szCs w:val="15"/>
                <w:color w:val="auto"/>
              </w:rPr>
            </w:pPr>
          </w:p>
        </w:tc>
        <w:tc>
          <w:tcPr>
            <w:tcW w:w="260" w:type="dxa"/>
            <w:vAlign w:val="bottom"/>
            <w:gridSpan w:val="2"/>
            <w:shd w:val="clear" w:color="auto" w:fill="CCFFCC"/>
          </w:tcPr>
          <w:p>
            <w:pPr>
              <w:jc w:val="right"/>
              <w:ind w:right="25"/>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2,365</w:t>
            </w:r>
          </w:p>
        </w:tc>
        <w:tc>
          <w:tcPr>
            <w:tcW w:w="140" w:type="dxa"/>
            <w:vAlign w:val="bottom"/>
            <w:shd w:val="clear" w:color="auto" w:fill="CCFFCC"/>
          </w:tcPr>
          <w:p>
            <w:pPr>
              <w:spacing w:after="0"/>
              <w:rPr>
                <w:sz w:val="15"/>
                <w:szCs w:val="15"/>
                <w:color w:val="auto"/>
              </w:rPr>
            </w:pPr>
          </w:p>
        </w:tc>
        <w:tc>
          <w:tcPr>
            <w:tcW w:w="320" w:type="dxa"/>
            <w:vAlign w:val="bottom"/>
            <w:gridSpan w:val="2"/>
            <w:shd w:val="clear" w:color="auto" w:fill="CCFFCC"/>
          </w:tcPr>
          <w:p>
            <w:pPr>
              <w:jc w:val="right"/>
              <w:ind w:right="85"/>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tcPr>
          <w:p>
            <w:pPr>
              <w:ind w:left="100"/>
              <w:spacing w:after="0"/>
              <w:rPr>
                <w:sz w:val="20"/>
                <w:szCs w:val="20"/>
                <w:color w:val="auto"/>
              </w:rPr>
            </w:pPr>
            <w:r>
              <w:rPr>
                <w:rFonts w:ascii="Arial" w:cs="Arial" w:eastAsia="Arial" w:hAnsi="Arial"/>
                <w:sz w:val="15"/>
                <w:szCs w:val="15"/>
                <w:color w:val="auto"/>
              </w:rPr>
              <w:t>Release of restricted cash for partner's capital contribution</w:t>
            </w:r>
          </w:p>
        </w:tc>
        <w:tc>
          <w:tcPr>
            <w:tcW w:w="340" w:type="dxa"/>
            <w:vAlign w:val="bottom"/>
            <w:gridSpan w:val="2"/>
          </w:tcPr>
          <w:p>
            <w:pPr>
              <w:jc w:val="right"/>
              <w:ind w:right="125"/>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56</w:t>
            </w:r>
          </w:p>
        </w:tc>
        <w:tc>
          <w:tcPr>
            <w:tcW w:w="140" w:type="dxa"/>
            <w:vAlign w:val="bottom"/>
          </w:tcPr>
          <w:p>
            <w:pPr>
              <w:spacing w:after="0"/>
              <w:rPr>
                <w:sz w:val="15"/>
                <w:szCs w:val="15"/>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shd w:val="clear" w:color="auto" w:fill="CCFFCC"/>
          </w:tcPr>
          <w:p>
            <w:pPr>
              <w:ind w:left="100"/>
              <w:spacing w:after="0"/>
              <w:rPr>
                <w:sz w:val="20"/>
                <w:szCs w:val="20"/>
                <w:color w:val="auto"/>
              </w:rPr>
            </w:pPr>
            <w:r>
              <w:rPr>
                <w:rFonts w:ascii="Arial" w:cs="Arial" w:eastAsia="Arial" w:hAnsi="Arial"/>
                <w:sz w:val="15"/>
                <w:szCs w:val="15"/>
                <w:color w:val="auto"/>
              </w:rPr>
              <w:t>Receivable issued for partner's capital contributions</w:t>
            </w:r>
          </w:p>
        </w:tc>
        <w:tc>
          <w:tcPr>
            <w:tcW w:w="340" w:type="dxa"/>
            <w:vAlign w:val="bottom"/>
            <w:gridSpan w:val="2"/>
            <w:shd w:val="clear" w:color="auto" w:fill="CCFFCC"/>
          </w:tcPr>
          <w:p>
            <w:pPr>
              <w:jc w:val="right"/>
              <w:ind w:right="125"/>
              <w:spacing w:after="0"/>
              <w:rPr>
                <w:sz w:val="20"/>
                <w:szCs w:val="20"/>
                <w:color w:val="auto"/>
              </w:rPr>
            </w:pPr>
            <w:r>
              <w:rPr>
                <w:rFonts w:ascii="Arial" w:cs="Arial" w:eastAsia="Arial" w:hAnsi="Arial"/>
                <w:sz w:val="15"/>
                <w:szCs w:val="15"/>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5"/>
                <w:szCs w:val="15"/>
                <w:color w:val="auto"/>
              </w:rPr>
            </w:pPr>
          </w:p>
        </w:tc>
        <w:tc>
          <w:tcPr>
            <w:tcW w:w="260" w:type="dxa"/>
            <w:vAlign w:val="bottom"/>
            <w:gridSpan w:val="2"/>
            <w:shd w:val="clear" w:color="auto" w:fill="CCFFCC"/>
          </w:tcPr>
          <w:p>
            <w:pPr>
              <w:jc w:val="right"/>
              <w:ind w:right="25"/>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5"/>
                <w:szCs w:val="15"/>
                <w:color w:val="auto"/>
              </w:rPr>
            </w:pPr>
          </w:p>
        </w:tc>
        <w:tc>
          <w:tcPr>
            <w:tcW w:w="320" w:type="dxa"/>
            <w:vAlign w:val="bottom"/>
            <w:gridSpan w:val="2"/>
            <w:shd w:val="clear" w:color="auto" w:fill="CCFFCC"/>
          </w:tcPr>
          <w:p>
            <w:pPr>
              <w:jc w:val="right"/>
              <w:ind w:right="85"/>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248</w:t>
            </w: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tcPr>
          <w:p>
            <w:pPr>
              <w:ind w:left="100"/>
              <w:spacing w:after="0"/>
              <w:rPr>
                <w:sz w:val="20"/>
                <w:szCs w:val="20"/>
                <w:color w:val="auto"/>
              </w:rPr>
            </w:pPr>
            <w:r>
              <w:rPr>
                <w:rFonts w:ascii="Arial" w:cs="Arial" w:eastAsia="Arial" w:hAnsi="Arial"/>
                <w:sz w:val="15"/>
                <w:szCs w:val="15"/>
                <w:color w:val="auto"/>
              </w:rPr>
              <w:t>Investment in debt security with proceeds from affiliates</w:t>
            </w:r>
          </w:p>
        </w:tc>
        <w:tc>
          <w:tcPr>
            <w:tcW w:w="340" w:type="dxa"/>
            <w:vAlign w:val="bottom"/>
            <w:gridSpan w:val="2"/>
          </w:tcPr>
          <w:p>
            <w:pPr>
              <w:jc w:val="right"/>
              <w:ind w:right="125"/>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250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shd w:val="clear" w:color="auto" w:fill="CCFFCC"/>
          </w:tcPr>
          <w:p>
            <w:pPr>
              <w:ind w:left="100"/>
              <w:spacing w:after="0"/>
              <w:rPr>
                <w:sz w:val="20"/>
                <w:szCs w:val="20"/>
                <w:color w:val="auto"/>
              </w:rPr>
            </w:pPr>
            <w:r>
              <w:rPr>
                <w:rFonts w:ascii="Arial" w:cs="Arial" w:eastAsia="Arial" w:hAnsi="Arial"/>
                <w:sz w:val="15"/>
                <w:szCs w:val="15"/>
                <w:color w:val="auto"/>
              </w:rPr>
              <w:t>Capital Contribution in exchange for waived management fee</w:t>
            </w:r>
          </w:p>
        </w:tc>
        <w:tc>
          <w:tcPr>
            <w:tcW w:w="340" w:type="dxa"/>
            <w:vAlign w:val="bottom"/>
            <w:gridSpan w:val="2"/>
            <w:shd w:val="clear" w:color="auto" w:fill="CCFFCC"/>
          </w:tcPr>
          <w:p>
            <w:pPr>
              <w:jc w:val="right"/>
              <w:ind w:right="125"/>
              <w:spacing w:after="0"/>
              <w:rPr>
                <w:sz w:val="20"/>
                <w:szCs w:val="20"/>
                <w:color w:val="auto"/>
              </w:rPr>
            </w:pPr>
            <w:r>
              <w:rPr>
                <w:rFonts w:ascii="Arial" w:cs="Arial" w:eastAsia="Arial" w:hAnsi="Arial"/>
                <w:sz w:val="15"/>
                <w:szCs w:val="15"/>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5"/>
                <w:szCs w:val="15"/>
                <w:color w:val="auto"/>
              </w:rPr>
            </w:pPr>
          </w:p>
        </w:tc>
        <w:tc>
          <w:tcPr>
            <w:tcW w:w="260" w:type="dxa"/>
            <w:vAlign w:val="bottom"/>
            <w:gridSpan w:val="2"/>
            <w:shd w:val="clear" w:color="auto" w:fill="CCFFCC"/>
          </w:tcPr>
          <w:p>
            <w:pPr>
              <w:jc w:val="right"/>
              <w:ind w:right="25"/>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FFCC"/>
          </w:tcPr>
          <w:p>
            <w:pPr>
              <w:jc w:val="right"/>
              <w:ind w:right="65"/>
              <w:spacing w:after="0"/>
              <w:rPr>
                <w:sz w:val="20"/>
                <w:szCs w:val="20"/>
                <w:color w:val="auto"/>
              </w:rPr>
            </w:pPr>
            <w:r>
              <w:rPr>
                <w:rFonts w:ascii="Arial" w:cs="Arial" w:eastAsia="Arial" w:hAnsi="Arial"/>
                <w:sz w:val="15"/>
                <w:szCs w:val="15"/>
                <w:color w:val="auto"/>
              </w:rPr>
              <w:t>5</w:t>
            </w:r>
          </w:p>
        </w:tc>
        <w:tc>
          <w:tcPr>
            <w:tcW w:w="320" w:type="dxa"/>
            <w:vAlign w:val="bottom"/>
            <w:gridSpan w:val="2"/>
            <w:shd w:val="clear" w:color="auto" w:fill="CCFFCC"/>
          </w:tcPr>
          <w:p>
            <w:pPr>
              <w:jc w:val="right"/>
              <w:ind w:right="85"/>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81" w:right="219"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15"/>
          <w:szCs w:val="15"/>
          <w:b w:val="1"/>
          <w:bCs w:val="1"/>
          <w:color w:val="auto"/>
        </w:rPr>
        <w:t>Capitala Finance Corp.</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Schedule of Investments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 except for units)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December 31,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rPr>
              <w:t>% of</w:t>
            </w:r>
          </w:p>
        </w:tc>
        <w:tc>
          <w:tcPr>
            <w:tcW w:w="0" w:type="dxa"/>
            <w:vAlign w:val="bottom"/>
          </w:tcPr>
          <w:p>
            <w:pPr>
              <w:spacing w:after="0"/>
              <w:rPr>
                <w:sz w:val="1"/>
                <w:szCs w:val="1"/>
                <w:color w:val="auto"/>
              </w:rPr>
            </w:pPr>
          </w:p>
        </w:tc>
      </w:tr>
      <w:tr>
        <w:trPr>
          <w:trHeight w:val="90"/>
        </w:trPr>
        <w:tc>
          <w:tcPr>
            <w:tcW w:w="2060" w:type="dxa"/>
            <w:vAlign w:val="bottom"/>
            <w:vMerge w:val="restart"/>
          </w:tcPr>
          <w:p>
            <w:pPr>
              <w:spacing w:after="0"/>
              <w:rPr>
                <w:sz w:val="20"/>
                <w:szCs w:val="20"/>
                <w:color w:val="auto"/>
              </w:rPr>
            </w:pPr>
            <w:r>
              <w:rPr>
                <w:rFonts w:ascii="Arial" w:cs="Arial" w:eastAsia="Arial" w:hAnsi="Arial"/>
                <w:sz w:val="8"/>
                <w:szCs w:val="8"/>
                <w:b w:val="1"/>
                <w:bCs w:val="1"/>
                <w:color w:val="auto"/>
              </w:rPr>
              <w:t xml:space="preserve">Company </w:t>
            </w:r>
            <w:r>
              <w:rPr>
                <w:rFonts w:ascii="Arial" w:cs="Arial" w:eastAsia="Arial" w:hAnsi="Arial"/>
                <w:sz w:val="13"/>
                <w:szCs w:val="13"/>
                <w:b w:val="1"/>
                <w:bCs w:val="1"/>
                <w:color w:val="auto"/>
                <w:vertAlign w:val="superscript"/>
              </w:rPr>
              <w:t>(4, 5)</w:t>
            </w: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00" w:type="dxa"/>
            <w:vAlign w:val="bottom"/>
            <w:gridSpan w:val="2"/>
          </w:tcPr>
          <w:p>
            <w:pPr>
              <w:jc w:val="center"/>
              <w:ind w:right="140"/>
              <w:spacing w:after="0" w:line="91" w:lineRule="exact"/>
              <w:rPr>
                <w:sz w:val="20"/>
                <w:szCs w:val="20"/>
                <w:color w:val="auto"/>
              </w:rPr>
            </w:pPr>
            <w:r>
              <w:rPr>
                <w:rFonts w:ascii="Arial" w:cs="Arial" w:eastAsia="Arial" w:hAnsi="Arial"/>
                <w:sz w:val="8"/>
                <w:szCs w:val="8"/>
                <w:b w:val="1"/>
                <w:bCs w:val="1"/>
                <w:color w:val="auto"/>
                <w:w w:val="90"/>
              </w:rPr>
              <w:t>Investment Interest Rate /</w:t>
            </w:r>
          </w:p>
        </w:tc>
        <w:tc>
          <w:tcPr>
            <w:tcW w:w="140" w:type="dxa"/>
            <w:vAlign w:val="bottom"/>
          </w:tcPr>
          <w:p>
            <w:pPr>
              <w:spacing w:after="0"/>
              <w:rPr>
                <w:sz w:val="7"/>
                <w:szCs w:val="7"/>
                <w:color w:val="auto"/>
              </w:rPr>
            </w:pPr>
          </w:p>
        </w:tc>
        <w:tc>
          <w:tcPr>
            <w:tcW w:w="880" w:type="dxa"/>
            <w:vAlign w:val="bottom"/>
            <w:gridSpan w:val="2"/>
          </w:tcPr>
          <w:p>
            <w:pPr>
              <w:jc w:val="center"/>
              <w:ind w:right="400"/>
              <w:spacing w:after="0" w:line="91" w:lineRule="exact"/>
              <w:rPr>
                <w:sz w:val="20"/>
                <w:szCs w:val="20"/>
                <w:color w:val="auto"/>
              </w:rPr>
            </w:pPr>
            <w:r>
              <w:rPr>
                <w:rFonts w:ascii="Arial" w:cs="Arial" w:eastAsia="Arial" w:hAnsi="Arial"/>
                <w:sz w:val="8"/>
                <w:szCs w:val="8"/>
                <w:b w:val="1"/>
                <w:bCs w:val="1"/>
                <w:color w:val="auto"/>
                <w:w w:val="94"/>
              </w:rPr>
              <w:t>Principal</w:t>
            </w: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2"/>
          </w:tcPr>
          <w:p>
            <w:pPr>
              <w:jc w:val="right"/>
              <w:ind w:right="560"/>
              <w:spacing w:after="0" w:line="91" w:lineRule="exact"/>
              <w:rPr>
                <w:sz w:val="20"/>
                <w:szCs w:val="20"/>
                <w:color w:val="auto"/>
              </w:rPr>
            </w:pPr>
            <w:r>
              <w:rPr>
                <w:rFonts w:ascii="Arial" w:cs="Arial" w:eastAsia="Arial" w:hAnsi="Arial"/>
                <w:sz w:val="8"/>
                <w:szCs w:val="8"/>
                <w:b w:val="1"/>
                <w:bCs w:val="1"/>
                <w:color w:val="auto"/>
              </w:rPr>
              <w:t>Fair</w:t>
            </w:r>
          </w:p>
        </w:tc>
        <w:tc>
          <w:tcPr>
            <w:tcW w:w="900" w:type="dxa"/>
            <w:vAlign w:val="bottom"/>
            <w:gridSpan w:val="2"/>
          </w:tcPr>
          <w:p>
            <w:pPr>
              <w:jc w:val="center"/>
              <w:ind w:right="140"/>
              <w:spacing w:after="0" w:line="91" w:lineRule="exact"/>
              <w:rPr>
                <w:sz w:val="20"/>
                <w:szCs w:val="20"/>
                <w:color w:val="auto"/>
              </w:rPr>
            </w:pPr>
            <w:r>
              <w:rPr>
                <w:rFonts w:ascii="Arial" w:cs="Arial" w:eastAsia="Arial" w:hAnsi="Arial"/>
                <w:sz w:val="8"/>
                <w:szCs w:val="8"/>
                <w:b w:val="1"/>
                <w:bCs w:val="1"/>
                <w:color w:val="auto"/>
                <w:w w:val="92"/>
              </w:rPr>
              <w:t>Net</w:t>
            </w:r>
          </w:p>
        </w:tc>
        <w:tc>
          <w:tcPr>
            <w:tcW w:w="0" w:type="dxa"/>
            <w:vAlign w:val="bottom"/>
          </w:tcPr>
          <w:p>
            <w:pPr>
              <w:spacing w:after="0"/>
              <w:rPr>
                <w:sz w:val="1"/>
                <w:szCs w:val="1"/>
                <w:color w:val="auto"/>
              </w:rPr>
            </w:pPr>
          </w:p>
        </w:tc>
      </w:tr>
      <w:tr>
        <w:trPr>
          <w:trHeight w:val="101"/>
        </w:trPr>
        <w:tc>
          <w:tcPr>
            <w:tcW w:w="20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80" w:type="dxa"/>
            <w:vAlign w:val="bottom"/>
          </w:tcPr>
          <w:p>
            <w:pPr>
              <w:ind w:left="900"/>
              <w:spacing w:after="0"/>
              <w:rPr>
                <w:sz w:val="20"/>
                <w:szCs w:val="20"/>
                <w:color w:val="auto"/>
              </w:rPr>
            </w:pPr>
            <w:r>
              <w:rPr>
                <w:rFonts w:ascii="Arial" w:cs="Arial" w:eastAsia="Arial" w:hAnsi="Arial"/>
                <w:sz w:val="8"/>
                <w:szCs w:val="8"/>
                <w:b w:val="1"/>
                <w:bCs w:val="1"/>
                <w:color w:val="auto"/>
              </w:rPr>
              <w:t>Industry</w:t>
            </w:r>
          </w:p>
        </w:tc>
        <w:tc>
          <w:tcPr>
            <w:tcW w:w="120" w:type="dxa"/>
            <w:vAlign w:val="bottom"/>
          </w:tcPr>
          <w:p>
            <w:pPr>
              <w:spacing w:after="0"/>
              <w:rPr>
                <w:sz w:val="8"/>
                <w:szCs w:val="8"/>
                <w:color w:val="auto"/>
              </w:rPr>
            </w:pPr>
          </w:p>
        </w:tc>
        <w:tc>
          <w:tcPr>
            <w:tcW w:w="310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w w:val="96"/>
              </w:rPr>
              <w:t>Maturity</w:t>
            </w:r>
          </w:p>
        </w:tc>
        <w:tc>
          <w:tcPr>
            <w:tcW w:w="140" w:type="dxa"/>
            <w:vAlign w:val="bottom"/>
          </w:tcPr>
          <w:p>
            <w:pPr>
              <w:spacing w:after="0"/>
              <w:rPr>
                <w:sz w:val="8"/>
                <w:szCs w:val="8"/>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8"/>
                <w:szCs w:val="8"/>
                <w:b w:val="1"/>
                <w:bCs w:val="1"/>
                <w:color w:val="auto"/>
                <w:w w:val="92"/>
              </w:rPr>
              <w:t>Amount</w:t>
            </w:r>
          </w:p>
        </w:tc>
        <w:tc>
          <w:tcPr>
            <w:tcW w:w="180" w:type="dxa"/>
            <w:vAlign w:val="bottom"/>
          </w:tcPr>
          <w:p>
            <w:pPr>
              <w:spacing w:after="0"/>
              <w:rPr>
                <w:sz w:val="8"/>
                <w:szCs w:val="8"/>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8"/>
                <w:szCs w:val="8"/>
                <w:b w:val="1"/>
                <w:bCs w:val="1"/>
                <w:color w:val="auto"/>
              </w:rPr>
              <w:t>Cost</w:t>
            </w:r>
          </w:p>
        </w:tc>
        <w:tc>
          <w:tcPr>
            <w:tcW w:w="160" w:type="dxa"/>
            <w:vAlign w:val="bottom"/>
          </w:tcPr>
          <w:p>
            <w:pPr>
              <w:spacing w:after="0"/>
              <w:rPr>
                <w:sz w:val="8"/>
                <w:szCs w:val="8"/>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8"/>
                <w:szCs w:val="8"/>
                <w:b w:val="1"/>
                <w:bCs w:val="1"/>
                <w:color w:val="auto"/>
              </w:rPr>
              <w:t>Value</w:t>
            </w:r>
          </w:p>
        </w:tc>
        <w:tc>
          <w:tcPr>
            <w:tcW w:w="90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w w:val="83"/>
              </w:rPr>
              <w:t>Assets</w:t>
            </w:r>
          </w:p>
        </w:tc>
        <w:tc>
          <w:tcPr>
            <w:tcW w:w="0" w:type="dxa"/>
            <w:vAlign w:val="bottom"/>
          </w:tcPr>
          <w:p>
            <w:pPr>
              <w:spacing w:after="0"/>
              <w:rPr>
                <w:sz w:val="1"/>
                <w:szCs w:val="1"/>
                <w:color w:val="auto"/>
              </w:rPr>
            </w:pPr>
          </w:p>
        </w:tc>
      </w:tr>
      <w:tr>
        <w:trPr>
          <w:trHeight w:val="82"/>
        </w:trPr>
        <w:tc>
          <w:tcPr>
            <w:tcW w:w="2060" w:type="dxa"/>
            <w:vAlign w:val="bottom"/>
            <w:tcBorders>
              <w:top w:val="single" w:sz="8" w:color="auto"/>
            </w:tcBorders>
            <w:shd w:val="clear" w:color="auto" w:fill="CCFFCC"/>
          </w:tcPr>
          <w:p>
            <w:pPr>
              <w:spacing w:after="0" w:line="82" w:lineRule="exact"/>
              <w:rPr>
                <w:sz w:val="20"/>
                <w:szCs w:val="20"/>
                <w:color w:val="auto"/>
              </w:rPr>
            </w:pPr>
            <w:r>
              <w:rPr>
                <w:rFonts w:ascii="Arial" w:cs="Arial" w:eastAsia="Arial" w:hAnsi="Arial"/>
                <w:sz w:val="8"/>
                <w:szCs w:val="8"/>
                <w:b w:val="1"/>
                <w:bCs w:val="1"/>
                <w:color w:val="auto"/>
              </w:rPr>
              <w:t>Non-control/Non-affiliated investments - 36.9%</w:t>
            </w:r>
          </w:p>
        </w:tc>
        <w:tc>
          <w:tcPr>
            <w:tcW w:w="120" w:type="dxa"/>
            <w:vAlign w:val="bottom"/>
            <w:tcBorders>
              <w:top w:val="single" w:sz="8" w:color="CCFFCC"/>
            </w:tcBorders>
            <w:shd w:val="clear" w:color="auto" w:fill="CCFFCC"/>
          </w:tcPr>
          <w:p>
            <w:pPr>
              <w:spacing w:after="0"/>
              <w:rPr>
                <w:sz w:val="7"/>
                <w:szCs w:val="7"/>
                <w:color w:val="auto"/>
              </w:rPr>
            </w:pPr>
          </w:p>
        </w:tc>
        <w:tc>
          <w:tcPr>
            <w:tcW w:w="2080" w:type="dxa"/>
            <w:vAlign w:val="bottom"/>
            <w:tcBorders>
              <w:top w:val="single" w:sz="8" w:color="auto"/>
            </w:tcBorders>
            <w:shd w:val="clear" w:color="auto" w:fill="CCFFCC"/>
          </w:tcPr>
          <w:p>
            <w:pPr>
              <w:spacing w:after="0"/>
              <w:rPr>
                <w:sz w:val="7"/>
                <w:szCs w:val="7"/>
                <w:color w:val="auto"/>
              </w:rPr>
            </w:pPr>
          </w:p>
        </w:tc>
        <w:tc>
          <w:tcPr>
            <w:tcW w:w="120" w:type="dxa"/>
            <w:vAlign w:val="bottom"/>
            <w:tcBorders>
              <w:top w:val="single" w:sz="8" w:color="CCFFCC"/>
            </w:tcBorders>
            <w:shd w:val="clear" w:color="auto" w:fill="CCFFCC"/>
          </w:tcPr>
          <w:p>
            <w:pPr>
              <w:spacing w:after="0"/>
              <w:rPr>
                <w:sz w:val="7"/>
                <w:szCs w:val="7"/>
                <w:color w:val="auto"/>
              </w:rPr>
            </w:pPr>
          </w:p>
        </w:tc>
        <w:tc>
          <w:tcPr>
            <w:tcW w:w="2980" w:type="dxa"/>
            <w:vAlign w:val="bottom"/>
            <w:tcBorders>
              <w:top w:val="single" w:sz="8" w:color="auto"/>
            </w:tcBorders>
            <w:shd w:val="clear" w:color="auto" w:fill="CCFFCC"/>
          </w:tcPr>
          <w:p>
            <w:pPr>
              <w:spacing w:after="0"/>
              <w:rPr>
                <w:sz w:val="7"/>
                <w:szCs w:val="7"/>
                <w:color w:val="auto"/>
              </w:rPr>
            </w:pPr>
          </w:p>
        </w:tc>
        <w:tc>
          <w:tcPr>
            <w:tcW w:w="120" w:type="dxa"/>
            <w:vAlign w:val="bottom"/>
            <w:tcBorders>
              <w:top w:val="single" w:sz="8" w:color="CCFFCC"/>
            </w:tcBorders>
            <w:shd w:val="clear" w:color="auto" w:fill="CCFFCC"/>
          </w:tcPr>
          <w:p>
            <w:pPr>
              <w:spacing w:after="0"/>
              <w:rPr>
                <w:sz w:val="7"/>
                <w:szCs w:val="7"/>
                <w:color w:val="auto"/>
              </w:rPr>
            </w:pPr>
          </w:p>
        </w:tc>
        <w:tc>
          <w:tcPr>
            <w:tcW w:w="140" w:type="dxa"/>
            <w:vAlign w:val="bottom"/>
            <w:tcBorders>
              <w:top w:val="single" w:sz="8" w:color="auto"/>
            </w:tcBorders>
            <w:shd w:val="clear" w:color="auto" w:fill="CCFFCC"/>
          </w:tcPr>
          <w:p>
            <w:pPr>
              <w:spacing w:after="0"/>
              <w:rPr>
                <w:sz w:val="7"/>
                <w:szCs w:val="7"/>
                <w:color w:val="auto"/>
              </w:rPr>
            </w:pPr>
          </w:p>
        </w:tc>
        <w:tc>
          <w:tcPr>
            <w:tcW w:w="660" w:type="dxa"/>
            <w:vAlign w:val="bottom"/>
            <w:tcBorders>
              <w:top w:val="single" w:sz="8" w:color="auto"/>
            </w:tcBorders>
            <w:shd w:val="clear" w:color="auto" w:fill="CCFFCC"/>
          </w:tcPr>
          <w:p>
            <w:pPr>
              <w:spacing w:after="0"/>
              <w:rPr>
                <w:sz w:val="7"/>
                <w:szCs w:val="7"/>
                <w:color w:val="auto"/>
              </w:rPr>
            </w:pPr>
          </w:p>
        </w:tc>
        <w:tc>
          <w:tcPr>
            <w:tcW w:w="220" w:type="dxa"/>
            <w:vAlign w:val="bottom"/>
            <w:tcBorders>
              <w:top w:val="single" w:sz="8" w:color="CCFFCC"/>
            </w:tcBorders>
            <w:shd w:val="clear" w:color="auto" w:fill="CCFFCC"/>
          </w:tcPr>
          <w:p>
            <w:pPr>
              <w:spacing w:after="0"/>
              <w:rPr>
                <w:sz w:val="7"/>
                <w:szCs w:val="7"/>
                <w:color w:val="auto"/>
              </w:rPr>
            </w:pPr>
          </w:p>
        </w:tc>
        <w:tc>
          <w:tcPr>
            <w:tcW w:w="180" w:type="dxa"/>
            <w:vAlign w:val="bottom"/>
            <w:tcBorders>
              <w:top w:val="single" w:sz="8" w:color="auto"/>
            </w:tcBorders>
            <w:shd w:val="clear" w:color="auto" w:fill="CCFFCC"/>
          </w:tcPr>
          <w:p>
            <w:pPr>
              <w:spacing w:after="0"/>
              <w:rPr>
                <w:sz w:val="7"/>
                <w:szCs w:val="7"/>
                <w:color w:val="auto"/>
              </w:rPr>
            </w:pPr>
          </w:p>
        </w:tc>
        <w:tc>
          <w:tcPr>
            <w:tcW w:w="600" w:type="dxa"/>
            <w:vAlign w:val="bottom"/>
            <w:tcBorders>
              <w:top w:val="single" w:sz="8" w:color="auto"/>
            </w:tcBorders>
            <w:shd w:val="clear" w:color="auto" w:fill="CCFFCC"/>
          </w:tcPr>
          <w:p>
            <w:pPr>
              <w:spacing w:after="0"/>
              <w:rPr>
                <w:sz w:val="7"/>
                <w:szCs w:val="7"/>
                <w:color w:val="auto"/>
              </w:rPr>
            </w:pPr>
          </w:p>
        </w:tc>
        <w:tc>
          <w:tcPr>
            <w:tcW w:w="240" w:type="dxa"/>
            <w:vAlign w:val="bottom"/>
            <w:tcBorders>
              <w:top w:val="single" w:sz="8" w:color="CCFFCC"/>
            </w:tcBorders>
            <w:shd w:val="clear" w:color="auto" w:fill="CCFFCC"/>
          </w:tcPr>
          <w:p>
            <w:pPr>
              <w:spacing w:after="0"/>
              <w:rPr>
                <w:sz w:val="7"/>
                <w:szCs w:val="7"/>
                <w:color w:val="auto"/>
              </w:rPr>
            </w:pPr>
          </w:p>
        </w:tc>
        <w:tc>
          <w:tcPr>
            <w:tcW w:w="160" w:type="dxa"/>
            <w:vAlign w:val="bottom"/>
            <w:tcBorders>
              <w:top w:val="single" w:sz="8" w:color="auto"/>
            </w:tcBorders>
            <w:shd w:val="clear" w:color="auto" w:fill="CCFFCC"/>
          </w:tcPr>
          <w:p>
            <w:pPr>
              <w:spacing w:after="0"/>
              <w:rPr>
                <w:sz w:val="7"/>
                <w:szCs w:val="7"/>
                <w:color w:val="auto"/>
              </w:rPr>
            </w:pPr>
          </w:p>
        </w:tc>
        <w:tc>
          <w:tcPr>
            <w:tcW w:w="620" w:type="dxa"/>
            <w:vAlign w:val="bottom"/>
            <w:tcBorders>
              <w:top w:val="single" w:sz="8" w:color="auto"/>
            </w:tcBorders>
            <w:shd w:val="clear" w:color="auto" w:fill="CCFFCC"/>
          </w:tcPr>
          <w:p>
            <w:pPr>
              <w:spacing w:after="0"/>
              <w:rPr>
                <w:sz w:val="7"/>
                <w:szCs w:val="7"/>
                <w:color w:val="auto"/>
              </w:rPr>
            </w:pPr>
          </w:p>
        </w:tc>
        <w:tc>
          <w:tcPr>
            <w:tcW w:w="240" w:type="dxa"/>
            <w:vAlign w:val="bottom"/>
            <w:tcBorders>
              <w:top w:val="single" w:sz="8" w:color="CCFFCC"/>
            </w:tcBorders>
            <w:shd w:val="clear" w:color="auto" w:fill="CCFFCC"/>
          </w:tcPr>
          <w:p>
            <w:pPr>
              <w:spacing w:after="0"/>
              <w:rPr>
                <w:sz w:val="7"/>
                <w:szCs w:val="7"/>
                <w:color w:val="auto"/>
              </w:rPr>
            </w:pPr>
          </w:p>
        </w:tc>
        <w:tc>
          <w:tcPr>
            <w:tcW w:w="780" w:type="dxa"/>
            <w:vAlign w:val="bottom"/>
            <w:tcBorders>
              <w:top w:val="single" w:sz="8" w:color="auto"/>
            </w:tcBorders>
            <w:shd w:val="clear" w:color="auto" w:fill="CCFFCC"/>
          </w:tcPr>
          <w:p>
            <w:pPr>
              <w:spacing w:after="0"/>
              <w:rPr>
                <w:sz w:val="7"/>
                <w:szCs w:val="7"/>
                <w:color w:val="auto"/>
              </w:rPr>
            </w:pPr>
          </w:p>
        </w:tc>
        <w:tc>
          <w:tcPr>
            <w:tcW w:w="120" w:type="dxa"/>
            <w:vAlign w:val="bottom"/>
            <w:tcBorders>
              <w:top w:val="single" w:sz="8" w:color="CCFFCC"/>
            </w:tcBorders>
            <w:shd w:val="clear" w:color="auto" w:fill="CCFFCC"/>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AAE Acquisition,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Industrial Equipment Rental</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Senior Secured Term Debt (12% Cash, Due 5/6/15)</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19,000</w:t>
            </w:r>
          </w:p>
        </w:tc>
        <w:tc>
          <w:tcPr>
            <w:tcW w:w="180" w:type="dxa"/>
            <w:vAlign w:val="bottom"/>
          </w:tcPr>
          <w:p>
            <w:pPr>
              <w:jc w:val="right"/>
              <w:ind w:right="114"/>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18,992</w:t>
            </w:r>
          </w:p>
        </w:tc>
        <w:tc>
          <w:tcPr>
            <w:tcW w:w="160" w:type="dxa"/>
            <w:vAlign w:val="bottom"/>
          </w:tcPr>
          <w:p>
            <w:pPr>
              <w:jc w:val="right"/>
              <w:ind w:right="94"/>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19,000</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7.1%</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AAE Acquisition,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Industrial Equipment Rental</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Membership Units (21% fully diluted)</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25</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3,500</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19,017</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22,500</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8.4%</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American Exteriors, LLC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Replacement Window Manufacturer</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Senior Secured Debt (14.0% Cash, Due 6/30/14)</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4,565</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3,365</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4,565</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1.7%</w:t>
            </w:r>
          </w:p>
        </w:tc>
        <w:tc>
          <w:tcPr>
            <w:tcW w:w="0" w:type="dxa"/>
            <w:vAlign w:val="bottom"/>
          </w:tcPr>
          <w:p>
            <w:pPr>
              <w:spacing w:after="0"/>
              <w:rPr>
                <w:sz w:val="1"/>
                <w:szCs w:val="1"/>
                <w:color w:val="auto"/>
              </w:rPr>
            </w:pPr>
          </w:p>
        </w:tc>
      </w:tr>
      <w:tr>
        <w:trPr>
          <w:trHeight w:val="113"/>
        </w:trPr>
        <w:tc>
          <w:tcPr>
            <w:tcW w:w="2060" w:type="dxa"/>
            <w:vAlign w:val="bottom"/>
          </w:tcPr>
          <w:p>
            <w:pPr>
              <w:spacing w:after="0" w:line="113" w:lineRule="exact"/>
              <w:rPr>
                <w:sz w:val="20"/>
                <w:szCs w:val="20"/>
                <w:color w:val="auto"/>
              </w:rPr>
            </w:pPr>
            <w:r>
              <w:rPr>
                <w:rFonts w:ascii="Arial" w:cs="Arial" w:eastAsia="Arial" w:hAnsi="Arial"/>
                <w:sz w:val="8"/>
                <w:szCs w:val="8"/>
                <w:color w:val="auto"/>
              </w:rPr>
              <w:t xml:space="preserve">American Exteriors, LLC </w:t>
            </w:r>
            <w:r>
              <w:rPr>
                <w:rFonts w:ascii="Arial" w:cs="Arial" w:eastAsia="Arial" w:hAnsi="Arial"/>
                <w:sz w:val="13"/>
                <w:szCs w:val="13"/>
                <w:color w:val="auto"/>
                <w:vertAlign w:val="superscript"/>
              </w:rPr>
              <w:t>(1)</w:t>
            </w:r>
          </w:p>
        </w:tc>
        <w:tc>
          <w:tcPr>
            <w:tcW w:w="2200" w:type="dxa"/>
            <w:vAlign w:val="bottom"/>
            <w:gridSpan w:val="2"/>
          </w:tcPr>
          <w:p>
            <w:pPr>
              <w:ind w:left="120"/>
              <w:spacing w:after="0"/>
              <w:rPr>
                <w:sz w:val="20"/>
                <w:szCs w:val="20"/>
                <w:color w:val="auto"/>
              </w:rPr>
            </w:pPr>
            <w:r>
              <w:rPr>
                <w:rFonts w:ascii="Arial" w:cs="Arial" w:eastAsia="Arial" w:hAnsi="Arial"/>
                <w:sz w:val="8"/>
                <w:szCs w:val="8"/>
                <w:color w:val="auto"/>
              </w:rPr>
              <w:t>Replacement Window Manufacturer</w:t>
            </w:r>
          </w:p>
        </w:tc>
        <w:tc>
          <w:tcPr>
            <w:tcW w:w="3220" w:type="dxa"/>
            <w:vAlign w:val="bottom"/>
            <w:gridSpan w:val="3"/>
          </w:tcPr>
          <w:p>
            <w:pPr>
              <w:ind w:left="120"/>
              <w:spacing w:after="0"/>
              <w:rPr>
                <w:sz w:val="20"/>
                <w:szCs w:val="20"/>
                <w:color w:val="auto"/>
              </w:rPr>
            </w:pPr>
            <w:r>
              <w:rPr>
                <w:rFonts w:ascii="Arial" w:cs="Arial" w:eastAsia="Arial" w:hAnsi="Arial"/>
                <w:sz w:val="8"/>
                <w:szCs w:val="8"/>
                <w:color w:val="auto"/>
              </w:rPr>
              <w:t>Jr. Convertible Note (10.0% Cash, Due 6/30/15)</w:t>
            </w:r>
          </w:p>
        </w:tc>
        <w:tc>
          <w:tcPr>
            <w:tcW w:w="140" w:type="dxa"/>
            <w:vAlign w:val="bottom"/>
          </w:tcPr>
          <w:p>
            <w:pPr>
              <w:spacing w:after="0"/>
              <w:rPr>
                <w:sz w:val="9"/>
                <w:szCs w:val="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8"/>
                <w:szCs w:val="8"/>
                <w:color w:val="auto"/>
              </w:rPr>
              <w:t>500</w:t>
            </w:r>
          </w:p>
        </w:tc>
        <w:tc>
          <w:tcPr>
            <w:tcW w:w="180" w:type="dxa"/>
            <w:vAlign w:val="bottom"/>
          </w:tcPr>
          <w:p>
            <w:pPr>
              <w:spacing w:after="0"/>
              <w:rPr>
                <w:sz w:val="9"/>
                <w:szCs w:val="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416</w:t>
            </w:r>
          </w:p>
        </w:tc>
        <w:tc>
          <w:tcPr>
            <w:tcW w:w="160" w:type="dxa"/>
            <w:vAlign w:val="bottom"/>
          </w:tcPr>
          <w:p>
            <w:pPr>
              <w:spacing w:after="0"/>
              <w:rPr>
                <w:sz w:val="9"/>
                <w:szCs w:val="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612</w:t>
            </w:r>
          </w:p>
        </w:tc>
        <w:tc>
          <w:tcPr>
            <w:tcW w:w="900" w:type="dxa"/>
            <w:vAlign w:val="bottom"/>
            <w:gridSpan w:val="2"/>
          </w:tcPr>
          <w:p>
            <w:pPr>
              <w:jc w:val="right"/>
              <w:ind w:right="40"/>
              <w:spacing w:after="0"/>
              <w:rPr>
                <w:sz w:val="20"/>
                <w:szCs w:val="20"/>
                <w:color w:val="auto"/>
              </w:rPr>
            </w:pPr>
            <w:r>
              <w:rPr>
                <w:rFonts w:ascii="Arial" w:cs="Arial" w:eastAsia="Arial" w:hAnsi="Arial"/>
                <w:sz w:val="8"/>
                <w:szCs w:val="8"/>
                <w:color w:val="auto"/>
              </w:rPr>
              <w:t>0.2%</w:t>
            </w:r>
          </w:p>
        </w:tc>
        <w:tc>
          <w:tcPr>
            <w:tcW w:w="0" w:type="dxa"/>
            <w:vAlign w:val="bottom"/>
          </w:tcPr>
          <w:p>
            <w:pPr>
              <w:spacing w:after="0"/>
              <w:rPr>
                <w:sz w:val="1"/>
                <w:szCs w:val="1"/>
                <w:color w:val="auto"/>
              </w:rPr>
            </w:pPr>
          </w:p>
        </w:tc>
      </w:tr>
      <w:tr>
        <w:trPr>
          <w:trHeight w:val="113"/>
        </w:trPr>
        <w:tc>
          <w:tcPr>
            <w:tcW w:w="2060" w:type="dxa"/>
            <w:vAlign w:val="bottom"/>
            <w:shd w:val="clear" w:color="auto" w:fill="CCFFCC"/>
          </w:tcPr>
          <w:p>
            <w:pPr>
              <w:spacing w:after="0" w:line="113" w:lineRule="exact"/>
              <w:rPr>
                <w:sz w:val="20"/>
                <w:szCs w:val="20"/>
                <w:color w:val="auto"/>
              </w:rPr>
            </w:pPr>
            <w:r>
              <w:rPr>
                <w:rFonts w:ascii="Arial" w:cs="Arial" w:eastAsia="Arial" w:hAnsi="Arial"/>
                <w:sz w:val="8"/>
                <w:szCs w:val="8"/>
                <w:color w:val="auto"/>
              </w:rPr>
              <w:t xml:space="preserve">American Exteriors, LLC </w:t>
            </w:r>
            <w:r>
              <w:rPr>
                <w:rFonts w:ascii="Arial" w:cs="Arial" w:eastAsia="Arial" w:hAnsi="Arial"/>
                <w:sz w:val="13"/>
                <w:szCs w:val="13"/>
                <w:color w:val="auto"/>
                <w:vertAlign w:val="superscript"/>
              </w:rPr>
              <w:t>(8)</w:t>
            </w:r>
          </w:p>
        </w:tc>
        <w:tc>
          <w:tcPr>
            <w:tcW w:w="2200" w:type="dxa"/>
            <w:vAlign w:val="bottom"/>
            <w:gridSpan w:val="2"/>
            <w:shd w:val="clear" w:color="auto" w:fill="CCFFCC"/>
          </w:tcPr>
          <w:p>
            <w:pPr>
              <w:ind w:left="120"/>
              <w:spacing w:after="0"/>
              <w:rPr>
                <w:sz w:val="20"/>
                <w:szCs w:val="20"/>
                <w:color w:val="auto"/>
              </w:rPr>
            </w:pPr>
            <w:r>
              <w:rPr>
                <w:rFonts w:ascii="Arial" w:cs="Arial" w:eastAsia="Arial" w:hAnsi="Arial"/>
                <w:sz w:val="8"/>
                <w:szCs w:val="8"/>
                <w:color w:val="auto"/>
              </w:rPr>
              <w:t>Replacement Window Manufacturer</w:t>
            </w:r>
          </w:p>
        </w:tc>
        <w:tc>
          <w:tcPr>
            <w:tcW w:w="3220" w:type="dxa"/>
            <w:vAlign w:val="bottom"/>
            <w:gridSpan w:val="3"/>
            <w:shd w:val="clear" w:color="auto" w:fill="CCFFCC"/>
          </w:tcPr>
          <w:p>
            <w:pPr>
              <w:ind w:left="120"/>
              <w:spacing w:after="0"/>
              <w:rPr>
                <w:sz w:val="20"/>
                <w:szCs w:val="20"/>
                <w:color w:val="auto"/>
              </w:rPr>
            </w:pPr>
            <w:r>
              <w:rPr>
                <w:rFonts w:ascii="Arial" w:cs="Arial" w:eastAsia="Arial" w:hAnsi="Arial"/>
                <w:sz w:val="8"/>
                <w:szCs w:val="8"/>
                <w:color w:val="auto"/>
              </w:rPr>
              <w:t>Common Stock Warrants (15% fully diluted)</w:t>
            </w:r>
          </w:p>
        </w:tc>
        <w:tc>
          <w:tcPr>
            <w:tcW w:w="140" w:type="dxa"/>
            <w:vAlign w:val="bottom"/>
            <w:shd w:val="clear" w:color="auto" w:fill="CCFFCC"/>
          </w:tcPr>
          <w:p>
            <w:pPr>
              <w:spacing w:after="0"/>
              <w:rPr>
                <w:sz w:val="9"/>
                <w:szCs w:val="9"/>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9"/>
                <w:szCs w:val="9"/>
                <w:color w:val="auto"/>
              </w:rPr>
            </w:pPr>
          </w:p>
        </w:tc>
        <w:tc>
          <w:tcPr>
            <w:tcW w:w="84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9"/>
                <w:szCs w:val="9"/>
                <w:color w:val="auto"/>
              </w:rPr>
            </w:pPr>
          </w:p>
        </w:tc>
        <w:tc>
          <w:tcPr>
            <w:tcW w:w="86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1,106</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8"/>
                <w:szCs w:val="8"/>
                <w:color w:val="auto"/>
              </w:rPr>
              <w:t>0.4%</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3,781</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6,283</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2.3%</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Boot Barn Holding Corporation</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Western Wear Retail</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Common Stock (2,400 shares)</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2,400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4,774</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1.8%</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2,400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4,774</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1.8%</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Caregiver Services, Inc.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In-Home Healthcare Services</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Common Stock (293,186 shares)</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258</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231</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0.1%</w:t>
            </w:r>
          </w:p>
        </w:tc>
        <w:tc>
          <w:tcPr>
            <w:tcW w:w="0" w:type="dxa"/>
            <w:vAlign w:val="bottom"/>
          </w:tcPr>
          <w:p>
            <w:pPr>
              <w:spacing w:after="0"/>
              <w:rPr>
                <w:sz w:val="1"/>
                <w:szCs w:val="1"/>
                <w:color w:val="auto"/>
              </w:rPr>
            </w:pPr>
          </w:p>
        </w:tc>
      </w:tr>
      <w:tr>
        <w:trPr>
          <w:trHeight w:val="113"/>
        </w:trPr>
        <w:tc>
          <w:tcPr>
            <w:tcW w:w="2060" w:type="dxa"/>
            <w:vAlign w:val="bottom"/>
          </w:tcPr>
          <w:p>
            <w:pPr>
              <w:spacing w:after="0" w:line="113" w:lineRule="exact"/>
              <w:rPr>
                <w:sz w:val="20"/>
                <w:szCs w:val="20"/>
                <w:color w:val="auto"/>
              </w:rPr>
            </w:pPr>
            <w:r>
              <w:rPr>
                <w:rFonts w:ascii="Arial" w:cs="Arial" w:eastAsia="Arial" w:hAnsi="Arial"/>
                <w:sz w:val="8"/>
                <w:szCs w:val="8"/>
                <w:color w:val="auto"/>
              </w:rPr>
              <w:t xml:space="preserve">Caregiver Services, Inc. </w:t>
            </w:r>
            <w:r>
              <w:rPr>
                <w:rFonts w:ascii="Arial" w:cs="Arial" w:eastAsia="Arial" w:hAnsi="Arial"/>
                <w:sz w:val="13"/>
                <w:szCs w:val="13"/>
                <w:color w:val="auto"/>
                <w:vertAlign w:val="superscript"/>
              </w:rPr>
              <w:t>(8)</w:t>
            </w:r>
          </w:p>
        </w:tc>
        <w:tc>
          <w:tcPr>
            <w:tcW w:w="2200" w:type="dxa"/>
            <w:vAlign w:val="bottom"/>
            <w:gridSpan w:val="2"/>
          </w:tcPr>
          <w:p>
            <w:pPr>
              <w:ind w:left="120"/>
              <w:spacing w:after="0"/>
              <w:rPr>
                <w:sz w:val="20"/>
                <w:szCs w:val="20"/>
                <w:color w:val="auto"/>
              </w:rPr>
            </w:pPr>
            <w:r>
              <w:rPr>
                <w:rFonts w:ascii="Arial" w:cs="Arial" w:eastAsia="Arial" w:hAnsi="Arial"/>
                <w:sz w:val="8"/>
                <w:szCs w:val="8"/>
                <w:color w:val="auto"/>
              </w:rPr>
              <w:t>In-Home Healthcare Services</w:t>
            </w:r>
          </w:p>
        </w:tc>
        <w:tc>
          <w:tcPr>
            <w:tcW w:w="3220" w:type="dxa"/>
            <w:vAlign w:val="bottom"/>
            <w:gridSpan w:val="3"/>
          </w:tcPr>
          <w:p>
            <w:pPr>
              <w:ind w:left="120"/>
              <w:spacing w:after="0"/>
              <w:rPr>
                <w:sz w:val="20"/>
                <w:szCs w:val="20"/>
                <w:color w:val="auto"/>
              </w:rPr>
            </w:pPr>
            <w:r>
              <w:rPr>
                <w:rFonts w:ascii="Arial" w:cs="Arial" w:eastAsia="Arial" w:hAnsi="Arial"/>
                <w:sz w:val="8"/>
                <w:szCs w:val="8"/>
                <w:color w:val="auto"/>
              </w:rPr>
              <w:t>Common Stock Warrants (655,908 units)</w:t>
            </w:r>
          </w:p>
        </w:tc>
        <w:tc>
          <w:tcPr>
            <w:tcW w:w="140" w:type="dxa"/>
            <w:vAlign w:val="bottom"/>
          </w:tcPr>
          <w:p>
            <w:pPr>
              <w:spacing w:after="0"/>
              <w:rPr>
                <w:sz w:val="9"/>
                <w:szCs w:val="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264</w:t>
            </w:r>
          </w:p>
        </w:tc>
        <w:tc>
          <w:tcPr>
            <w:tcW w:w="160" w:type="dxa"/>
            <w:vAlign w:val="bottom"/>
          </w:tcPr>
          <w:p>
            <w:pPr>
              <w:spacing w:after="0"/>
              <w:rPr>
                <w:sz w:val="9"/>
                <w:szCs w:val="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517</w:t>
            </w:r>
          </w:p>
        </w:tc>
        <w:tc>
          <w:tcPr>
            <w:tcW w:w="900" w:type="dxa"/>
            <w:vAlign w:val="bottom"/>
            <w:gridSpan w:val="2"/>
          </w:tcPr>
          <w:p>
            <w:pPr>
              <w:jc w:val="right"/>
              <w:ind w:right="40"/>
              <w:spacing w:after="0"/>
              <w:rPr>
                <w:sz w:val="20"/>
                <w:szCs w:val="20"/>
                <w:color w:val="auto"/>
              </w:rPr>
            </w:pPr>
            <w:r>
              <w:rPr>
                <w:rFonts w:ascii="Arial" w:cs="Arial" w:eastAsia="Arial" w:hAnsi="Arial"/>
                <w:sz w:val="8"/>
                <w:szCs w:val="8"/>
                <w:color w:val="auto"/>
              </w:rPr>
              <w:t>0.2%</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522</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748</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0.3%</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line="113" w:lineRule="exact"/>
              <w:rPr>
                <w:sz w:val="20"/>
                <w:szCs w:val="20"/>
                <w:color w:val="auto"/>
              </w:rPr>
            </w:pPr>
            <w:r>
              <w:rPr>
                <w:rFonts w:ascii="Arial" w:cs="Arial" w:eastAsia="Arial" w:hAnsi="Arial"/>
                <w:sz w:val="8"/>
                <w:szCs w:val="8"/>
                <w:color w:val="auto"/>
              </w:rPr>
              <w:t xml:space="preserve">Crowley Holdings, Inc. </w:t>
            </w:r>
            <w:r>
              <w:rPr>
                <w:rFonts w:ascii="Arial" w:cs="Arial" w:eastAsia="Arial" w:hAnsi="Arial"/>
                <w:sz w:val="13"/>
                <w:szCs w:val="13"/>
                <w:color w:val="auto"/>
                <w:vertAlign w:val="superscript"/>
              </w:rPr>
              <w:t>(6)</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Transportation</w:t>
            </w:r>
          </w:p>
        </w:tc>
        <w:tc>
          <w:tcPr>
            <w:tcW w:w="3220" w:type="dxa"/>
            <w:vAlign w:val="bottom"/>
            <w:gridSpan w:val="3"/>
            <w:vMerge w:val="restart"/>
          </w:tcPr>
          <w:p>
            <w:pPr>
              <w:ind w:left="120"/>
              <w:spacing w:after="0"/>
              <w:rPr>
                <w:sz w:val="20"/>
                <w:szCs w:val="20"/>
                <w:color w:val="auto"/>
              </w:rPr>
            </w:pPr>
            <w:r>
              <w:rPr>
                <w:rFonts w:ascii="Arial" w:cs="Arial" w:eastAsia="Arial" w:hAnsi="Arial"/>
                <w:sz w:val="8"/>
                <w:szCs w:val="8"/>
                <w:color w:val="auto"/>
              </w:rPr>
              <w:t>Series A Income Preferred Shares (6,000 shares, 10% cash, 2% PIK dividend)</w:t>
            </w: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60" w:type="dxa"/>
            <w:vAlign w:val="bottom"/>
            <w:vMerge w:val="continue"/>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32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8"/>
                <w:szCs w:val="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6,000</w:t>
            </w:r>
          </w:p>
        </w:tc>
        <w:tc>
          <w:tcPr>
            <w:tcW w:w="160" w:type="dxa"/>
            <w:vAlign w:val="bottom"/>
          </w:tcPr>
          <w:p>
            <w:pPr>
              <w:spacing w:after="0"/>
              <w:rPr>
                <w:sz w:val="8"/>
                <w:szCs w:val="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6,000</w:t>
            </w:r>
          </w:p>
        </w:tc>
        <w:tc>
          <w:tcPr>
            <w:tcW w:w="900" w:type="dxa"/>
            <w:vAlign w:val="bottom"/>
            <w:gridSpan w:val="2"/>
          </w:tcPr>
          <w:p>
            <w:pPr>
              <w:jc w:val="right"/>
              <w:ind w:right="40"/>
              <w:spacing w:after="0"/>
              <w:rPr>
                <w:sz w:val="20"/>
                <w:szCs w:val="20"/>
                <w:color w:val="auto"/>
              </w:rPr>
            </w:pPr>
            <w:r>
              <w:rPr>
                <w:rFonts w:ascii="Arial" w:cs="Arial" w:eastAsia="Arial" w:hAnsi="Arial"/>
                <w:sz w:val="8"/>
                <w:szCs w:val="8"/>
                <w:color w:val="auto"/>
              </w:rPr>
              <w:t>2.2%</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6,000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6,000</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2.2%</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color w:val="auto"/>
              </w:rPr>
              <w:t>Immersive Media Tactical Solutions, LLC</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Specialty Defense Contractor</w:t>
            </w:r>
          </w:p>
        </w:tc>
        <w:tc>
          <w:tcPr>
            <w:tcW w:w="3220" w:type="dxa"/>
            <w:vAlign w:val="bottom"/>
            <w:gridSpan w:val="3"/>
            <w:vMerge w:val="restart"/>
          </w:tcPr>
          <w:p>
            <w:pPr>
              <w:ind w:left="120"/>
              <w:spacing w:after="0"/>
              <w:rPr>
                <w:sz w:val="20"/>
                <w:szCs w:val="20"/>
                <w:color w:val="auto"/>
              </w:rPr>
            </w:pPr>
            <w:r>
              <w:rPr>
                <w:rFonts w:ascii="Arial" w:cs="Arial" w:eastAsia="Arial" w:hAnsi="Arial"/>
                <w:sz w:val="8"/>
                <w:szCs w:val="8"/>
                <w:color w:val="auto"/>
              </w:rPr>
              <w:t>Senior Secured Term Debt (13% Cash, Due 10/6/16)</w:t>
            </w:r>
          </w:p>
        </w:tc>
        <w:tc>
          <w:tcPr>
            <w:tcW w:w="140" w:type="dxa"/>
            <w:vAlign w:val="bottom"/>
          </w:tcPr>
          <w:p>
            <w:pPr>
              <w:spacing w:after="0" w:line="20" w:lineRule="exact"/>
              <w:rPr>
                <w:sz w:val="1"/>
                <w:szCs w:val="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2,000</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32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2,000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2,000</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0.7%</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Immersive Media Tactical Solutions,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Specialty Defense Contractor</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Common Unit Warrants (12% fully diluted)</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800</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0.3%</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2,000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2,800</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1.0%</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Medical Depot, Inc.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Medical Device Distributor</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(14% Cash, Due 10/11/16)</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4,667</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4,667</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4,667</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1.7%</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Medical Depot,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Medical Device Distributor</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Series C Convertible Preferred Stock (740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1,333</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2,129</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0.8%</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rPr>
                <w:sz w:val="7"/>
                <w:szCs w:val="7"/>
                <w:color w:val="auto"/>
              </w:rPr>
            </w:pP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w:t>
            </w: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tcBorders>
              <w:bottom w:val="single" w:sz="8" w:color="auto"/>
            </w:tcBorders>
            <w:shd w:val="clear" w:color="auto" w:fill="CCFFCC"/>
          </w:tcPr>
          <w:p>
            <w:pPr>
              <w:spacing w:after="0"/>
              <w:rPr>
                <w:sz w:val="7"/>
                <w:szCs w:val="7"/>
                <w:color w:val="auto"/>
              </w:rPr>
            </w:pPr>
          </w:p>
        </w:tc>
        <w:tc>
          <w:tcPr>
            <w:tcW w:w="600" w:type="dxa"/>
            <w:vAlign w:val="bottom"/>
            <w:tcBorders>
              <w:bottom w:val="single" w:sz="8" w:color="auto"/>
            </w:tcBorders>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160" w:type="dxa"/>
            <w:vAlign w:val="bottom"/>
            <w:tcBorders>
              <w:bottom w:val="single" w:sz="8" w:color="auto"/>
            </w:tcBorders>
            <w:shd w:val="clear" w:color="auto" w:fill="CCFFCC"/>
          </w:tcPr>
          <w:p>
            <w:pPr>
              <w:spacing w:after="0"/>
              <w:rPr>
                <w:sz w:val="7"/>
                <w:szCs w:val="7"/>
                <w:color w:val="auto"/>
              </w:rPr>
            </w:pPr>
          </w:p>
        </w:tc>
        <w:tc>
          <w:tcPr>
            <w:tcW w:w="620" w:type="dxa"/>
            <w:vAlign w:val="bottom"/>
            <w:tcBorders>
              <w:bottom w:val="single" w:sz="8" w:color="auto"/>
            </w:tcBorders>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780" w:type="dxa"/>
            <w:vAlign w:val="bottom"/>
            <w:tcBorders>
              <w:bottom w:val="single" w:sz="8" w:color="auto"/>
            </w:tcBorders>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6,000</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6,796</w:t>
            </w:r>
          </w:p>
        </w:tc>
        <w:tc>
          <w:tcPr>
            <w:tcW w:w="240" w:type="dxa"/>
            <w:vAlign w:val="bottom"/>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2.5%</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line="113" w:lineRule="exact"/>
              <w:rPr>
                <w:sz w:val="20"/>
                <w:szCs w:val="20"/>
                <w:color w:val="auto"/>
              </w:rPr>
            </w:pPr>
            <w:r>
              <w:rPr>
                <w:rFonts w:ascii="Arial" w:cs="Arial" w:eastAsia="Arial" w:hAnsi="Arial"/>
                <w:sz w:val="8"/>
                <w:szCs w:val="8"/>
                <w:color w:val="auto"/>
              </w:rPr>
              <w:t xml:space="preserve">Naples Lumber &amp; Supply Co </w:t>
            </w:r>
            <w:r>
              <w:rPr>
                <w:rFonts w:ascii="Arial" w:cs="Arial" w:eastAsia="Arial" w:hAnsi="Arial"/>
                <w:sz w:val="13"/>
                <w:szCs w:val="13"/>
                <w:color w:val="auto"/>
                <w:vertAlign w:val="superscript"/>
              </w:rPr>
              <w:t>(1)</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Building Supplies</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(6% cash, Due 2/15/14)</w:t>
            </w: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60" w:type="dxa"/>
            <w:vAlign w:val="bottom"/>
            <w:vMerge w:val="continue"/>
            <w:shd w:val="clear" w:color="auto" w:fill="CCFFCC"/>
          </w:tcPr>
          <w:p>
            <w:pPr>
              <w:spacing w:after="0"/>
              <w:rPr>
                <w:sz w:val="8"/>
                <w:szCs w:val="8"/>
                <w:color w:val="auto"/>
              </w:rPr>
            </w:pPr>
          </w:p>
        </w:tc>
        <w:tc>
          <w:tcPr>
            <w:tcW w:w="2200" w:type="dxa"/>
            <w:vAlign w:val="bottom"/>
            <w:gridSpan w:val="2"/>
            <w:vMerge w:val="continue"/>
            <w:shd w:val="clear" w:color="auto" w:fill="CCFFCC"/>
          </w:tcPr>
          <w:p>
            <w:pPr>
              <w:spacing w:after="0"/>
              <w:rPr>
                <w:sz w:val="8"/>
                <w:szCs w:val="8"/>
                <w:color w:val="auto"/>
              </w:rPr>
            </w:pPr>
          </w:p>
        </w:tc>
        <w:tc>
          <w:tcPr>
            <w:tcW w:w="3220" w:type="dxa"/>
            <w:vAlign w:val="bottom"/>
            <w:gridSpan w:val="3"/>
            <w:vMerge w:val="continue"/>
            <w:shd w:val="clear" w:color="auto" w:fill="CCFFCC"/>
          </w:tcPr>
          <w:p>
            <w:pPr>
              <w:spacing w:after="0"/>
              <w:rPr>
                <w:sz w:val="8"/>
                <w:szCs w:val="8"/>
                <w:color w:val="auto"/>
              </w:rPr>
            </w:pPr>
          </w:p>
        </w:tc>
        <w:tc>
          <w:tcPr>
            <w:tcW w:w="140" w:type="dxa"/>
            <w:vAlign w:val="bottom"/>
            <w:shd w:val="clear" w:color="auto" w:fill="CCFFCC"/>
          </w:tcPr>
          <w:p>
            <w:pPr>
              <w:spacing w:after="0"/>
              <w:rPr>
                <w:sz w:val="8"/>
                <w:szCs w:val="8"/>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8"/>
                <w:szCs w:val="8"/>
                <w:color w:val="auto"/>
              </w:rPr>
              <w:t>2,109</w:t>
            </w:r>
          </w:p>
        </w:tc>
        <w:tc>
          <w:tcPr>
            <w:tcW w:w="180" w:type="dxa"/>
            <w:vAlign w:val="bottom"/>
            <w:shd w:val="clear" w:color="auto" w:fill="CCFFCC"/>
          </w:tcPr>
          <w:p>
            <w:pPr>
              <w:spacing w:after="0"/>
              <w:rPr>
                <w:sz w:val="8"/>
                <w:szCs w:val="8"/>
                <w:color w:val="auto"/>
              </w:rPr>
            </w:pPr>
          </w:p>
        </w:tc>
        <w:tc>
          <w:tcPr>
            <w:tcW w:w="84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1,309</w:t>
            </w:r>
          </w:p>
        </w:tc>
        <w:tc>
          <w:tcPr>
            <w:tcW w:w="160" w:type="dxa"/>
            <w:vAlign w:val="bottom"/>
            <w:shd w:val="clear" w:color="auto" w:fill="CCFFCC"/>
          </w:tcPr>
          <w:p>
            <w:pPr>
              <w:spacing w:after="0"/>
              <w:rPr>
                <w:sz w:val="8"/>
                <w:szCs w:val="8"/>
                <w:color w:val="auto"/>
              </w:rPr>
            </w:pPr>
          </w:p>
        </w:tc>
        <w:tc>
          <w:tcPr>
            <w:tcW w:w="86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2,109</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8"/>
                <w:szCs w:val="8"/>
                <w:color w:val="auto"/>
              </w:rPr>
              <w:t>0.8%</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Naples Lumber &amp; Supply Co</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Building Supplies</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Common Stock Warrants (10% fully diluted)</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400</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0.1%</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1,309</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2,509</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0.9%</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line="113" w:lineRule="exact"/>
              <w:rPr>
                <w:sz w:val="20"/>
                <w:szCs w:val="20"/>
                <w:color w:val="auto"/>
              </w:rPr>
            </w:pPr>
            <w:r>
              <w:rPr>
                <w:rFonts w:ascii="Arial" w:cs="Arial" w:eastAsia="Arial" w:hAnsi="Arial"/>
                <w:sz w:val="8"/>
                <w:szCs w:val="8"/>
                <w:color w:val="auto"/>
              </w:rPr>
              <w:t xml:space="preserve">Pickaway Plains Ambulance Services, Inc. </w:t>
            </w:r>
            <w:r>
              <w:rPr>
                <w:rFonts w:ascii="Arial" w:cs="Arial" w:eastAsia="Arial" w:hAnsi="Arial"/>
                <w:sz w:val="13"/>
                <w:szCs w:val="13"/>
                <w:color w:val="auto"/>
                <w:vertAlign w:val="superscript"/>
              </w:rPr>
              <w:t>(1, 2)</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Medical Transportation Services</w:t>
            </w:r>
          </w:p>
        </w:tc>
        <w:tc>
          <w:tcPr>
            <w:tcW w:w="3220" w:type="dxa"/>
            <w:vAlign w:val="bottom"/>
            <w:gridSpan w:val="3"/>
            <w:vMerge w:val="restart"/>
          </w:tcPr>
          <w:p>
            <w:pPr>
              <w:ind w:left="120"/>
              <w:spacing w:after="0"/>
              <w:rPr>
                <w:sz w:val="20"/>
                <w:szCs w:val="20"/>
                <w:color w:val="auto"/>
              </w:rPr>
            </w:pPr>
            <w:r>
              <w:rPr>
                <w:rFonts w:ascii="Arial" w:cs="Arial" w:eastAsia="Arial" w:hAnsi="Arial"/>
                <w:sz w:val="8"/>
                <w:szCs w:val="8"/>
                <w:color w:val="auto"/>
              </w:rPr>
              <w:t>Senior Secured Term Debt (13% Cash, Due 12/31/15)</w:t>
            </w: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60" w:type="dxa"/>
            <w:vAlign w:val="bottom"/>
            <w:vMerge w:val="continue"/>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32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8"/>
                <w:szCs w:val="8"/>
                <w:color w:val="auto"/>
              </w:rPr>
              <w:t>1,548</w:t>
            </w:r>
          </w:p>
        </w:tc>
        <w:tc>
          <w:tcPr>
            <w:tcW w:w="180" w:type="dxa"/>
            <w:vAlign w:val="bottom"/>
          </w:tcPr>
          <w:p>
            <w:pPr>
              <w:spacing w:after="0"/>
              <w:rPr>
                <w:sz w:val="8"/>
                <w:szCs w:val="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8"/>
                <w:szCs w:val="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Pickaway Plains Ambulance Services,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Medical Transportation Services</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Warrants (5% fully diluted)</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line="113" w:lineRule="exact"/>
              <w:rPr>
                <w:sz w:val="20"/>
                <w:szCs w:val="20"/>
                <w:color w:val="auto"/>
              </w:rPr>
            </w:pPr>
            <w:r>
              <w:rPr>
                <w:rFonts w:ascii="Arial" w:cs="Arial" w:eastAsia="Arial" w:hAnsi="Arial"/>
                <w:sz w:val="8"/>
                <w:szCs w:val="8"/>
                <w:color w:val="auto"/>
              </w:rPr>
              <w:t xml:space="preserve">Precision Manufacturing, LLC </w:t>
            </w:r>
            <w:r>
              <w:rPr>
                <w:rFonts w:ascii="Arial" w:cs="Arial" w:eastAsia="Arial" w:hAnsi="Arial"/>
                <w:sz w:val="13"/>
                <w:szCs w:val="13"/>
                <w:color w:val="auto"/>
                <w:vertAlign w:val="superscript"/>
              </w:rPr>
              <w:t>(2)</w:t>
            </w: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60" w:type="dxa"/>
            <w:vAlign w:val="bottom"/>
            <w:vMerge w:val="continue"/>
            <w:shd w:val="clear" w:color="auto" w:fill="CCFFCC"/>
          </w:tcPr>
          <w:p>
            <w:pPr>
              <w:spacing w:after="0"/>
              <w:rPr>
                <w:sz w:val="8"/>
                <w:szCs w:val="8"/>
                <w:color w:val="auto"/>
              </w:rPr>
            </w:pPr>
          </w:p>
        </w:tc>
        <w:tc>
          <w:tcPr>
            <w:tcW w:w="2200" w:type="dxa"/>
            <w:vAlign w:val="bottom"/>
            <w:gridSpan w:val="2"/>
            <w:shd w:val="clear" w:color="auto" w:fill="CCFFCC"/>
          </w:tcPr>
          <w:p>
            <w:pPr>
              <w:ind w:left="120"/>
              <w:spacing w:after="0"/>
              <w:rPr>
                <w:sz w:val="20"/>
                <w:szCs w:val="20"/>
                <w:color w:val="auto"/>
              </w:rPr>
            </w:pPr>
            <w:r>
              <w:rPr>
                <w:rFonts w:ascii="Arial" w:cs="Arial" w:eastAsia="Arial" w:hAnsi="Arial"/>
                <w:sz w:val="8"/>
                <w:szCs w:val="8"/>
                <w:color w:val="auto"/>
              </w:rPr>
              <w:t>Industrial Boiler Manufacturer</w:t>
            </w:r>
          </w:p>
        </w:tc>
        <w:tc>
          <w:tcPr>
            <w:tcW w:w="3220" w:type="dxa"/>
            <w:vAlign w:val="bottom"/>
            <w:gridSpan w:val="3"/>
            <w:shd w:val="clear" w:color="auto" w:fill="CCFFCC"/>
          </w:tcPr>
          <w:p>
            <w:pPr>
              <w:ind w:left="120"/>
              <w:spacing w:after="0"/>
              <w:rPr>
                <w:sz w:val="20"/>
                <w:szCs w:val="20"/>
                <w:color w:val="auto"/>
              </w:rPr>
            </w:pPr>
            <w:r>
              <w:rPr>
                <w:rFonts w:ascii="Arial" w:cs="Arial" w:eastAsia="Arial" w:hAnsi="Arial"/>
                <w:sz w:val="8"/>
                <w:szCs w:val="8"/>
                <w:color w:val="auto"/>
              </w:rPr>
              <w:t>Subordinated Debt (13% Cash, Due 2/10/17)</w:t>
            </w:r>
          </w:p>
        </w:tc>
        <w:tc>
          <w:tcPr>
            <w:tcW w:w="140" w:type="dxa"/>
            <w:vAlign w:val="bottom"/>
            <w:shd w:val="clear" w:color="auto" w:fill="CCFFCC"/>
          </w:tcPr>
          <w:p>
            <w:pPr>
              <w:spacing w:after="0"/>
              <w:rPr>
                <w:sz w:val="8"/>
                <w:szCs w:val="8"/>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8"/>
                <w:szCs w:val="8"/>
                <w:color w:val="auto"/>
              </w:rPr>
              <w:t>2,500</w:t>
            </w:r>
          </w:p>
        </w:tc>
        <w:tc>
          <w:tcPr>
            <w:tcW w:w="180" w:type="dxa"/>
            <w:vAlign w:val="bottom"/>
            <w:shd w:val="clear" w:color="auto" w:fill="CCFFCC"/>
          </w:tcPr>
          <w:p>
            <w:pPr>
              <w:spacing w:after="0"/>
              <w:rPr>
                <w:sz w:val="8"/>
                <w:szCs w:val="8"/>
                <w:color w:val="auto"/>
              </w:rPr>
            </w:pPr>
          </w:p>
        </w:tc>
        <w:tc>
          <w:tcPr>
            <w:tcW w:w="84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2,500</w:t>
            </w:r>
          </w:p>
        </w:tc>
        <w:tc>
          <w:tcPr>
            <w:tcW w:w="160" w:type="dxa"/>
            <w:vAlign w:val="bottom"/>
            <w:shd w:val="clear" w:color="auto" w:fill="CCFFCC"/>
          </w:tcPr>
          <w:p>
            <w:pPr>
              <w:spacing w:after="0"/>
              <w:rPr>
                <w:sz w:val="8"/>
                <w:szCs w:val="8"/>
                <w:color w:val="auto"/>
              </w:rPr>
            </w:pPr>
          </w:p>
        </w:tc>
        <w:tc>
          <w:tcPr>
            <w:tcW w:w="86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1,536</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8"/>
                <w:szCs w:val="8"/>
                <w:color w:val="auto"/>
              </w:rPr>
              <w:t>0.6%</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Precision Manufacturing,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Industrial Boiler Manufacturer</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Membership Unit Warrants (70,000 units)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2,500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1,536</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0.6%</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color w:val="auto"/>
              </w:rPr>
              <w:t>Sierra Hamilton, LLC</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Oil &amp; Gas Engineering and Consulting Services</w:t>
            </w:r>
          </w:p>
        </w:tc>
        <w:tc>
          <w:tcPr>
            <w:tcW w:w="3220" w:type="dxa"/>
            <w:vAlign w:val="bottom"/>
            <w:gridSpan w:val="3"/>
            <w:vMerge w:val="restart"/>
          </w:tcPr>
          <w:p>
            <w:pPr>
              <w:ind w:left="120"/>
              <w:spacing w:after="0"/>
              <w:rPr>
                <w:sz w:val="20"/>
                <w:szCs w:val="20"/>
                <w:color w:val="auto"/>
              </w:rPr>
            </w:pPr>
            <w:r>
              <w:rPr>
                <w:rFonts w:ascii="Arial" w:cs="Arial" w:eastAsia="Arial" w:hAnsi="Arial"/>
                <w:sz w:val="8"/>
                <w:szCs w:val="8"/>
                <w:color w:val="auto"/>
              </w:rPr>
              <w:t>Senior Debt (12.25% Cash, 12/15/18)</w:t>
            </w:r>
          </w:p>
        </w:tc>
        <w:tc>
          <w:tcPr>
            <w:tcW w:w="140" w:type="dxa"/>
            <w:vAlign w:val="bottom"/>
          </w:tcPr>
          <w:p>
            <w:pPr>
              <w:spacing w:after="0" w:line="20" w:lineRule="exact"/>
              <w:rPr>
                <w:sz w:val="1"/>
                <w:szCs w:val="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15,000</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32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15,000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15,000</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5.6%</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15,000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15,000</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5.6%</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line="113" w:lineRule="exact"/>
              <w:rPr>
                <w:sz w:val="20"/>
                <w:szCs w:val="20"/>
                <w:color w:val="auto"/>
              </w:rPr>
            </w:pPr>
            <w:r>
              <w:rPr>
                <w:rFonts w:ascii="Arial" w:cs="Arial" w:eastAsia="Arial" w:hAnsi="Arial"/>
                <w:sz w:val="8"/>
                <w:szCs w:val="8"/>
                <w:color w:val="auto"/>
              </w:rPr>
              <w:t xml:space="preserve">Southern Pump &amp; Tank Company, LLC </w:t>
            </w:r>
            <w:r>
              <w:rPr>
                <w:rFonts w:ascii="Arial" w:cs="Arial" w:eastAsia="Arial" w:hAnsi="Arial"/>
                <w:sz w:val="13"/>
                <w:szCs w:val="13"/>
                <w:color w:val="auto"/>
                <w:vertAlign w:val="superscript"/>
              </w:rPr>
              <w:t>(1)</w:t>
            </w:r>
          </w:p>
        </w:tc>
        <w:tc>
          <w:tcPr>
            <w:tcW w:w="220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60" w:type="dxa"/>
            <w:vAlign w:val="bottom"/>
            <w:vMerge w:val="continue"/>
          </w:tcPr>
          <w:p>
            <w:pPr>
              <w:spacing w:after="0"/>
              <w:rPr>
                <w:sz w:val="8"/>
                <w:szCs w:val="8"/>
                <w:color w:val="auto"/>
              </w:rPr>
            </w:pPr>
          </w:p>
        </w:tc>
        <w:tc>
          <w:tcPr>
            <w:tcW w:w="2200" w:type="dxa"/>
            <w:vAlign w:val="bottom"/>
            <w:gridSpan w:val="2"/>
          </w:tcPr>
          <w:p>
            <w:pPr>
              <w:ind w:left="120"/>
              <w:spacing w:after="0"/>
              <w:rPr>
                <w:sz w:val="20"/>
                <w:szCs w:val="20"/>
                <w:color w:val="auto"/>
              </w:rPr>
            </w:pPr>
            <w:r>
              <w:rPr>
                <w:rFonts w:ascii="Arial" w:cs="Arial" w:eastAsia="Arial" w:hAnsi="Arial"/>
                <w:sz w:val="8"/>
                <w:szCs w:val="8"/>
                <w:color w:val="auto"/>
              </w:rPr>
              <w:t>Petroleum Equipment Supplier</w:t>
            </w:r>
          </w:p>
        </w:tc>
        <w:tc>
          <w:tcPr>
            <w:tcW w:w="3220" w:type="dxa"/>
            <w:vAlign w:val="bottom"/>
            <w:gridSpan w:val="3"/>
          </w:tcPr>
          <w:p>
            <w:pPr>
              <w:ind w:left="120"/>
              <w:spacing w:after="0"/>
              <w:rPr>
                <w:sz w:val="20"/>
                <w:szCs w:val="20"/>
                <w:color w:val="auto"/>
              </w:rPr>
            </w:pPr>
            <w:r>
              <w:rPr>
                <w:rFonts w:ascii="Arial" w:cs="Arial" w:eastAsia="Arial" w:hAnsi="Arial"/>
                <w:sz w:val="8"/>
                <w:szCs w:val="8"/>
                <w:color w:val="auto"/>
              </w:rPr>
              <w:t>Senior Secured Term Debt (13% Cash, 6% PIK, Due 6/15/14)</w:t>
            </w:r>
          </w:p>
        </w:tc>
        <w:tc>
          <w:tcPr>
            <w:tcW w:w="140" w:type="dxa"/>
            <w:vAlign w:val="bottom"/>
          </w:tcPr>
          <w:p>
            <w:pPr>
              <w:spacing w:after="0"/>
              <w:rPr>
                <w:sz w:val="8"/>
                <w:szCs w:val="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8"/>
                <w:szCs w:val="8"/>
                <w:color w:val="auto"/>
              </w:rPr>
              <w:t>3,633</w:t>
            </w:r>
          </w:p>
        </w:tc>
        <w:tc>
          <w:tcPr>
            <w:tcW w:w="180" w:type="dxa"/>
            <w:vAlign w:val="bottom"/>
          </w:tcPr>
          <w:p>
            <w:pPr>
              <w:spacing w:after="0"/>
              <w:rPr>
                <w:sz w:val="8"/>
                <w:szCs w:val="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3,213</w:t>
            </w:r>
          </w:p>
        </w:tc>
        <w:tc>
          <w:tcPr>
            <w:tcW w:w="160" w:type="dxa"/>
            <w:vAlign w:val="bottom"/>
          </w:tcPr>
          <w:p>
            <w:pPr>
              <w:spacing w:after="0"/>
              <w:rPr>
                <w:sz w:val="8"/>
                <w:szCs w:val="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3,624</w:t>
            </w:r>
          </w:p>
        </w:tc>
        <w:tc>
          <w:tcPr>
            <w:tcW w:w="900" w:type="dxa"/>
            <w:vAlign w:val="bottom"/>
            <w:gridSpan w:val="2"/>
          </w:tcPr>
          <w:p>
            <w:pPr>
              <w:jc w:val="right"/>
              <w:ind w:right="40"/>
              <w:spacing w:after="0"/>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Southern Pump &amp; Tank Company,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Petroleum Equipment Supplier</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Warrants (10% fully diluted)</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3,213</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3,624</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Stoddard Hill Media Holdings, LLC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IT Hosting Services</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Class D Preferred Units (132,159 shares)</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300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453</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0.2%</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300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453</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0.2%</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Tenere, Inc.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Industrial Manufacturing</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Senior Secured Term Debt (11% Cash, 2% PIK, Due 12/17/17)</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3,440</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3,440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3,440</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3,440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3,440</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Worklife America, Inc.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Professional Employer Organization</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Senior Secured Debt (12% Cash, Due 12/28/16)</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18,656</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18,656</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18,656</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7.0%</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Worklife America,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Professional Employer Organization</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Common Unit Warrants (3.84% ownership)</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3,441</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Worklife America,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Professional Employer Organization</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Preferred Unit Warrants (3.84% ownership)</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580</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0.2%</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18,656</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22,677</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8.5%</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b w:val="1"/>
                <w:bCs w:val="1"/>
                <w:color w:val="auto"/>
              </w:rPr>
              <w:t>Sub Total Non-control/Non-affiliated investments</w:t>
            </w: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jc w:val="right"/>
              <w:ind w:right="114"/>
              <w:spacing w:after="0"/>
              <w:rPr>
                <w:sz w:val="20"/>
                <w:szCs w:val="20"/>
                <w:color w:val="auto"/>
              </w:rPr>
            </w:pPr>
            <w:r>
              <w:rPr>
                <w:rFonts w:ascii="Arial" w:cs="Arial" w:eastAsia="Arial" w:hAnsi="Arial"/>
                <w:sz w:val="5"/>
                <w:szCs w:val="5"/>
                <w:color w:val="auto"/>
                <w:w w:val="70"/>
              </w:rPr>
              <w:t>$</w:t>
            </w: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84,138</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jc w:val="right"/>
              <w:ind w:right="94"/>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99,140</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36.9%</w:t>
            </w:r>
          </w:p>
        </w:tc>
        <w:tc>
          <w:tcPr>
            <w:tcW w:w="0" w:type="dxa"/>
            <w:vAlign w:val="bottom"/>
          </w:tcPr>
          <w:p>
            <w:pPr>
              <w:spacing w:after="0"/>
              <w:rPr>
                <w:sz w:val="1"/>
                <w:szCs w:val="1"/>
                <w:color w:val="auto"/>
              </w:rPr>
            </w:pPr>
          </w:p>
        </w:tc>
      </w:tr>
      <w:tr>
        <w:trPr>
          <w:trHeight w:val="81"/>
        </w:trPr>
        <w:tc>
          <w:tcPr>
            <w:tcW w:w="2060" w:type="dxa"/>
            <w:vAlign w:val="bottom"/>
          </w:tcPr>
          <w:p>
            <w:pPr>
              <w:spacing w:after="0" w:line="81" w:lineRule="exact"/>
              <w:rPr>
                <w:sz w:val="20"/>
                <w:szCs w:val="20"/>
                <w:color w:val="auto"/>
              </w:rPr>
            </w:pPr>
            <w:r>
              <w:rPr>
                <w:rFonts w:ascii="Arial" w:cs="Arial" w:eastAsia="Arial" w:hAnsi="Arial"/>
                <w:sz w:val="8"/>
                <w:szCs w:val="8"/>
                <w:b w:val="1"/>
                <w:bCs w:val="1"/>
                <w:color w:val="auto"/>
              </w:rPr>
              <w:t>Affiliate investments - 70.4%</w:t>
            </w: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60" w:type="dxa"/>
            <w:vAlign w:val="bottom"/>
            <w:shd w:val="clear" w:color="auto" w:fill="CCFFCC"/>
          </w:tcPr>
          <w:p>
            <w:pPr>
              <w:spacing w:after="0"/>
              <w:rPr>
                <w:sz w:val="20"/>
                <w:szCs w:val="20"/>
                <w:color w:val="auto"/>
              </w:rPr>
            </w:pPr>
            <w:r>
              <w:rPr>
                <w:rFonts w:ascii="Arial" w:cs="Arial" w:eastAsia="Arial" w:hAnsi="Arial"/>
                <w:sz w:val="8"/>
                <w:szCs w:val="8"/>
                <w:color w:val="auto"/>
              </w:rPr>
              <w:t>Chef'N Corporation</w:t>
            </w:r>
          </w:p>
        </w:tc>
        <w:tc>
          <w:tcPr>
            <w:tcW w:w="2200" w:type="dxa"/>
            <w:vAlign w:val="bottom"/>
            <w:gridSpan w:val="2"/>
            <w:shd w:val="clear" w:color="auto" w:fill="CCFFCC"/>
          </w:tcPr>
          <w:p>
            <w:pPr>
              <w:ind w:left="120"/>
              <w:spacing w:after="0"/>
              <w:rPr>
                <w:sz w:val="20"/>
                <w:szCs w:val="20"/>
                <w:color w:val="auto"/>
              </w:rPr>
            </w:pPr>
            <w:r>
              <w:rPr>
                <w:rFonts w:ascii="Arial" w:cs="Arial" w:eastAsia="Arial" w:hAnsi="Arial"/>
                <w:sz w:val="8"/>
                <w:szCs w:val="8"/>
                <w:color w:val="auto"/>
              </w:rPr>
              <w:t>Culinary Products</w:t>
            </w:r>
          </w:p>
        </w:tc>
        <w:tc>
          <w:tcPr>
            <w:tcW w:w="3220" w:type="dxa"/>
            <w:vAlign w:val="bottom"/>
            <w:gridSpan w:val="3"/>
            <w:shd w:val="clear" w:color="auto" w:fill="CCFFCC"/>
          </w:tcPr>
          <w:p>
            <w:pPr>
              <w:ind w:left="120"/>
              <w:spacing w:after="0"/>
              <w:rPr>
                <w:sz w:val="20"/>
                <w:szCs w:val="20"/>
                <w:color w:val="auto"/>
              </w:rPr>
            </w:pPr>
            <w:r>
              <w:rPr>
                <w:rFonts w:ascii="Arial" w:cs="Arial" w:eastAsia="Arial" w:hAnsi="Arial"/>
                <w:sz w:val="8"/>
                <w:szCs w:val="8"/>
                <w:color w:val="auto"/>
              </w:rPr>
              <w:t>Subordinated Debt (15%, 3% PIK at company's option, Due 5/16/18)</w:t>
            </w:r>
          </w:p>
        </w:tc>
        <w:tc>
          <w:tcPr>
            <w:tcW w:w="140" w:type="dxa"/>
            <w:vAlign w:val="bottom"/>
            <w:shd w:val="clear" w:color="auto" w:fill="CCFFCC"/>
          </w:tcPr>
          <w:p>
            <w:pPr>
              <w:jc w:val="right"/>
              <w:ind w:right="74"/>
              <w:spacing w:after="0"/>
              <w:rPr>
                <w:sz w:val="20"/>
                <w:szCs w:val="20"/>
                <w:color w:val="auto"/>
              </w:rPr>
            </w:pPr>
            <w:r>
              <w:rPr>
                <w:rFonts w:ascii="Arial" w:cs="Arial" w:eastAsia="Arial" w:hAnsi="Arial"/>
                <w:sz w:val="5"/>
                <w:szCs w:val="5"/>
                <w:color w:val="auto"/>
                <w:w w:val="70"/>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8"/>
                <w:szCs w:val="8"/>
                <w:color w:val="auto"/>
              </w:rPr>
              <w:t>6,300</w:t>
            </w:r>
          </w:p>
        </w:tc>
        <w:tc>
          <w:tcPr>
            <w:tcW w:w="180" w:type="dxa"/>
            <w:vAlign w:val="bottom"/>
            <w:shd w:val="clear" w:color="auto" w:fill="CCFFCC"/>
          </w:tcPr>
          <w:p>
            <w:pPr>
              <w:jc w:val="right"/>
              <w:ind w:right="114"/>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6,300</w:t>
            </w:r>
          </w:p>
        </w:tc>
        <w:tc>
          <w:tcPr>
            <w:tcW w:w="160" w:type="dxa"/>
            <w:vAlign w:val="bottom"/>
            <w:shd w:val="clear" w:color="auto" w:fill="CCFFCC"/>
          </w:tcPr>
          <w:p>
            <w:pPr>
              <w:jc w:val="right"/>
              <w:ind w:right="94"/>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6,300</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8"/>
                <w:szCs w:val="8"/>
                <w:color w:val="auto"/>
              </w:rPr>
              <w:t>2.3%</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Chef'N Corporation</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Culinary Products</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Series A Preferred Stock (1,000,000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1,000</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4,002</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1.5%</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7,300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10,302</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3.8%</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color w:val="auto"/>
              </w:rPr>
              <w:t>City Gear, LLC</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Footwear Retail</w:t>
            </w:r>
          </w:p>
        </w:tc>
        <w:tc>
          <w:tcPr>
            <w:tcW w:w="3220" w:type="dxa"/>
            <w:vAlign w:val="bottom"/>
            <w:gridSpan w:val="3"/>
            <w:vMerge w:val="restart"/>
          </w:tcPr>
          <w:p>
            <w:pPr>
              <w:ind w:left="120"/>
              <w:spacing w:after="0"/>
              <w:rPr>
                <w:sz w:val="20"/>
                <w:szCs w:val="20"/>
                <w:color w:val="auto"/>
              </w:rPr>
            </w:pPr>
            <w:r>
              <w:rPr>
                <w:rFonts w:ascii="Arial" w:cs="Arial" w:eastAsia="Arial" w:hAnsi="Arial"/>
                <w:sz w:val="8"/>
                <w:szCs w:val="8"/>
                <w:color w:val="auto"/>
              </w:rPr>
              <w:t>Subordinated Debt (13% Cash, Due 9/28/16)</w:t>
            </w:r>
          </w:p>
        </w:tc>
        <w:tc>
          <w:tcPr>
            <w:tcW w:w="140" w:type="dxa"/>
            <w:vAlign w:val="bottom"/>
          </w:tcPr>
          <w:p>
            <w:pPr>
              <w:spacing w:after="0" w:line="20" w:lineRule="exact"/>
              <w:rPr>
                <w:sz w:val="1"/>
                <w:szCs w:val="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8,231</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32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8,231</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8,231</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3.1%</w:t>
            </w:r>
          </w:p>
        </w:tc>
        <w:tc>
          <w:tcPr>
            <w:tcW w:w="0" w:type="dxa"/>
            <w:vAlign w:val="bottom"/>
          </w:tcPr>
          <w:p>
            <w:pPr>
              <w:spacing w:after="0"/>
              <w:rPr>
                <w:sz w:val="1"/>
                <w:szCs w:val="1"/>
                <w:color w:val="auto"/>
              </w:rPr>
            </w:pPr>
          </w:p>
        </w:tc>
      </w:tr>
      <w:tr>
        <w:trPr>
          <w:trHeight w:val="113"/>
        </w:trPr>
        <w:tc>
          <w:tcPr>
            <w:tcW w:w="2060" w:type="dxa"/>
            <w:vAlign w:val="bottom"/>
            <w:shd w:val="clear" w:color="auto" w:fill="CCFFCC"/>
          </w:tcPr>
          <w:p>
            <w:pPr>
              <w:spacing w:after="0" w:line="113" w:lineRule="exact"/>
              <w:rPr>
                <w:sz w:val="20"/>
                <w:szCs w:val="20"/>
                <w:color w:val="auto"/>
              </w:rPr>
            </w:pPr>
            <w:r>
              <w:rPr>
                <w:rFonts w:ascii="Arial" w:cs="Arial" w:eastAsia="Arial" w:hAnsi="Arial"/>
                <w:sz w:val="8"/>
                <w:szCs w:val="8"/>
                <w:color w:val="auto"/>
              </w:rPr>
              <w:t xml:space="preserve">City Gear, LLC </w:t>
            </w:r>
            <w:r>
              <w:rPr>
                <w:rFonts w:ascii="Arial" w:cs="Arial" w:eastAsia="Arial" w:hAnsi="Arial"/>
                <w:sz w:val="13"/>
                <w:szCs w:val="13"/>
                <w:color w:val="auto"/>
                <w:vertAlign w:val="superscript"/>
              </w:rPr>
              <w:t>(6)</w:t>
            </w:r>
          </w:p>
        </w:tc>
        <w:tc>
          <w:tcPr>
            <w:tcW w:w="2200" w:type="dxa"/>
            <w:vAlign w:val="bottom"/>
            <w:gridSpan w:val="2"/>
            <w:shd w:val="clear" w:color="auto" w:fill="CCFFCC"/>
          </w:tcPr>
          <w:p>
            <w:pPr>
              <w:ind w:left="120"/>
              <w:spacing w:after="0"/>
              <w:rPr>
                <w:sz w:val="20"/>
                <w:szCs w:val="20"/>
                <w:color w:val="auto"/>
              </w:rPr>
            </w:pPr>
            <w:r>
              <w:rPr>
                <w:rFonts w:ascii="Arial" w:cs="Arial" w:eastAsia="Arial" w:hAnsi="Arial"/>
                <w:sz w:val="8"/>
                <w:szCs w:val="8"/>
                <w:color w:val="auto"/>
              </w:rPr>
              <w:t>Footwear Retail</w:t>
            </w:r>
          </w:p>
        </w:tc>
        <w:tc>
          <w:tcPr>
            <w:tcW w:w="3220" w:type="dxa"/>
            <w:vAlign w:val="bottom"/>
            <w:gridSpan w:val="3"/>
            <w:shd w:val="clear" w:color="auto" w:fill="CCFFCC"/>
          </w:tcPr>
          <w:p>
            <w:pPr>
              <w:ind w:left="120"/>
              <w:spacing w:after="0"/>
              <w:rPr>
                <w:sz w:val="20"/>
                <w:szCs w:val="20"/>
                <w:color w:val="auto"/>
              </w:rPr>
            </w:pPr>
            <w:r>
              <w:rPr>
                <w:rFonts w:ascii="Arial" w:cs="Arial" w:eastAsia="Arial" w:hAnsi="Arial"/>
                <w:sz w:val="8"/>
                <w:szCs w:val="8"/>
                <w:color w:val="auto"/>
              </w:rPr>
              <w:t>Preferred Membership Units (2.78% fully diluted, 9% dividend)</w:t>
            </w:r>
          </w:p>
        </w:tc>
        <w:tc>
          <w:tcPr>
            <w:tcW w:w="140" w:type="dxa"/>
            <w:vAlign w:val="bottom"/>
            <w:shd w:val="clear" w:color="auto" w:fill="CCFFCC"/>
          </w:tcPr>
          <w:p>
            <w:pPr>
              <w:spacing w:after="0"/>
              <w:rPr>
                <w:sz w:val="9"/>
                <w:szCs w:val="9"/>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9"/>
                <w:szCs w:val="9"/>
                <w:color w:val="auto"/>
              </w:rPr>
            </w:pPr>
          </w:p>
        </w:tc>
        <w:tc>
          <w:tcPr>
            <w:tcW w:w="84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1,269</w:t>
            </w:r>
          </w:p>
        </w:tc>
        <w:tc>
          <w:tcPr>
            <w:tcW w:w="160" w:type="dxa"/>
            <w:vAlign w:val="bottom"/>
            <w:shd w:val="clear" w:color="auto" w:fill="CCFFCC"/>
          </w:tcPr>
          <w:p>
            <w:pPr>
              <w:spacing w:after="0"/>
              <w:rPr>
                <w:sz w:val="9"/>
                <w:szCs w:val="9"/>
                <w:color w:val="auto"/>
              </w:rPr>
            </w:pPr>
          </w:p>
        </w:tc>
        <w:tc>
          <w:tcPr>
            <w:tcW w:w="86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1,269</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8"/>
                <w:szCs w:val="8"/>
                <w:color w:val="auto"/>
              </w:rPr>
              <w:t>0.5%</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City Gear,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Footwear Retail</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Membership Unit Warrants (11.37% fully diluted)</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5,307</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2.0%</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9,500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14,807</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5.6%</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color w:val="auto"/>
              </w:rPr>
              <w:t>Corporate Visions, Inc.</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Sales &amp; Marketing Services</w:t>
            </w:r>
          </w:p>
        </w:tc>
        <w:tc>
          <w:tcPr>
            <w:tcW w:w="3220" w:type="dxa"/>
            <w:vAlign w:val="bottom"/>
            <w:gridSpan w:val="3"/>
            <w:vMerge w:val="restart"/>
          </w:tcPr>
          <w:p>
            <w:pPr>
              <w:ind w:left="120"/>
              <w:spacing w:after="0"/>
              <w:rPr>
                <w:sz w:val="20"/>
                <w:szCs w:val="20"/>
                <w:color w:val="auto"/>
              </w:rPr>
            </w:pPr>
            <w:r>
              <w:rPr>
                <w:rFonts w:ascii="Arial" w:cs="Arial" w:eastAsia="Arial" w:hAnsi="Arial"/>
                <w:sz w:val="8"/>
                <w:szCs w:val="8"/>
                <w:color w:val="auto"/>
              </w:rPr>
              <w:t>Subordinated Debt (14% Cash, 2% PIK, Due 3/22/18)</w:t>
            </w:r>
          </w:p>
        </w:tc>
        <w:tc>
          <w:tcPr>
            <w:tcW w:w="140" w:type="dxa"/>
            <w:vAlign w:val="bottom"/>
          </w:tcPr>
          <w:p>
            <w:pPr>
              <w:spacing w:after="0" w:line="20" w:lineRule="exact"/>
              <w:rPr>
                <w:sz w:val="1"/>
                <w:szCs w:val="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11,174</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32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11,174</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11,174</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4.2%</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Corporate Visions,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Sales &amp; Marketing Services</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(2,216,463 shares)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2,576</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9,797</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3.6%</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Corporate Visions,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Sales &amp; Marketing Services</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Common Stock Warrant (403,257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1,782</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0.7%</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13,750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22,753</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8.5%</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color w:val="auto"/>
              </w:rPr>
              <w:t>GA Communications, Inc.</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Advertising &amp; Marketing Services</w:t>
            </w:r>
          </w:p>
        </w:tc>
        <w:tc>
          <w:tcPr>
            <w:tcW w:w="3220" w:type="dxa"/>
            <w:vAlign w:val="bottom"/>
            <w:gridSpan w:val="3"/>
            <w:vMerge w:val="restart"/>
          </w:tcPr>
          <w:p>
            <w:pPr>
              <w:ind w:left="120"/>
              <w:spacing w:after="0"/>
              <w:rPr>
                <w:sz w:val="20"/>
                <w:szCs w:val="20"/>
                <w:color w:val="auto"/>
              </w:rPr>
            </w:pPr>
            <w:r>
              <w:rPr>
                <w:rFonts w:ascii="Arial" w:cs="Arial" w:eastAsia="Arial" w:hAnsi="Arial"/>
                <w:sz w:val="8"/>
                <w:szCs w:val="8"/>
                <w:color w:val="auto"/>
              </w:rPr>
              <w:t>Series A-1 Preferred Stock (1,998 shares)</w:t>
            </w:r>
          </w:p>
        </w:tc>
        <w:tc>
          <w:tcPr>
            <w:tcW w:w="140" w:type="dxa"/>
            <w:vAlign w:val="bottom"/>
          </w:tcPr>
          <w:p>
            <w:pPr>
              <w:spacing w:after="0" w:line="20" w:lineRule="exact"/>
              <w:rPr>
                <w:sz w:val="1"/>
                <w:szCs w:val="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32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1,998</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2,370</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0.9%</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GA Communications,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Advertising &amp; Marketing Services</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Series B-1 Common Stock (200,000 shares)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2</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2,541</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0.9%</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2,000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4,911</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1.8%</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line="113" w:lineRule="exact"/>
              <w:rPr>
                <w:sz w:val="20"/>
                <w:szCs w:val="20"/>
                <w:color w:val="auto"/>
              </w:rPr>
            </w:pPr>
            <w:r>
              <w:rPr>
                <w:rFonts w:ascii="Arial" w:cs="Arial" w:eastAsia="Arial" w:hAnsi="Arial"/>
                <w:sz w:val="8"/>
                <w:szCs w:val="8"/>
                <w:color w:val="auto"/>
              </w:rPr>
              <w:t xml:space="preserve">Impresa Aerospace Holdings, LLC </w:t>
            </w:r>
            <w:r>
              <w:rPr>
                <w:rFonts w:ascii="Arial" w:cs="Arial" w:eastAsia="Arial" w:hAnsi="Arial"/>
                <w:sz w:val="13"/>
                <w:szCs w:val="13"/>
                <w:color w:val="auto"/>
                <w:vertAlign w:val="superscript"/>
              </w:rPr>
              <w:t>(3)</w:t>
            </w:r>
          </w:p>
        </w:tc>
        <w:tc>
          <w:tcPr>
            <w:tcW w:w="2200" w:type="dxa"/>
            <w:vAlign w:val="bottom"/>
            <w:gridSpan w:val="2"/>
            <w:shd w:val="clear" w:color="auto" w:fill="CCFFCC"/>
          </w:tcPr>
          <w:p>
            <w:pPr>
              <w:spacing w:after="0" w:line="20" w:lineRule="exact"/>
              <w:rPr>
                <w:sz w:val="1"/>
                <w:szCs w:val="1"/>
                <w:color w:val="auto"/>
              </w:rPr>
            </w:pPr>
          </w:p>
        </w:tc>
        <w:tc>
          <w:tcPr>
            <w:tcW w:w="3220" w:type="dxa"/>
            <w:vAlign w:val="bottom"/>
            <w:gridSpan w:val="3"/>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80" w:type="dxa"/>
            <w:vAlign w:val="bottom"/>
            <w:gridSpan w:val="2"/>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60" w:type="dxa"/>
            <w:vAlign w:val="bottom"/>
            <w:vMerge w:val="continue"/>
            <w:shd w:val="clear" w:color="auto" w:fill="CCFFCC"/>
          </w:tcPr>
          <w:p>
            <w:pPr>
              <w:spacing w:after="0"/>
              <w:rPr>
                <w:sz w:val="8"/>
                <w:szCs w:val="8"/>
                <w:color w:val="auto"/>
              </w:rPr>
            </w:pPr>
          </w:p>
        </w:tc>
        <w:tc>
          <w:tcPr>
            <w:tcW w:w="2200" w:type="dxa"/>
            <w:vAlign w:val="bottom"/>
            <w:gridSpan w:val="2"/>
            <w:shd w:val="clear" w:color="auto" w:fill="CCFFCC"/>
          </w:tcPr>
          <w:p>
            <w:pPr>
              <w:ind w:left="120"/>
              <w:spacing w:after="0"/>
              <w:rPr>
                <w:sz w:val="20"/>
                <w:szCs w:val="20"/>
                <w:color w:val="auto"/>
              </w:rPr>
            </w:pPr>
            <w:r>
              <w:rPr>
                <w:rFonts w:ascii="Arial" w:cs="Arial" w:eastAsia="Arial" w:hAnsi="Arial"/>
                <w:sz w:val="8"/>
                <w:szCs w:val="8"/>
                <w:color w:val="auto"/>
              </w:rPr>
              <w:t>Aerospace Parts Manufacturer</w:t>
            </w:r>
          </w:p>
        </w:tc>
        <w:tc>
          <w:tcPr>
            <w:tcW w:w="3220" w:type="dxa"/>
            <w:vAlign w:val="bottom"/>
            <w:gridSpan w:val="3"/>
            <w:shd w:val="clear" w:color="auto" w:fill="CCFFCC"/>
          </w:tcPr>
          <w:p>
            <w:pPr>
              <w:ind w:left="120"/>
              <w:spacing w:after="0"/>
              <w:rPr>
                <w:sz w:val="20"/>
                <w:szCs w:val="20"/>
                <w:color w:val="auto"/>
              </w:rPr>
            </w:pPr>
            <w:r>
              <w:rPr>
                <w:rFonts w:ascii="Arial" w:cs="Arial" w:eastAsia="Arial" w:hAnsi="Arial"/>
                <w:sz w:val="8"/>
                <w:szCs w:val="8"/>
                <w:color w:val="auto"/>
              </w:rPr>
              <w:t>Subordinated Debt (4.1% Cash, Due 4/28/16)</w:t>
            </w:r>
          </w:p>
        </w:tc>
        <w:tc>
          <w:tcPr>
            <w:tcW w:w="140" w:type="dxa"/>
            <w:vAlign w:val="bottom"/>
            <w:shd w:val="clear" w:color="auto" w:fill="CCFFCC"/>
          </w:tcPr>
          <w:p>
            <w:pPr>
              <w:spacing w:after="0"/>
              <w:rPr>
                <w:sz w:val="8"/>
                <w:szCs w:val="8"/>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8"/>
                <w:szCs w:val="8"/>
                <w:color w:val="auto"/>
              </w:rPr>
              <w:t>13,274</w:t>
            </w:r>
          </w:p>
        </w:tc>
        <w:tc>
          <w:tcPr>
            <w:tcW w:w="180" w:type="dxa"/>
            <w:vAlign w:val="bottom"/>
            <w:shd w:val="clear" w:color="auto" w:fill="CCFFCC"/>
          </w:tcPr>
          <w:p>
            <w:pPr>
              <w:spacing w:after="0"/>
              <w:rPr>
                <w:sz w:val="8"/>
                <w:szCs w:val="8"/>
                <w:color w:val="auto"/>
              </w:rPr>
            </w:pPr>
          </w:p>
        </w:tc>
        <w:tc>
          <w:tcPr>
            <w:tcW w:w="84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12,258</w:t>
            </w:r>
          </w:p>
        </w:tc>
        <w:tc>
          <w:tcPr>
            <w:tcW w:w="160" w:type="dxa"/>
            <w:vAlign w:val="bottom"/>
            <w:shd w:val="clear" w:color="auto" w:fill="CCFFCC"/>
          </w:tcPr>
          <w:p>
            <w:pPr>
              <w:spacing w:after="0"/>
              <w:rPr>
                <w:sz w:val="8"/>
                <w:szCs w:val="8"/>
                <w:color w:val="auto"/>
              </w:rPr>
            </w:pPr>
          </w:p>
        </w:tc>
        <w:tc>
          <w:tcPr>
            <w:tcW w:w="86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10,064</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8"/>
                <w:szCs w:val="8"/>
                <w:color w:val="auto"/>
              </w:rPr>
              <w:t>3.7%</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Impresa Aerospace Holdings,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Aerospace Parts Manufacturer</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Class A Membership Units (1,006,621 units)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900</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Impresa Aerospace Holdings,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Aerospace Parts Manufacturer</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Class C Membership Units (362,416 units)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362</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Impresa Aerospace Holdings,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Aerospace Parts Manufacturer</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Class F Membership Units (604,504 units)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604</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14,124</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10,064</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3.7%</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81" w:right="219" w:bottom="1440" w:gutter="0" w:footer="0" w:header="0"/>
        </w:sectPr>
      </w:pPr>
    </w:p>
    <w:bookmarkStart w:id="76" w:name="page77"/>
    <w:bookmarkEnd w:id="76"/>
    <w:tbl>
      <w:tblPr>
        <w:tblLayout w:type="fixed"/>
        <w:tblInd w:w="10" w:type="dxa"/>
        <w:tblCellMar>
          <w:top w:w="0" w:type="dxa"/>
          <w:left w:w="0" w:type="dxa"/>
          <w:bottom w:w="0" w:type="dxa"/>
          <w:right w:w="0" w:type="dxa"/>
        </w:tblCellMar>
      </w:tblPr>
      <w:tr>
        <w:trPr>
          <w:trHeight w:val="126"/>
        </w:trPr>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4"/>
              </w:rPr>
              <w:t>% of</w:t>
            </w:r>
          </w:p>
        </w:tc>
        <w:tc>
          <w:tcPr>
            <w:tcW w:w="0" w:type="dxa"/>
            <w:vAlign w:val="bottom"/>
          </w:tcPr>
          <w:p>
            <w:pPr>
              <w:spacing w:after="0"/>
              <w:rPr>
                <w:sz w:val="1"/>
                <w:szCs w:val="1"/>
                <w:color w:val="auto"/>
              </w:rPr>
            </w:pPr>
          </w:p>
        </w:tc>
      </w:tr>
      <w:tr>
        <w:trPr>
          <w:trHeight w:val="113"/>
        </w:trPr>
        <w:tc>
          <w:tcPr>
            <w:tcW w:w="2060" w:type="dxa"/>
            <w:vAlign w:val="bottom"/>
            <w:vMerge w:val="restart"/>
          </w:tcPr>
          <w:p>
            <w:pPr>
              <w:spacing w:after="0"/>
              <w:rPr>
                <w:sz w:val="20"/>
                <w:szCs w:val="20"/>
                <w:color w:val="auto"/>
              </w:rPr>
            </w:pPr>
            <w:r>
              <w:rPr>
                <w:rFonts w:ascii="Arial" w:cs="Arial" w:eastAsia="Arial" w:hAnsi="Arial"/>
                <w:sz w:val="11"/>
                <w:szCs w:val="11"/>
                <w:b w:val="1"/>
                <w:bCs w:val="1"/>
                <w:color w:val="auto"/>
              </w:rPr>
              <w:t xml:space="preserve">Company </w:t>
            </w:r>
            <w:r>
              <w:rPr>
                <w:rFonts w:ascii="Arial" w:cs="Arial" w:eastAsia="Arial" w:hAnsi="Arial"/>
                <w:sz w:val="17"/>
                <w:szCs w:val="17"/>
                <w:b w:val="1"/>
                <w:bCs w:val="1"/>
                <w:color w:val="auto"/>
                <w:vertAlign w:val="superscript"/>
              </w:rPr>
              <w:t>(4, 5)</w:t>
            </w:r>
          </w:p>
        </w:tc>
        <w:tc>
          <w:tcPr>
            <w:tcW w:w="120" w:type="dxa"/>
            <w:vAlign w:val="bottom"/>
          </w:tcPr>
          <w:p>
            <w:pPr>
              <w:spacing w:after="0"/>
              <w:rPr>
                <w:sz w:val="9"/>
                <w:szCs w:val="9"/>
                <w:color w:val="auto"/>
              </w:rPr>
            </w:pPr>
          </w:p>
        </w:tc>
        <w:tc>
          <w:tcPr>
            <w:tcW w:w="2080" w:type="dxa"/>
            <w:vAlign w:val="bottom"/>
            <w:vMerge w:val="restart"/>
          </w:tcPr>
          <w:p>
            <w:pPr>
              <w:ind w:left="840"/>
              <w:spacing w:after="0"/>
              <w:rPr>
                <w:sz w:val="20"/>
                <w:szCs w:val="20"/>
                <w:color w:val="auto"/>
              </w:rPr>
            </w:pPr>
            <w:r>
              <w:rPr>
                <w:rFonts w:ascii="Arial" w:cs="Arial" w:eastAsia="Arial" w:hAnsi="Arial"/>
                <w:sz w:val="11"/>
                <w:szCs w:val="11"/>
                <w:b w:val="1"/>
                <w:bCs w:val="1"/>
                <w:color w:val="auto"/>
              </w:rPr>
              <w:t>Industry</w:t>
            </w:r>
          </w:p>
        </w:tc>
        <w:tc>
          <w:tcPr>
            <w:tcW w:w="120" w:type="dxa"/>
            <w:vAlign w:val="bottom"/>
          </w:tcPr>
          <w:p>
            <w:pPr>
              <w:spacing w:after="0"/>
              <w:rPr>
                <w:sz w:val="9"/>
                <w:szCs w:val="9"/>
                <w:color w:val="auto"/>
              </w:rPr>
            </w:pPr>
          </w:p>
        </w:tc>
        <w:tc>
          <w:tcPr>
            <w:tcW w:w="2980" w:type="dxa"/>
            <w:vAlign w:val="bottom"/>
          </w:tcPr>
          <w:p>
            <w:pPr>
              <w:ind w:left="900"/>
              <w:spacing w:after="0" w:line="113" w:lineRule="exact"/>
              <w:rPr>
                <w:sz w:val="20"/>
                <w:szCs w:val="20"/>
                <w:color w:val="auto"/>
              </w:rPr>
            </w:pPr>
            <w:r>
              <w:rPr>
                <w:rFonts w:ascii="Arial" w:cs="Arial" w:eastAsia="Arial" w:hAnsi="Arial"/>
                <w:sz w:val="11"/>
                <w:szCs w:val="11"/>
                <w:b w:val="1"/>
                <w:bCs w:val="1"/>
                <w:color w:val="auto"/>
              </w:rPr>
              <w:t>Investment Interest Rate /</w:t>
            </w:r>
          </w:p>
        </w:tc>
        <w:tc>
          <w:tcPr>
            <w:tcW w:w="240" w:type="dxa"/>
            <w:vAlign w:val="bottom"/>
          </w:tcPr>
          <w:p>
            <w:pPr>
              <w:spacing w:after="0"/>
              <w:rPr>
                <w:sz w:val="9"/>
                <w:szCs w:val="9"/>
                <w:color w:val="auto"/>
              </w:rPr>
            </w:pPr>
          </w:p>
        </w:tc>
        <w:tc>
          <w:tcPr>
            <w:tcW w:w="900" w:type="dxa"/>
            <w:vAlign w:val="bottom"/>
            <w:gridSpan w:val="2"/>
          </w:tcPr>
          <w:p>
            <w:pPr>
              <w:ind w:left="100"/>
              <w:spacing w:after="0" w:line="113" w:lineRule="exact"/>
              <w:rPr>
                <w:sz w:val="20"/>
                <w:szCs w:val="20"/>
                <w:color w:val="auto"/>
              </w:rPr>
            </w:pPr>
            <w:r>
              <w:rPr>
                <w:rFonts w:ascii="Arial" w:cs="Arial" w:eastAsia="Arial" w:hAnsi="Arial"/>
                <w:sz w:val="11"/>
                <w:szCs w:val="11"/>
                <w:b w:val="1"/>
                <w:bCs w:val="1"/>
                <w:color w:val="auto"/>
              </w:rPr>
              <w:t>Principal</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right"/>
              <w:ind w:right="480"/>
              <w:spacing w:after="0" w:line="113" w:lineRule="exact"/>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9"/>
                <w:szCs w:val="9"/>
                <w:color w:val="auto"/>
              </w:rPr>
            </w:pPr>
          </w:p>
        </w:tc>
        <w:tc>
          <w:tcPr>
            <w:tcW w:w="800" w:type="dxa"/>
            <w:vAlign w:val="bottom"/>
            <w:gridSpan w:val="2"/>
          </w:tcPr>
          <w:p>
            <w:pPr>
              <w:jc w:val="center"/>
              <w:ind w:right="80"/>
              <w:spacing w:after="0" w:line="113" w:lineRule="exact"/>
              <w:rPr>
                <w:sz w:val="20"/>
                <w:szCs w:val="20"/>
                <w:color w:val="auto"/>
              </w:rPr>
            </w:pPr>
            <w:r>
              <w:rPr>
                <w:rFonts w:ascii="Arial" w:cs="Arial" w:eastAsia="Arial" w:hAnsi="Arial"/>
                <w:sz w:val="11"/>
                <w:szCs w:val="11"/>
                <w:b w:val="1"/>
                <w:bCs w:val="1"/>
                <w:color w:val="auto"/>
                <w:w w:val="90"/>
              </w:rPr>
              <w:t>Net</w:t>
            </w:r>
          </w:p>
        </w:tc>
        <w:tc>
          <w:tcPr>
            <w:tcW w:w="0" w:type="dxa"/>
            <w:vAlign w:val="bottom"/>
          </w:tcPr>
          <w:p>
            <w:pPr>
              <w:spacing w:after="0"/>
              <w:rPr>
                <w:sz w:val="1"/>
                <w:szCs w:val="1"/>
                <w:color w:val="auto"/>
              </w:rPr>
            </w:pPr>
          </w:p>
        </w:tc>
      </w:tr>
      <w:tr>
        <w:trPr>
          <w:trHeight w:val="129"/>
        </w:trPr>
        <w:tc>
          <w:tcPr>
            <w:tcW w:w="20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20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2980" w:type="dxa"/>
            <w:vAlign w:val="bottom"/>
            <w:tcBorders>
              <w:bottom w:val="single" w:sz="8" w:color="auto"/>
            </w:tcBorders>
          </w:tcPr>
          <w:p>
            <w:pPr>
              <w:ind w:left="1280"/>
              <w:spacing w:after="0"/>
              <w:rPr>
                <w:sz w:val="20"/>
                <w:szCs w:val="20"/>
                <w:color w:val="auto"/>
              </w:rPr>
            </w:pPr>
            <w:r>
              <w:rPr>
                <w:rFonts w:ascii="Arial" w:cs="Arial" w:eastAsia="Arial" w:hAnsi="Arial"/>
                <w:sz w:val="11"/>
                <w:szCs w:val="11"/>
                <w:b w:val="1"/>
                <w:bCs w:val="1"/>
                <w:color w:val="auto"/>
              </w:rPr>
              <w:t>Maturity</w:t>
            </w:r>
          </w:p>
        </w:tc>
        <w:tc>
          <w:tcPr>
            <w:tcW w:w="240" w:type="dxa"/>
            <w:vAlign w:val="bottom"/>
            <w:tcBorders>
              <w:bottom w:val="single" w:sz="8" w:color="CCFFCC"/>
            </w:tcBorders>
          </w:tcPr>
          <w:p>
            <w:pPr>
              <w:spacing w:after="0"/>
              <w:rPr>
                <w:sz w:val="11"/>
                <w:szCs w:val="11"/>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Amount</w:t>
            </w:r>
          </w:p>
        </w:tc>
        <w:tc>
          <w:tcPr>
            <w:tcW w:w="220" w:type="dxa"/>
            <w:vAlign w:val="bottom"/>
            <w:tcBorders>
              <w:bottom w:val="single" w:sz="8" w:color="CCFFCC"/>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Cost</w:t>
            </w:r>
          </w:p>
        </w:tc>
        <w:tc>
          <w:tcPr>
            <w:tcW w:w="240" w:type="dxa"/>
            <w:vAlign w:val="bottom"/>
            <w:tcBorders>
              <w:bottom w:val="single" w:sz="8" w:color="CCFFCC"/>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Value</w:t>
            </w:r>
          </w:p>
        </w:tc>
        <w:tc>
          <w:tcPr>
            <w:tcW w:w="240" w:type="dxa"/>
            <w:vAlign w:val="bottom"/>
            <w:tcBorders>
              <w:bottom w:val="single" w:sz="8" w:color="CCFFCC"/>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77"/>
              </w:rPr>
              <w:t>Assets</w:t>
            </w: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60" w:type="dxa"/>
            <w:vAlign w:val="bottom"/>
            <w:shd w:val="clear" w:color="auto" w:fill="CCFFCC"/>
          </w:tcPr>
          <w:p>
            <w:pPr>
              <w:spacing w:after="0" w:line="82" w:lineRule="exact"/>
              <w:rPr>
                <w:sz w:val="20"/>
                <w:szCs w:val="20"/>
                <w:color w:val="auto"/>
              </w:rPr>
            </w:pPr>
            <w:r>
              <w:rPr>
                <w:rFonts w:ascii="Arial" w:cs="Arial" w:eastAsia="Arial" w:hAnsi="Arial"/>
                <w:sz w:val="8"/>
                <w:szCs w:val="8"/>
                <w:color w:val="auto"/>
              </w:rPr>
              <w:t>J&amp;J Produce Holdings, Inc.</w:t>
            </w: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line="82" w:lineRule="exact"/>
              <w:rPr>
                <w:sz w:val="20"/>
                <w:szCs w:val="20"/>
                <w:color w:val="auto"/>
              </w:rPr>
            </w:pPr>
            <w:r>
              <w:rPr>
                <w:rFonts w:ascii="Arial" w:cs="Arial" w:eastAsia="Arial" w:hAnsi="Arial"/>
                <w:sz w:val="8"/>
                <w:szCs w:val="8"/>
                <w:color w:val="auto"/>
              </w:rPr>
              <w:t>Produce Distribution</w:t>
            </w: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line="82" w:lineRule="exact"/>
              <w:rPr>
                <w:sz w:val="20"/>
                <w:szCs w:val="20"/>
                <w:color w:val="auto"/>
              </w:rPr>
            </w:pPr>
            <w:r>
              <w:rPr>
                <w:rFonts w:ascii="Arial" w:cs="Arial" w:eastAsia="Arial" w:hAnsi="Arial"/>
                <w:sz w:val="8"/>
                <w:szCs w:val="8"/>
                <w:color w:val="auto"/>
              </w:rPr>
              <w:t>Subordinated Debt (13% Cash, Due 7/16/18)</w:t>
            </w:r>
          </w:p>
        </w:tc>
        <w:tc>
          <w:tcPr>
            <w:tcW w:w="24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5,182</w:t>
            </w:r>
          </w:p>
        </w:tc>
        <w:tc>
          <w:tcPr>
            <w:tcW w:w="22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ind w:left="520"/>
              <w:spacing w:after="0"/>
              <w:rPr>
                <w:sz w:val="20"/>
                <w:szCs w:val="20"/>
                <w:color w:val="auto"/>
              </w:rPr>
            </w:pPr>
            <w:r>
              <w:rPr>
                <w:rFonts w:ascii="Arial" w:cs="Arial" w:eastAsia="Arial" w:hAnsi="Arial"/>
                <w:sz w:val="7"/>
                <w:szCs w:val="7"/>
                <w:color w:val="auto"/>
                <w:w w:val="79"/>
              </w:rPr>
              <w:t>5,182</w:t>
            </w:r>
          </w:p>
        </w:tc>
        <w:tc>
          <w:tcPr>
            <w:tcW w:w="24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5,182</w:t>
            </w:r>
          </w:p>
        </w:tc>
        <w:tc>
          <w:tcPr>
            <w:tcW w:w="24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800" w:type="dxa"/>
            <w:vAlign w:val="bottom"/>
            <w:gridSpan w:val="2"/>
            <w:shd w:val="clear" w:color="auto" w:fill="CCFFCC"/>
          </w:tcPr>
          <w:p>
            <w:pPr>
              <w:jc w:val="right"/>
              <w:spacing w:after="0" w:line="82" w:lineRule="exact"/>
              <w:rPr>
                <w:sz w:val="20"/>
                <w:szCs w:val="20"/>
                <w:color w:val="auto"/>
              </w:rPr>
            </w:pPr>
            <w:r>
              <w:rPr>
                <w:rFonts w:ascii="Arial" w:cs="Arial" w:eastAsia="Arial" w:hAnsi="Arial"/>
                <w:sz w:val="8"/>
                <w:szCs w:val="8"/>
                <w:color w:val="auto"/>
              </w:rPr>
              <w:t>2.0%</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J&amp;J Produce Holdings,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Produce Distribution</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Common Stock (8,182 units)</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818</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934</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0.3%</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J&amp;J Produce Holdings,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Produce Distribution</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Warrants (4,506 shares)</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515</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0.2%</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ind w:left="520"/>
              <w:spacing w:after="0"/>
              <w:rPr>
                <w:sz w:val="20"/>
                <w:szCs w:val="20"/>
                <w:color w:val="auto"/>
              </w:rPr>
            </w:pPr>
            <w:r>
              <w:rPr>
                <w:rFonts w:ascii="Arial" w:cs="Arial" w:eastAsia="Arial" w:hAnsi="Arial"/>
                <w:sz w:val="7"/>
                <w:szCs w:val="7"/>
                <w:color w:val="auto"/>
                <w:w w:val="79"/>
              </w:rPr>
              <w:t>6,000</w:t>
            </w: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6,631</w:t>
            </w:r>
          </w:p>
        </w:tc>
        <w:tc>
          <w:tcPr>
            <w:tcW w:w="240" w:type="dxa"/>
            <w:vAlign w:val="bottom"/>
            <w:vMerge w:val="continue"/>
          </w:tcPr>
          <w:p>
            <w:pPr>
              <w:spacing w:after="0"/>
              <w:rPr>
                <w:sz w:val="7"/>
                <w:szCs w:val="7"/>
                <w:color w:val="auto"/>
              </w:rPr>
            </w:pPr>
          </w:p>
        </w:tc>
        <w:tc>
          <w:tcPr>
            <w:tcW w:w="900" w:type="dxa"/>
            <w:vAlign w:val="bottom"/>
            <w:gridSpan w:val="3"/>
          </w:tcPr>
          <w:p>
            <w:pPr>
              <w:jc w:val="right"/>
              <w:spacing w:after="0" w:line="82" w:lineRule="exact"/>
              <w:rPr>
                <w:sz w:val="20"/>
                <w:szCs w:val="20"/>
                <w:color w:val="auto"/>
              </w:rPr>
            </w:pPr>
            <w:r>
              <w:rPr>
                <w:rFonts w:ascii="Arial" w:cs="Arial" w:eastAsia="Arial" w:hAnsi="Arial"/>
                <w:sz w:val="8"/>
                <w:szCs w:val="8"/>
                <w:color w:val="auto"/>
              </w:rPr>
              <w:t>2.5%</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LJS Partners, LLC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QSR Franchisor</w:t>
            </w:r>
          </w:p>
        </w:tc>
        <w:tc>
          <w:tcPr>
            <w:tcW w:w="31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Common Stock (1,500,000 shares)</w:t>
            </w:r>
          </w:p>
        </w:tc>
        <w:tc>
          <w:tcPr>
            <w:tcW w:w="240" w:type="dxa"/>
            <w:vAlign w:val="bottom"/>
            <w:shd w:val="clear" w:color="auto" w:fill="CCFFCC"/>
          </w:tcPr>
          <w:p>
            <w:pPr>
              <w:spacing w:after="0" w:line="20" w:lineRule="exact"/>
              <w:rPr>
                <w:sz w:val="1"/>
                <w:szCs w:val="1"/>
                <w:color w:val="auto"/>
              </w:rPr>
            </w:pPr>
          </w:p>
        </w:tc>
        <w:tc>
          <w:tcPr>
            <w:tcW w:w="90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100" w:type="dxa"/>
            <w:vAlign w:val="bottom"/>
            <w:gridSpan w:val="2"/>
            <w:vMerge w:val="continue"/>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900" w:type="dxa"/>
            <w:vAlign w:val="bottom"/>
            <w:gridSpan w:val="2"/>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ind w:left="520"/>
              <w:spacing w:after="0"/>
              <w:rPr>
                <w:sz w:val="20"/>
                <w:szCs w:val="20"/>
                <w:color w:val="auto"/>
              </w:rPr>
            </w:pPr>
            <w:r>
              <w:rPr>
                <w:rFonts w:ascii="Arial" w:cs="Arial" w:eastAsia="Arial" w:hAnsi="Arial"/>
                <w:sz w:val="7"/>
                <w:szCs w:val="7"/>
                <w:color w:val="auto"/>
                <w:w w:val="79"/>
              </w:rPr>
              <w:t>1,500</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14,622</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5.4%</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ind w:left="520"/>
              <w:spacing w:after="0"/>
              <w:rPr>
                <w:sz w:val="20"/>
                <w:szCs w:val="20"/>
                <w:color w:val="auto"/>
              </w:rPr>
            </w:pPr>
            <w:r>
              <w:rPr>
                <w:rFonts w:ascii="Arial" w:cs="Arial" w:eastAsia="Arial" w:hAnsi="Arial"/>
                <w:sz w:val="7"/>
                <w:szCs w:val="7"/>
                <w:color w:val="auto"/>
                <w:w w:val="79"/>
              </w:rPr>
              <w:t>1,500</w:t>
            </w: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14,622</w:t>
            </w:r>
          </w:p>
        </w:tc>
        <w:tc>
          <w:tcPr>
            <w:tcW w:w="240" w:type="dxa"/>
            <w:vAlign w:val="bottom"/>
            <w:vMerge w:val="continue"/>
          </w:tcPr>
          <w:p>
            <w:pPr>
              <w:spacing w:after="0"/>
              <w:rPr>
                <w:sz w:val="7"/>
                <w:szCs w:val="7"/>
                <w:color w:val="auto"/>
              </w:rPr>
            </w:pPr>
          </w:p>
        </w:tc>
        <w:tc>
          <w:tcPr>
            <w:tcW w:w="900" w:type="dxa"/>
            <w:vAlign w:val="bottom"/>
            <w:gridSpan w:val="3"/>
          </w:tcPr>
          <w:p>
            <w:pPr>
              <w:jc w:val="right"/>
              <w:spacing w:after="0" w:line="82" w:lineRule="exact"/>
              <w:rPr>
                <w:sz w:val="20"/>
                <w:szCs w:val="20"/>
                <w:color w:val="auto"/>
              </w:rPr>
            </w:pPr>
            <w:r>
              <w:rPr>
                <w:rFonts w:ascii="Arial" w:cs="Arial" w:eastAsia="Arial" w:hAnsi="Arial"/>
                <w:sz w:val="8"/>
                <w:szCs w:val="8"/>
                <w:color w:val="auto"/>
              </w:rPr>
              <w:t>5.4%</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MJC Holdings, LLC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Specialty Clothing</w:t>
            </w:r>
          </w:p>
        </w:tc>
        <w:tc>
          <w:tcPr>
            <w:tcW w:w="31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(14%, 2% PIK at company's option, Due 1/16/18)</w:t>
            </w:r>
          </w:p>
        </w:tc>
        <w:tc>
          <w:tcPr>
            <w:tcW w:w="240" w:type="dxa"/>
            <w:vAlign w:val="bottom"/>
            <w:shd w:val="clear" w:color="auto" w:fill="CCFFCC"/>
          </w:tcPr>
          <w:p>
            <w:pPr>
              <w:spacing w:after="0" w:line="20" w:lineRule="exact"/>
              <w:rPr>
                <w:sz w:val="1"/>
                <w:szCs w:val="1"/>
                <w:color w:val="auto"/>
              </w:rPr>
            </w:pPr>
          </w:p>
        </w:tc>
        <w:tc>
          <w:tcPr>
            <w:tcW w:w="90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7,500</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100" w:type="dxa"/>
            <w:vAlign w:val="bottom"/>
            <w:gridSpan w:val="2"/>
            <w:vMerge w:val="continue"/>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900" w:type="dxa"/>
            <w:vAlign w:val="bottom"/>
            <w:gridSpan w:val="2"/>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ind w:left="520"/>
              <w:spacing w:after="0"/>
              <w:rPr>
                <w:sz w:val="20"/>
                <w:szCs w:val="20"/>
                <w:color w:val="auto"/>
              </w:rPr>
            </w:pPr>
            <w:r>
              <w:rPr>
                <w:rFonts w:ascii="Arial" w:cs="Arial" w:eastAsia="Arial" w:hAnsi="Arial"/>
                <w:sz w:val="7"/>
                <w:szCs w:val="7"/>
                <w:color w:val="auto"/>
                <w:w w:val="79"/>
              </w:rPr>
              <w:t>7,500</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7,500</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2.8%</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MJC Holdings,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Specialty Clothing</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Series A Preferred Units (2,000,000 units)</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ind w:left="520"/>
              <w:spacing w:after="0" w:line="91" w:lineRule="exact"/>
              <w:rPr>
                <w:sz w:val="20"/>
                <w:szCs w:val="20"/>
                <w:color w:val="auto"/>
              </w:rPr>
            </w:pPr>
            <w:r>
              <w:rPr>
                <w:rFonts w:ascii="Arial" w:cs="Arial" w:eastAsia="Arial" w:hAnsi="Arial"/>
                <w:sz w:val="8"/>
                <w:szCs w:val="8"/>
                <w:color w:val="auto"/>
              </w:rPr>
              <w:t>2,000</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5,224</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1.9%</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6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ind w:left="520"/>
              <w:spacing w:after="0"/>
              <w:rPr>
                <w:sz w:val="20"/>
                <w:szCs w:val="20"/>
                <w:color w:val="auto"/>
              </w:rPr>
            </w:pPr>
            <w:r>
              <w:rPr>
                <w:rFonts w:ascii="Arial" w:cs="Arial" w:eastAsia="Arial" w:hAnsi="Arial"/>
                <w:sz w:val="7"/>
                <w:szCs w:val="7"/>
                <w:color w:val="auto"/>
                <w:w w:val="79"/>
              </w:rPr>
              <w:t>9,500</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12,724</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4.7%</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color w:val="auto"/>
              </w:rPr>
              <w:t>MMI Holdings, LLC</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Medical Device Distributor</w:t>
            </w:r>
          </w:p>
        </w:tc>
        <w:tc>
          <w:tcPr>
            <w:tcW w:w="3100" w:type="dxa"/>
            <w:vAlign w:val="bottom"/>
            <w:gridSpan w:val="2"/>
            <w:vMerge w:val="restart"/>
          </w:tcPr>
          <w:p>
            <w:pPr>
              <w:ind w:left="120"/>
              <w:spacing w:after="0"/>
              <w:rPr>
                <w:sz w:val="20"/>
                <w:szCs w:val="20"/>
                <w:color w:val="auto"/>
              </w:rPr>
            </w:pPr>
            <w:r>
              <w:rPr>
                <w:rFonts w:ascii="Arial" w:cs="Arial" w:eastAsia="Arial" w:hAnsi="Arial"/>
                <w:sz w:val="8"/>
                <w:szCs w:val="8"/>
                <w:color w:val="auto"/>
              </w:rPr>
              <w:t>Senior Secured Debt (12% Cash, Due 10/17/14)</w:t>
            </w:r>
          </w:p>
        </w:tc>
        <w:tc>
          <w:tcPr>
            <w:tcW w:w="240" w:type="dxa"/>
            <w:vAlign w:val="bottom"/>
          </w:tcPr>
          <w:p>
            <w:pPr>
              <w:spacing w:after="0" w:line="20" w:lineRule="exact"/>
              <w:rPr>
                <w:sz w:val="1"/>
                <w:szCs w:val="1"/>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2,600</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31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ind w:left="520"/>
              <w:spacing w:after="0"/>
              <w:rPr>
                <w:sz w:val="20"/>
                <w:szCs w:val="20"/>
                <w:color w:val="auto"/>
              </w:rPr>
            </w:pPr>
            <w:r>
              <w:rPr>
                <w:rFonts w:ascii="Arial" w:cs="Arial" w:eastAsia="Arial" w:hAnsi="Arial"/>
                <w:sz w:val="7"/>
                <w:szCs w:val="7"/>
                <w:color w:val="auto"/>
                <w:w w:val="79"/>
              </w:rPr>
              <w:t>2,600</w:t>
            </w: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2,600</w:t>
            </w:r>
          </w:p>
        </w:tc>
        <w:tc>
          <w:tcPr>
            <w:tcW w:w="240" w:type="dxa"/>
            <w:vAlign w:val="bottom"/>
            <w:vMerge w:val="continue"/>
          </w:tcPr>
          <w:p>
            <w:pPr>
              <w:spacing w:after="0"/>
              <w:rPr>
                <w:sz w:val="7"/>
                <w:szCs w:val="7"/>
                <w:color w:val="auto"/>
              </w:rPr>
            </w:pPr>
          </w:p>
        </w:tc>
        <w:tc>
          <w:tcPr>
            <w:tcW w:w="900" w:type="dxa"/>
            <w:vAlign w:val="bottom"/>
            <w:gridSpan w:val="3"/>
          </w:tcPr>
          <w:p>
            <w:pPr>
              <w:jc w:val="right"/>
              <w:spacing w:after="0" w:line="82" w:lineRule="exact"/>
              <w:rPr>
                <w:sz w:val="20"/>
                <w:szCs w:val="20"/>
                <w:color w:val="auto"/>
              </w:rPr>
            </w:pPr>
            <w:r>
              <w:rPr>
                <w:rFonts w:ascii="Arial" w:cs="Arial" w:eastAsia="Arial" w:hAnsi="Arial"/>
                <w:sz w:val="8"/>
                <w:szCs w:val="8"/>
                <w:color w:val="auto"/>
              </w:rPr>
              <w:t>1.1%</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MMI Holdings,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Medical Device Distributor</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Subordinated Debt (6% Cash, Due 8/15/15)</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400</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388</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400</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0.1%</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MMI Holdings,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Medical Device Distributor</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Preferred Units (1,000 units)</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ind w:left="520"/>
              <w:spacing w:after="0" w:line="91" w:lineRule="exact"/>
              <w:rPr>
                <w:sz w:val="20"/>
                <w:szCs w:val="20"/>
                <w:color w:val="auto"/>
              </w:rPr>
            </w:pPr>
            <w:r>
              <w:rPr>
                <w:rFonts w:ascii="Arial" w:cs="Arial" w:eastAsia="Arial" w:hAnsi="Arial"/>
                <w:sz w:val="8"/>
                <w:szCs w:val="8"/>
                <w:color w:val="auto"/>
              </w:rPr>
              <w:t>1,052</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1,200</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0.4%</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MMI Holdings,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Medical Device Distributor</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Common Units (45 units)</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125</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ind w:left="520"/>
              <w:spacing w:after="0"/>
              <w:rPr>
                <w:sz w:val="20"/>
                <w:szCs w:val="20"/>
                <w:color w:val="auto"/>
              </w:rPr>
            </w:pPr>
            <w:r>
              <w:rPr>
                <w:rFonts w:ascii="Arial" w:cs="Arial" w:eastAsia="Arial" w:hAnsi="Arial"/>
                <w:sz w:val="7"/>
                <w:szCs w:val="7"/>
                <w:color w:val="auto"/>
                <w:w w:val="79"/>
              </w:rPr>
              <w:t>4,040</w:t>
            </w: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4,325</w:t>
            </w:r>
          </w:p>
        </w:tc>
        <w:tc>
          <w:tcPr>
            <w:tcW w:w="240" w:type="dxa"/>
            <w:vAlign w:val="bottom"/>
            <w:vMerge w:val="continue"/>
          </w:tcPr>
          <w:p>
            <w:pPr>
              <w:spacing w:after="0"/>
              <w:rPr>
                <w:sz w:val="7"/>
                <w:szCs w:val="7"/>
                <w:color w:val="auto"/>
              </w:rPr>
            </w:pPr>
          </w:p>
        </w:tc>
        <w:tc>
          <w:tcPr>
            <w:tcW w:w="900" w:type="dxa"/>
            <w:vAlign w:val="bottom"/>
            <w:gridSpan w:val="3"/>
          </w:tcPr>
          <w:p>
            <w:pPr>
              <w:jc w:val="right"/>
              <w:spacing w:after="0" w:line="82" w:lineRule="exact"/>
              <w:rPr>
                <w:sz w:val="20"/>
                <w:szCs w:val="20"/>
                <w:color w:val="auto"/>
              </w:rPr>
            </w:pPr>
            <w:r>
              <w:rPr>
                <w:rFonts w:ascii="Arial" w:cs="Arial" w:eastAsia="Arial" w:hAnsi="Arial"/>
                <w:sz w:val="8"/>
                <w:szCs w:val="8"/>
                <w:color w:val="auto"/>
              </w:rPr>
              <w:t>1.6%</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MTI Holdings, LLC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Retail Display &amp; Security Services</w:t>
            </w:r>
          </w:p>
        </w:tc>
        <w:tc>
          <w:tcPr>
            <w:tcW w:w="31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(12% Cash, Due 11/1/18)</w:t>
            </w:r>
          </w:p>
        </w:tc>
        <w:tc>
          <w:tcPr>
            <w:tcW w:w="240" w:type="dxa"/>
            <w:vAlign w:val="bottom"/>
            <w:shd w:val="clear" w:color="auto" w:fill="CCFFCC"/>
          </w:tcPr>
          <w:p>
            <w:pPr>
              <w:spacing w:after="0" w:line="20" w:lineRule="exact"/>
              <w:rPr>
                <w:sz w:val="1"/>
                <w:szCs w:val="1"/>
                <w:color w:val="auto"/>
              </w:rPr>
            </w:pPr>
          </w:p>
        </w:tc>
        <w:tc>
          <w:tcPr>
            <w:tcW w:w="90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8,000</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100" w:type="dxa"/>
            <w:vAlign w:val="bottom"/>
            <w:gridSpan w:val="2"/>
            <w:vMerge w:val="continue"/>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900" w:type="dxa"/>
            <w:vAlign w:val="bottom"/>
            <w:gridSpan w:val="2"/>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ind w:left="520"/>
              <w:spacing w:after="0"/>
              <w:rPr>
                <w:sz w:val="20"/>
                <w:szCs w:val="20"/>
                <w:color w:val="auto"/>
              </w:rPr>
            </w:pPr>
            <w:r>
              <w:rPr>
                <w:rFonts w:ascii="Arial" w:cs="Arial" w:eastAsia="Arial" w:hAnsi="Arial"/>
                <w:sz w:val="7"/>
                <w:szCs w:val="7"/>
                <w:color w:val="auto"/>
                <w:w w:val="79"/>
              </w:rPr>
              <w:t>8,000</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8,000</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3.0%</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MTI Holdings,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Retail Display &amp; Security Services</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Capital Units (2,000,000 units)</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ind w:left="520"/>
              <w:spacing w:after="0" w:line="91" w:lineRule="exact"/>
              <w:rPr>
                <w:sz w:val="20"/>
                <w:szCs w:val="20"/>
                <w:color w:val="auto"/>
              </w:rPr>
            </w:pPr>
            <w:r>
              <w:rPr>
                <w:rFonts w:ascii="Arial" w:cs="Arial" w:eastAsia="Arial" w:hAnsi="Arial"/>
                <w:sz w:val="8"/>
                <w:szCs w:val="8"/>
                <w:color w:val="auto"/>
              </w:rPr>
              <w:t>2,000</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2,823</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1.1%</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6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10,000</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10,823</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4.1%</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color w:val="auto"/>
              </w:rPr>
              <w:t>Source Capital ABUTEC, LLC</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Environmental Services Products</w:t>
            </w:r>
          </w:p>
        </w:tc>
        <w:tc>
          <w:tcPr>
            <w:tcW w:w="3100" w:type="dxa"/>
            <w:vAlign w:val="bottom"/>
            <w:gridSpan w:val="2"/>
            <w:vMerge w:val="restart"/>
          </w:tcPr>
          <w:p>
            <w:pPr>
              <w:ind w:left="120"/>
              <w:spacing w:after="0"/>
              <w:rPr>
                <w:sz w:val="20"/>
                <w:szCs w:val="20"/>
                <w:color w:val="auto"/>
              </w:rPr>
            </w:pPr>
            <w:r>
              <w:rPr>
                <w:rFonts w:ascii="Arial" w:cs="Arial" w:eastAsia="Arial" w:hAnsi="Arial"/>
                <w:sz w:val="8"/>
                <w:szCs w:val="8"/>
                <w:color w:val="auto"/>
              </w:rPr>
              <w:t>Senior Secured Debt (12% Cash, 3% PIK, Due 12/28/17)</w:t>
            </w:r>
          </w:p>
        </w:tc>
        <w:tc>
          <w:tcPr>
            <w:tcW w:w="240" w:type="dxa"/>
            <w:vAlign w:val="bottom"/>
          </w:tcPr>
          <w:p>
            <w:pPr>
              <w:spacing w:after="0" w:line="20" w:lineRule="exact"/>
              <w:rPr>
                <w:sz w:val="1"/>
                <w:szCs w:val="1"/>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5,125</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31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ind w:left="520"/>
              <w:spacing w:after="0"/>
              <w:rPr>
                <w:sz w:val="20"/>
                <w:szCs w:val="20"/>
                <w:color w:val="auto"/>
              </w:rPr>
            </w:pPr>
            <w:r>
              <w:rPr>
                <w:rFonts w:ascii="Arial" w:cs="Arial" w:eastAsia="Arial" w:hAnsi="Arial"/>
                <w:sz w:val="7"/>
                <w:szCs w:val="7"/>
                <w:color w:val="auto"/>
                <w:w w:val="79"/>
              </w:rPr>
              <w:t>5,125</w:t>
            </w: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5,125</w:t>
            </w:r>
          </w:p>
        </w:tc>
        <w:tc>
          <w:tcPr>
            <w:tcW w:w="240" w:type="dxa"/>
            <w:vAlign w:val="bottom"/>
            <w:vMerge w:val="continue"/>
          </w:tcPr>
          <w:p>
            <w:pPr>
              <w:spacing w:after="0"/>
              <w:rPr>
                <w:sz w:val="7"/>
                <w:szCs w:val="7"/>
                <w:color w:val="auto"/>
              </w:rPr>
            </w:pPr>
          </w:p>
        </w:tc>
        <w:tc>
          <w:tcPr>
            <w:tcW w:w="900" w:type="dxa"/>
            <w:vAlign w:val="bottom"/>
            <w:gridSpan w:val="3"/>
          </w:tcPr>
          <w:p>
            <w:pPr>
              <w:jc w:val="right"/>
              <w:spacing w:after="0" w:line="82" w:lineRule="exact"/>
              <w:rPr>
                <w:sz w:val="20"/>
                <w:szCs w:val="20"/>
                <w:color w:val="auto"/>
              </w:rPr>
            </w:pPr>
            <w:r>
              <w:rPr>
                <w:rFonts w:ascii="Arial" w:cs="Arial" w:eastAsia="Arial" w:hAnsi="Arial"/>
                <w:sz w:val="8"/>
                <w:szCs w:val="8"/>
                <w:color w:val="auto"/>
              </w:rPr>
              <w:t>1.9%</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Source Capital ABUTEC,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Environmental Services Products</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Preferred Membership Units (15.5% fully diluted)</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ind w:left="520"/>
              <w:spacing w:after="0" w:line="91" w:lineRule="exact"/>
              <w:rPr>
                <w:sz w:val="20"/>
                <w:szCs w:val="20"/>
                <w:color w:val="auto"/>
              </w:rPr>
            </w:pPr>
            <w:r>
              <w:rPr>
                <w:rFonts w:ascii="Arial" w:cs="Arial" w:eastAsia="Arial" w:hAnsi="Arial"/>
                <w:sz w:val="8"/>
                <w:szCs w:val="8"/>
                <w:color w:val="auto"/>
              </w:rPr>
              <w:t>1,240</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60</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ind w:left="520"/>
              <w:spacing w:after="0"/>
              <w:rPr>
                <w:sz w:val="20"/>
                <w:szCs w:val="20"/>
                <w:color w:val="auto"/>
              </w:rPr>
            </w:pPr>
            <w:r>
              <w:rPr>
                <w:rFonts w:ascii="Arial" w:cs="Arial" w:eastAsia="Arial" w:hAnsi="Arial"/>
                <w:sz w:val="7"/>
                <w:szCs w:val="7"/>
                <w:color w:val="auto"/>
                <w:w w:val="79"/>
              </w:rPr>
              <w:t>6,365</w:t>
            </w: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5,185</w:t>
            </w:r>
          </w:p>
        </w:tc>
        <w:tc>
          <w:tcPr>
            <w:tcW w:w="240" w:type="dxa"/>
            <w:vAlign w:val="bottom"/>
            <w:vMerge w:val="continue"/>
          </w:tcPr>
          <w:p>
            <w:pPr>
              <w:spacing w:after="0"/>
              <w:rPr>
                <w:sz w:val="7"/>
                <w:szCs w:val="7"/>
                <w:color w:val="auto"/>
              </w:rPr>
            </w:pPr>
          </w:p>
        </w:tc>
        <w:tc>
          <w:tcPr>
            <w:tcW w:w="900" w:type="dxa"/>
            <w:vAlign w:val="bottom"/>
            <w:gridSpan w:val="3"/>
          </w:tcPr>
          <w:p>
            <w:pPr>
              <w:jc w:val="right"/>
              <w:spacing w:after="0" w:line="82" w:lineRule="exact"/>
              <w:rPr>
                <w:sz w:val="20"/>
                <w:szCs w:val="20"/>
                <w:color w:val="auto"/>
              </w:rPr>
            </w:pPr>
            <w:r>
              <w:rPr>
                <w:rFonts w:ascii="Arial" w:cs="Arial" w:eastAsia="Arial" w:hAnsi="Arial"/>
                <w:sz w:val="8"/>
                <w:szCs w:val="8"/>
                <w:color w:val="auto"/>
              </w:rPr>
              <w:t>1.9%</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Source Capital Penray, LLC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Automotive Chemicals &amp; Lubricants</w:t>
            </w:r>
          </w:p>
        </w:tc>
        <w:tc>
          <w:tcPr>
            <w:tcW w:w="31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(13% Cash, Due 2/17/17)</w:t>
            </w:r>
          </w:p>
        </w:tc>
        <w:tc>
          <w:tcPr>
            <w:tcW w:w="240" w:type="dxa"/>
            <w:vAlign w:val="bottom"/>
            <w:shd w:val="clear" w:color="auto" w:fill="CCFFCC"/>
          </w:tcPr>
          <w:p>
            <w:pPr>
              <w:spacing w:after="0" w:line="20" w:lineRule="exact"/>
              <w:rPr>
                <w:sz w:val="1"/>
                <w:szCs w:val="1"/>
                <w:color w:val="auto"/>
              </w:rPr>
            </w:pPr>
          </w:p>
        </w:tc>
        <w:tc>
          <w:tcPr>
            <w:tcW w:w="90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2,500</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100" w:type="dxa"/>
            <w:vAlign w:val="bottom"/>
            <w:gridSpan w:val="2"/>
            <w:vMerge w:val="continue"/>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900" w:type="dxa"/>
            <w:vAlign w:val="bottom"/>
            <w:gridSpan w:val="2"/>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ind w:left="520"/>
              <w:spacing w:after="0"/>
              <w:rPr>
                <w:sz w:val="20"/>
                <w:szCs w:val="20"/>
                <w:color w:val="auto"/>
              </w:rPr>
            </w:pPr>
            <w:r>
              <w:rPr>
                <w:rFonts w:ascii="Arial" w:cs="Arial" w:eastAsia="Arial" w:hAnsi="Arial"/>
                <w:sz w:val="7"/>
                <w:szCs w:val="7"/>
                <w:color w:val="auto"/>
                <w:w w:val="79"/>
              </w:rPr>
              <w:t>2,500</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2,500</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0.9%</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Source Capital Penray,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Automotive Chemicals &amp; Lubricants</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Membership Units (11.3% fully diluted)</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750</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810</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0.3%</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Source Capital Penray,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Automotive Chemicals &amp; Lubricants</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Warrants (6.65% fully diluted)</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576</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0.2%</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ind w:left="520"/>
              <w:spacing w:after="0"/>
              <w:rPr>
                <w:sz w:val="20"/>
                <w:szCs w:val="20"/>
                <w:color w:val="auto"/>
              </w:rPr>
            </w:pPr>
            <w:r>
              <w:rPr>
                <w:rFonts w:ascii="Arial" w:cs="Arial" w:eastAsia="Arial" w:hAnsi="Arial"/>
                <w:sz w:val="7"/>
                <w:szCs w:val="7"/>
                <w:color w:val="auto"/>
                <w:w w:val="79"/>
              </w:rPr>
              <w:t>3,250</w:t>
            </w: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3,886</w:t>
            </w:r>
          </w:p>
        </w:tc>
        <w:tc>
          <w:tcPr>
            <w:tcW w:w="240" w:type="dxa"/>
            <w:vAlign w:val="bottom"/>
            <w:vMerge w:val="continue"/>
          </w:tcPr>
          <w:p>
            <w:pPr>
              <w:spacing w:after="0"/>
              <w:rPr>
                <w:sz w:val="7"/>
                <w:szCs w:val="7"/>
                <w:color w:val="auto"/>
              </w:rPr>
            </w:pPr>
          </w:p>
        </w:tc>
        <w:tc>
          <w:tcPr>
            <w:tcW w:w="900" w:type="dxa"/>
            <w:vAlign w:val="bottom"/>
            <w:gridSpan w:val="3"/>
          </w:tcPr>
          <w:p>
            <w:pPr>
              <w:jc w:val="right"/>
              <w:spacing w:after="0" w:line="82" w:lineRule="exact"/>
              <w:rPr>
                <w:sz w:val="20"/>
                <w:szCs w:val="20"/>
                <w:color w:val="auto"/>
              </w:rPr>
            </w:pPr>
            <w:r>
              <w:rPr>
                <w:rFonts w:ascii="Arial" w:cs="Arial" w:eastAsia="Arial" w:hAnsi="Arial"/>
                <w:sz w:val="8"/>
                <w:szCs w:val="8"/>
                <w:color w:val="auto"/>
              </w:rPr>
              <w:t>1.4%</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Source Capital SSCR, LLC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Personal Product Manufacturer</w:t>
            </w:r>
          </w:p>
        </w:tc>
        <w:tc>
          <w:tcPr>
            <w:tcW w:w="31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Senior Secured Term Debt (14% Cash, Due 7/6/17)</w:t>
            </w:r>
          </w:p>
        </w:tc>
        <w:tc>
          <w:tcPr>
            <w:tcW w:w="240" w:type="dxa"/>
            <w:vAlign w:val="bottom"/>
            <w:shd w:val="clear" w:color="auto" w:fill="CCFFCC"/>
          </w:tcPr>
          <w:p>
            <w:pPr>
              <w:spacing w:after="0" w:line="20" w:lineRule="exact"/>
              <w:rPr>
                <w:sz w:val="1"/>
                <w:szCs w:val="1"/>
                <w:color w:val="auto"/>
              </w:rPr>
            </w:pPr>
          </w:p>
        </w:tc>
        <w:tc>
          <w:tcPr>
            <w:tcW w:w="90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15,000</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100" w:type="dxa"/>
            <w:vAlign w:val="bottom"/>
            <w:gridSpan w:val="2"/>
            <w:vMerge w:val="continue"/>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900" w:type="dxa"/>
            <w:vAlign w:val="bottom"/>
            <w:gridSpan w:val="2"/>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15,000</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12,115</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4.5%</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Source Capital SSCR,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Personal Product Manufacturer</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Senior Secured Term Debt (14% Cash, 5% PIK, Due 3/28/14)</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2,079</w:t>
            </w:r>
          </w:p>
        </w:tc>
        <w:tc>
          <w:tcPr>
            <w:tcW w:w="100" w:type="dxa"/>
            <w:vAlign w:val="bottom"/>
          </w:tcPr>
          <w:p>
            <w:pPr>
              <w:spacing w:after="0"/>
              <w:rPr>
                <w:sz w:val="7"/>
                <w:szCs w:val="7"/>
                <w:color w:val="auto"/>
              </w:rPr>
            </w:pPr>
          </w:p>
        </w:tc>
        <w:tc>
          <w:tcPr>
            <w:tcW w:w="920" w:type="dxa"/>
            <w:vAlign w:val="bottom"/>
            <w:gridSpan w:val="2"/>
          </w:tcPr>
          <w:p>
            <w:pPr>
              <w:ind w:left="520"/>
              <w:spacing w:after="0" w:line="91" w:lineRule="exact"/>
              <w:rPr>
                <w:sz w:val="20"/>
                <w:szCs w:val="20"/>
                <w:color w:val="auto"/>
              </w:rPr>
            </w:pPr>
            <w:r>
              <w:rPr>
                <w:rFonts w:ascii="Arial" w:cs="Arial" w:eastAsia="Arial" w:hAnsi="Arial"/>
                <w:sz w:val="8"/>
                <w:szCs w:val="8"/>
                <w:color w:val="auto"/>
              </w:rPr>
              <w:t>2,079</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1,958</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0.7%</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Source Capital SSCR,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Personal Product Manufacturer</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Preferred Membership Units (14,718 units)</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ind w:left="520"/>
              <w:spacing w:after="0" w:line="91" w:lineRule="exact"/>
              <w:rPr>
                <w:sz w:val="20"/>
                <w:szCs w:val="20"/>
                <w:color w:val="auto"/>
              </w:rPr>
            </w:pPr>
            <w:r>
              <w:rPr>
                <w:rFonts w:ascii="Arial" w:cs="Arial" w:eastAsia="Arial" w:hAnsi="Arial"/>
                <w:sz w:val="8"/>
                <w:szCs w:val="8"/>
                <w:color w:val="auto"/>
              </w:rPr>
              <w:t>1,720</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Source Capital SSCR,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Personal Product Manufacturer</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Membership Unit Warrants (0.987% fully diluted)</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6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18,799</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14,073</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5.2%</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line="113" w:lineRule="exact"/>
              <w:rPr>
                <w:sz w:val="20"/>
                <w:szCs w:val="20"/>
                <w:color w:val="auto"/>
              </w:rPr>
            </w:pPr>
            <w:r>
              <w:rPr>
                <w:rFonts w:ascii="Arial" w:cs="Arial" w:eastAsia="Arial" w:hAnsi="Arial"/>
                <w:sz w:val="8"/>
                <w:szCs w:val="8"/>
                <w:color w:val="auto"/>
              </w:rPr>
              <w:t xml:space="preserve">Source Recycling, LLC </w:t>
            </w:r>
            <w:r>
              <w:rPr>
                <w:rFonts w:ascii="Arial" w:cs="Arial" w:eastAsia="Arial" w:hAnsi="Arial"/>
                <w:sz w:val="13"/>
                <w:szCs w:val="13"/>
                <w:color w:val="auto"/>
                <w:vertAlign w:val="superscript"/>
              </w:rPr>
              <w:t>(2)</w:t>
            </w: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60" w:type="dxa"/>
            <w:vAlign w:val="bottom"/>
            <w:vMerge w:val="continue"/>
          </w:tcPr>
          <w:p>
            <w:pPr>
              <w:spacing w:after="0"/>
              <w:rPr>
                <w:sz w:val="8"/>
                <w:szCs w:val="8"/>
                <w:color w:val="auto"/>
              </w:rPr>
            </w:pPr>
          </w:p>
        </w:tc>
        <w:tc>
          <w:tcPr>
            <w:tcW w:w="2200" w:type="dxa"/>
            <w:vAlign w:val="bottom"/>
            <w:gridSpan w:val="2"/>
          </w:tcPr>
          <w:p>
            <w:pPr>
              <w:ind w:left="120"/>
              <w:spacing w:after="0"/>
              <w:rPr>
                <w:sz w:val="20"/>
                <w:szCs w:val="20"/>
                <w:color w:val="auto"/>
              </w:rPr>
            </w:pPr>
            <w:r>
              <w:rPr>
                <w:rFonts w:ascii="Arial" w:cs="Arial" w:eastAsia="Arial" w:hAnsi="Arial"/>
                <w:sz w:val="8"/>
                <w:szCs w:val="8"/>
                <w:color w:val="auto"/>
              </w:rPr>
              <w:t>Metal Recycler</w:t>
            </w:r>
          </w:p>
        </w:tc>
        <w:tc>
          <w:tcPr>
            <w:tcW w:w="3100" w:type="dxa"/>
            <w:vAlign w:val="bottom"/>
            <w:gridSpan w:val="2"/>
          </w:tcPr>
          <w:p>
            <w:pPr>
              <w:ind w:left="120"/>
              <w:spacing w:after="0"/>
              <w:rPr>
                <w:sz w:val="20"/>
                <w:szCs w:val="20"/>
                <w:color w:val="auto"/>
              </w:rPr>
            </w:pPr>
            <w:r>
              <w:rPr>
                <w:rFonts w:ascii="Arial" w:cs="Arial" w:eastAsia="Arial" w:hAnsi="Arial"/>
                <w:sz w:val="8"/>
                <w:szCs w:val="8"/>
                <w:color w:val="auto"/>
              </w:rPr>
              <w:t>Subordinated Debt (13% Cash, Due 9/2/16)</w:t>
            </w:r>
          </w:p>
        </w:tc>
        <w:tc>
          <w:tcPr>
            <w:tcW w:w="240" w:type="dxa"/>
            <w:vAlign w:val="bottom"/>
          </w:tcPr>
          <w:p>
            <w:pPr>
              <w:spacing w:after="0"/>
              <w:rPr>
                <w:sz w:val="8"/>
                <w:szCs w:val="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8"/>
                <w:szCs w:val="8"/>
                <w:color w:val="auto"/>
              </w:rPr>
              <w:t>5,000</w:t>
            </w:r>
          </w:p>
        </w:tc>
        <w:tc>
          <w:tcPr>
            <w:tcW w:w="100" w:type="dxa"/>
            <w:vAlign w:val="bottom"/>
          </w:tcPr>
          <w:p>
            <w:pPr>
              <w:spacing w:after="0"/>
              <w:rPr>
                <w:sz w:val="8"/>
                <w:szCs w:val="8"/>
                <w:color w:val="auto"/>
              </w:rPr>
            </w:pPr>
          </w:p>
        </w:tc>
        <w:tc>
          <w:tcPr>
            <w:tcW w:w="920" w:type="dxa"/>
            <w:vAlign w:val="bottom"/>
            <w:gridSpan w:val="2"/>
          </w:tcPr>
          <w:p>
            <w:pPr>
              <w:ind w:left="520"/>
              <w:spacing w:after="0"/>
              <w:rPr>
                <w:sz w:val="20"/>
                <w:szCs w:val="20"/>
                <w:color w:val="auto"/>
              </w:rPr>
            </w:pPr>
            <w:r>
              <w:rPr>
                <w:rFonts w:ascii="Arial" w:cs="Arial" w:eastAsia="Arial" w:hAnsi="Arial"/>
                <w:sz w:val="8"/>
                <w:szCs w:val="8"/>
                <w:color w:val="auto"/>
              </w:rPr>
              <w:t>5,000</w:t>
            </w:r>
          </w:p>
        </w:tc>
        <w:tc>
          <w:tcPr>
            <w:tcW w:w="100" w:type="dxa"/>
            <w:vAlign w:val="bottom"/>
          </w:tcPr>
          <w:p>
            <w:pPr>
              <w:spacing w:after="0"/>
              <w:rPr>
                <w:sz w:val="8"/>
                <w:szCs w:val="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8"/>
                <w:szCs w:val="8"/>
                <w:color w:val="auto"/>
              </w:rPr>
              <w:t>3,950</w:t>
            </w:r>
          </w:p>
        </w:tc>
        <w:tc>
          <w:tcPr>
            <w:tcW w:w="900" w:type="dxa"/>
            <w:vAlign w:val="bottom"/>
            <w:gridSpan w:val="3"/>
          </w:tcPr>
          <w:p>
            <w:pPr>
              <w:jc w:val="right"/>
              <w:spacing w:after="0"/>
              <w:rPr>
                <w:sz w:val="20"/>
                <w:szCs w:val="20"/>
                <w:color w:val="auto"/>
              </w:rPr>
            </w:pPr>
            <w:r>
              <w:rPr>
                <w:rFonts w:ascii="Arial" w:cs="Arial" w:eastAsia="Arial" w:hAnsi="Arial"/>
                <w:sz w:val="8"/>
                <w:szCs w:val="8"/>
                <w:color w:val="auto"/>
              </w:rPr>
              <w:t>1.5%</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Source Recycling,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Metal Recycler</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Membership Units (68,658 units)</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ind w:left="520"/>
              <w:spacing w:after="0" w:line="91" w:lineRule="exact"/>
              <w:rPr>
                <w:sz w:val="20"/>
                <w:szCs w:val="20"/>
                <w:color w:val="auto"/>
              </w:rPr>
            </w:pPr>
            <w:r>
              <w:rPr>
                <w:rFonts w:ascii="Arial" w:cs="Arial" w:eastAsia="Arial" w:hAnsi="Arial"/>
                <w:sz w:val="8"/>
                <w:szCs w:val="8"/>
                <w:color w:val="auto"/>
              </w:rPr>
              <w:t>1,590</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Source Recycling,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Metal Recycler</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Membership Unit Warrants (1% fully diluted)</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6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ind w:left="520"/>
              <w:spacing w:after="0"/>
              <w:rPr>
                <w:sz w:val="20"/>
                <w:szCs w:val="20"/>
                <w:color w:val="auto"/>
              </w:rPr>
            </w:pPr>
            <w:r>
              <w:rPr>
                <w:rFonts w:ascii="Arial" w:cs="Arial" w:eastAsia="Arial" w:hAnsi="Arial"/>
                <w:sz w:val="7"/>
                <w:szCs w:val="7"/>
                <w:color w:val="auto"/>
                <w:w w:val="79"/>
              </w:rPr>
              <w:t>6,590</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3,950</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1.5%</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color w:val="auto"/>
              </w:rPr>
              <w:t>Sparus Holdings</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Energy Services</w:t>
            </w:r>
          </w:p>
        </w:tc>
        <w:tc>
          <w:tcPr>
            <w:tcW w:w="3100" w:type="dxa"/>
            <w:vAlign w:val="bottom"/>
            <w:gridSpan w:val="2"/>
            <w:vMerge w:val="restart"/>
          </w:tcPr>
          <w:p>
            <w:pPr>
              <w:ind w:left="120"/>
              <w:spacing w:after="0"/>
              <w:rPr>
                <w:sz w:val="20"/>
                <w:szCs w:val="20"/>
                <w:color w:val="auto"/>
              </w:rPr>
            </w:pPr>
            <w:r>
              <w:rPr>
                <w:rFonts w:ascii="Arial" w:cs="Arial" w:eastAsia="Arial" w:hAnsi="Arial"/>
                <w:sz w:val="8"/>
                <w:szCs w:val="8"/>
                <w:color w:val="auto"/>
              </w:rPr>
              <w:t>Subordinated Debt (12% Cash, Due 3/21/16)</w:t>
            </w:r>
          </w:p>
        </w:tc>
        <w:tc>
          <w:tcPr>
            <w:tcW w:w="240" w:type="dxa"/>
            <w:vAlign w:val="bottom"/>
          </w:tcPr>
          <w:p>
            <w:pPr>
              <w:spacing w:after="0" w:line="20" w:lineRule="exact"/>
              <w:rPr>
                <w:sz w:val="1"/>
                <w:szCs w:val="1"/>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7,000</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31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ind w:left="520"/>
              <w:spacing w:after="0"/>
              <w:rPr>
                <w:sz w:val="20"/>
                <w:szCs w:val="20"/>
                <w:color w:val="auto"/>
              </w:rPr>
            </w:pPr>
            <w:r>
              <w:rPr>
                <w:rFonts w:ascii="Arial" w:cs="Arial" w:eastAsia="Arial" w:hAnsi="Arial"/>
                <w:sz w:val="7"/>
                <w:szCs w:val="7"/>
                <w:color w:val="auto"/>
                <w:w w:val="79"/>
              </w:rPr>
              <w:t>7,000</w:t>
            </w: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7,000</w:t>
            </w:r>
          </w:p>
        </w:tc>
        <w:tc>
          <w:tcPr>
            <w:tcW w:w="240" w:type="dxa"/>
            <w:vAlign w:val="bottom"/>
            <w:vMerge w:val="continue"/>
          </w:tcPr>
          <w:p>
            <w:pPr>
              <w:spacing w:after="0"/>
              <w:rPr>
                <w:sz w:val="7"/>
                <w:szCs w:val="7"/>
                <w:color w:val="auto"/>
              </w:rPr>
            </w:pPr>
          </w:p>
        </w:tc>
        <w:tc>
          <w:tcPr>
            <w:tcW w:w="900" w:type="dxa"/>
            <w:vAlign w:val="bottom"/>
            <w:gridSpan w:val="3"/>
          </w:tcPr>
          <w:p>
            <w:pPr>
              <w:jc w:val="right"/>
              <w:spacing w:after="0" w:line="82" w:lineRule="exact"/>
              <w:rPr>
                <w:sz w:val="20"/>
                <w:szCs w:val="20"/>
                <w:color w:val="auto"/>
              </w:rPr>
            </w:pPr>
            <w:r>
              <w:rPr>
                <w:rFonts w:ascii="Arial" w:cs="Arial" w:eastAsia="Arial" w:hAnsi="Arial"/>
                <w:sz w:val="8"/>
                <w:szCs w:val="8"/>
                <w:color w:val="auto"/>
              </w:rPr>
              <w:t>2.6%</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Sparus Holdings</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Energy Services</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Series B Preferred Stock (5,703 shares)</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ind w:left="520"/>
              <w:spacing w:after="0" w:line="91" w:lineRule="exact"/>
              <w:rPr>
                <w:sz w:val="20"/>
                <w:szCs w:val="20"/>
                <w:color w:val="auto"/>
              </w:rPr>
            </w:pPr>
            <w:r>
              <w:rPr>
                <w:rFonts w:ascii="Arial" w:cs="Arial" w:eastAsia="Arial" w:hAnsi="Arial"/>
                <w:sz w:val="8"/>
                <w:szCs w:val="8"/>
                <w:color w:val="auto"/>
              </w:rPr>
              <w:t>1,173</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1,479</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0.6%</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Sparus Holdings</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Energy Services</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Common Stock Warrants (3,491 shares)</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304</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0.1%</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6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ind w:left="520"/>
              <w:spacing w:after="0"/>
              <w:rPr>
                <w:sz w:val="20"/>
                <w:szCs w:val="20"/>
                <w:color w:val="auto"/>
              </w:rPr>
            </w:pPr>
            <w:r>
              <w:rPr>
                <w:rFonts w:ascii="Arial" w:cs="Arial" w:eastAsia="Arial" w:hAnsi="Arial"/>
                <w:sz w:val="7"/>
                <w:szCs w:val="7"/>
                <w:color w:val="auto"/>
                <w:w w:val="79"/>
              </w:rPr>
              <w:t>8,173</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8,783</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3.3%</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line="113" w:lineRule="exact"/>
              <w:rPr>
                <w:sz w:val="20"/>
                <w:szCs w:val="20"/>
                <w:color w:val="auto"/>
              </w:rPr>
            </w:pPr>
            <w:r>
              <w:rPr>
                <w:rFonts w:ascii="Arial" w:cs="Arial" w:eastAsia="Arial" w:hAnsi="Arial"/>
                <w:sz w:val="8"/>
                <w:szCs w:val="8"/>
                <w:color w:val="auto"/>
              </w:rPr>
              <w:t xml:space="preserve">STX Healthcare Management Services, Inc. </w:t>
            </w:r>
            <w:r>
              <w:rPr>
                <w:rFonts w:ascii="Arial" w:cs="Arial" w:eastAsia="Arial" w:hAnsi="Arial"/>
                <w:sz w:val="13"/>
                <w:szCs w:val="13"/>
                <w:color w:val="auto"/>
                <w:vertAlign w:val="superscript"/>
              </w:rPr>
              <w:t>(1)</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Dental Practice Management</w:t>
            </w:r>
          </w:p>
        </w:tc>
        <w:tc>
          <w:tcPr>
            <w:tcW w:w="3100" w:type="dxa"/>
            <w:vAlign w:val="bottom"/>
            <w:gridSpan w:val="2"/>
            <w:vMerge w:val="restart"/>
          </w:tcPr>
          <w:p>
            <w:pPr>
              <w:ind w:left="120"/>
              <w:spacing w:after="0"/>
              <w:rPr>
                <w:sz w:val="20"/>
                <w:szCs w:val="20"/>
                <w:color w:val="auto"/>
              </w:rPr>
            </w:pPr>
            <w:r>
              <w:rPr>
                <w:rFonts w:ascii="Arial" w:cs="Arial" w:eastAsia="Arial" w:hAnsi="Arial"/>
                <w:sz w:val="8"/>
                <w:szCs w:val="8"/>
                <w:color w:val="auto"/>
              </w:rPr>
              <w:t>Subordinated Debt (14% Cash, Due 7/31/15)</w:t>
            </w: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60" w:type="dxa"/>
            <w:vAlign w:val="bottom"/>
            <w:vMerge w:val="continue"/>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31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8"/>
                <w:szCs w:val="8"/>
                <w:color w:val="auto"/>
              </w:rPr>
              <w:t>7,425</w:t>
            </w:r>
          </w:p>
        </w:tc>
        <w:tc>
          <w:tcPr>
            <w:tcW w:w="100" w:type="dxa"/>
            <w:vAlign w:val="bottom"/>
          </w:tcPr>
          <w:p>
            <w:pPr>
              <w:spacing w:after="0"/>
              <w:rPr>
                <w:sz w:val="8"/>
                <w:szCs w:val="8"/>
                <w:color w:val="auto"/>
              </w:rPr>
            </w:pPr>
          </w:p>
        </w:tc>
        <w:tc>
          <w:tcPr>
            <w:tcW w:w="920" w:type="dxa"/>
            <w:vAlign w:val="bottom"/>
            <w:gridSpan w:val="2"/>
          </w:tcPr>
          <w:p>
            <w:pPr>
              <w:ind w:left="520"/>
              <w:spacing w:after="0"/>
              <w:rPr>
                <w:sz w:val="20"/>
                <w:szCs w:val="20"/>
                <w:color w:val="auto"/>
              </w:rPr>
            </w:pPr>
            <w:r>
              <w:rPr>
                <w:rFonts w:ascii="Arial" w:cs="Arial" w:eastAsia="Arial" w:hAnsi="Arial"/>
                <w:sz w:val="8"/>
                <w:szCs w:val="8"/>
                <w:color w:val="auto"/>
              </w:rPr>
              <w:t>7,425</w:t>
            </w:r>
          </w:p>
        </w:tc>
        <w:tc>
          <w:tcPr>
            <w:tcW w:w="100" w:type="dxa"/>
            <w:vAlign w:val="bottom"/>
          </w:tcPr>
          <w:p>
            <w:pPr>
              <w:spacing w:after="0"/>
              <w:rPr>
                <w:sz w:val="8"/>
                <w:szCs w:val="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8"/>
                <w:szCs w:val="8"/>
                <w:color w:val="auto"/>
              </w:rPr>
              <w:t>7,425</w:t>
            </w:r>
          </w:p>
        </w:tc>
        <w:tc>
          <w:tcPr>
            <w:tcW w:w="900" w:type="dxa"/>
            <w:vAlign w:val="bottom"/>
            <w:gridSpan w:val="3"/>
          </w:tcPr>
          <w:p>
            <w:pPr>
              <w:jc w:val="right"/>
              <w:spacing w:after="0"/>
              <w:rPr>
                <w:sz w:val="20"/>
                <w:szCs w:val="20"/>
                <w:color w:val="auto"/>
              </w:rPr>
            </w:pPr>
            <w:r>
              <w:rPr>
                <w:rFonts w:ascii="Arial" w:cs="Arial" w:eastAsia="Arial" w:hAnsi="Arial"/>
                <w:sz w:val="8"/>
                <w:szCs w:val="8"/>
                <w:color w:val="auto"/>
              </w:rPr>
              <w:t>2.8%</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STX Healthcare Management Services,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Dental Practice Management</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(1,200,000 shares)</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ind w:left="520"/>
              <w:spacing w:after="0" w:line="91" w:lineRule="exact"/>
              <w:rPr>
                <w:sz w:val="20"/>
                <w:szCs w:val="20"/>
                <w:color w:val="auto"/>
              </w:rPr>
            </w:pPr>
            <w:r>
              <w:rPr>
                <w:rFonts w:ascii="Arial" w:cs="Arial" w:eastAsia="Arial" w:hAnsi="Arial"/>
                <w:sz w:val="8"/>
                <w:szCs w:val="8"/>
                <w:color w:val="auto"/>
              </w:rPr>
              <w:t>1,200</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942</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0.4%</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STX Healthcare Management Services,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Dental Practice Management</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Common Stock Warrants (1,154,254 shares)</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218</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906</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0.3%</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6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ind w:left="520"/>
              <w:spacing w:after="0"/>
              <w:rPr>
                <w:sz w:val="20"/>
                <w:szCs w:val="20"/>
                <w:color w:val="auto"/>
              </w:rPr>
            </w:pPr>
            <w:r>
              <w:rPr>
                <w:rFonts w:ascii="Arial" w:cs="Arial" w:eastAsia="Arial" w:hAnsi="Arial"/>
                <w:sz w:val="7"/>
                <w:szCs w:val="7"/>
                <w:color w:val="auto"/>
                <w:w w:val="79"/>
              </w:rPr>
              <w:t>8,843</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9,273</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3.5%</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color w:val="auto"/>
              </w:rPr>
              <w:t>Take 5 Oil Change, LLC</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Quick Lube Services</w:t>
            </w:r>
          </w:p>
        </w:tc>
        <w:tc>
          <w:tcPr>
            <w:tcW w:w="3100" w:type="dxa"/>
            <w:vAlign w:val="bottom"/>
            <w:gridSpan w:val="2"/>
            <w:vMerge w:val="restart"/>
          </w:tcPr>
          <w:p>
            <w:pPr>
              <w:ind w:left="120"/>
              <w:spacing w:after="0"/>
              <w:rPr>
                <w:sz w:val="20"/>
                <w:szCs w:val="20"/>
                <w:color w:val="auto"/>
              </w:rPr>
            </w:pPr>
            <w:r>
              <w:rPr>
                <w:rFonts w:ascii="Arial" w:cs="Arial" w:eastAsia="Arial" w:hAnsi="Arial"/>
                <w:sz w:val="8"/>
                <w:szCs w:val="8"/>
                <w:color w:val="auto"/>
              </w:rPr>
              <w:t>Common Stock (10,692 shares)</w:t>
            </w:r>
          </w:p>
        </w:tc>
        <w:tc>
          <w:tcPr>
            <w:tcW w:w="240" w:type="dxa"/>
            <w:vAlign w:val="bottom"/>
          </w:tcPr>
          <w:p>
            <w:pPr>
              <w:spacing w:after="0" w:line="20" w:lineRule="exact"/>
              <w:rPr>
                <w:sz w:val="1"/>
                <w:szCs w:val="1"/>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31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ind w:left="520"/>
              <w:spacing w:after="0"/>
              <w:rPr>
                <w:sz w:val="20"/>
                <w:szCs w:val="20"/>
                <w:color w:val="auto"/>
              </w:rPr>
            </w:pPr>
            <w:r>
              <w:rPr>
                <w:rFonts w:ascii="Arial" w:cs="Arial" w:eastAsia="Arial" w:hAnsi="Arial"/>
                <w:sz w:val="7"/>
                <w:szCs w:val="7"/>
                <w:color w:val="auto"/>
                <w:w w:val="79"/>
              </w:rPr>
              <w:t>1,069</w:t>
            </w: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1,604</w:t>
            </w:r>
          </w:p>
        </w:tc>
        <w:tc>
          <w:tcPr>
            <w:tcW w:w="240" w:type="dxa"/>
            <w:vAlign w:val="bottom"/>
            <w:vMerge w:val="continue"/>
          </w:tcPr>
          <w:p>
            <w:pPr>
              <w:spacing w:after="0"/>
              <w:rPr>
                <w:sz w:val="7"/>
                <w:szCs w:val="7"/>
                <w:color w:val="auto"/>
              </w:rPr>
            </w:pPr>
          </w:p>
        </w:tc>
        <w:tc>
          <w:tcPr>
            <w:tcW w:w="900" w:type="dxa"/>
            <w:vAlign w:val="bottom"/>
            <w:gridSpan w:val="3"/>
          </w:tcPr>
          <w:p>
            <w:pPr>
              <w:jc w:val="right"/>
              <w:spacing w:after="0" w:line="82" w:lineRule="exact"/>
              <w:rPr>
                <w:sz w:val="20"/>
                <w:szCs w:val="20"/>
                <w:color w:val="auto"/>
              </w:rPr>
            </w:pPr>
            <w:r>
              <w:rPr>
                <w:rFonts w:ascii="Arial" w:cs="Arial" w:eastAsia="Arial" w:hAnsi="Arial"/>
                <w:sz w:val="8"/>
                <w:szCs w:val="8"/>
                <w:color w:val="auto"/>
              </w:rPr>
              <w:t>0.6%</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6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ind w:left="520"/>
              <w:spacing w:after="0"/>
              <w:rPr>
                <w:sz w:val="20"/>
                <w:szCs w:val="20"/>
                <w:color w:val="auto"/>
              </w:rPr>
            </w:pPr>
            <w:r>
              <w:rPr>
                <w:rFonts w:ascii="Arial" w:cs="Arial" w:eastAsia="Arial" w:hAnsi="Arial"/>
                <w:sz w:val="7"/>
                <w:szCs w:val="7"/>
                <w:color w:val="auto"/>
                <w:w w:val="79"/>
              </w:rPr>
              <w:t>1,069</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1,604</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0.6%</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color w:val="auto"/>
              </w:rPr>
              <w:t>TCE Holdings, Inc.</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Oil &amp; Gas Services</w:t>
            </w:r>
          </w:p>
        </w:tc>
        <w:tc>
          <w:tcPr>
            <w:tcW w:w="3100" w:type="dxa"/>
            <w:vAlign w:val="bottom"/>
            <w:gridSpan w:val="2"/>
            <w:vMerge w:val="restart"/>
          </w:tcPr>
          <w:p>
            <w:pPr>
              <w:ind w:left="120"/>
              <w:spacing w:after="0"/>
              <w:rPr>
                <w:sz w:val="20"/>
                <w:szCs w:val="20"/>
                <w:color w:val="auto"/>
              </w:rPr>
            </w:pPr>
            <w:r>
              <w:rPr>
                <w:rFonts w:ascii="Arial" w:cs="Arial" w:eastAsia="Arial" w:hAnsi="Arial"/>
                <w:sz w:val="8"/>
                <w:szCs w:val="8"/>
                <w:color w:val="auto"/>
              </w:rPr>
              <w:t>Subordinated Debt (12% Cash, 2% PIK, Due 11/22/18)</w:t>
            </w:r>
          </w:p>
        </w:tc>
        <w:tc>
          <w:tcPr>
            <w:tcW w:w="240" w:type="dxa"/>
            <w:vAlign w:val="bottom"/>
          </w:tcPr>
          <w:p>
            <w:pPr>
              <w:spacing w:after="0" w:line="20" w:lineRule="exact"/>
              <w:rPr>
                <w:sz w:val="1"/>
                <w:szCs w:val="1"/>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12,088</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31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12,088</w:t>
            </w: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12,088</w:t>
            </w:r>
          </w:p>
        </w:tc>
        <w:tc>
          <w:tcPr>
            <w:tcW w:w="240" w:type="dxa"/>
            <w:vAlign w:val="bottom"/>
            <w:vMerge w:val="continue"/>
          </w:tcPr>
          <w:p>
            <w:pPr>
              <w:spacing w:after="0"/>
              <w:rPr>
                <w:sz w:val="7"/>
                <w:szCs w:val="7"/>
                <w:color w:val="auto"/>
              </w:rPr>
            </w:pPr>
          </w:p>
        </w:tc>
        <w:tc>
          <w:tcPr>
            <w:tcW w:w="900" w:type="dxa"/>
            <w:vAlign w:val="bottom"/>
            <w:gridSpan w:val="3"/>
          </w:tcPr>
          <w:p>
            <w:pPr>
              <w:jc w:val="right"/>
              <w:spacing w:after="0" w:line="82" w:lineRule="exact"/>
              <w:rPr>
                <w:sz w:val="20"/>
                <w:szCs w:val="20"/>
                <w:color w:val="auto"/>
              </w:rPr>
            </w:pPr>
            <w:r>
              <w:rPr>
                <w:rFonts w:ascii="Arial" w:cs="Arial" w:eastAsia="Arial" w:hAnsi="Arial"/>
                <w:sz w:val="8"/>
                <w:szCs w:val="8"/>
                <w:color w:val="auto"/>
              </w:rPr>
              <w:t>4.5%</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TCE Holdings,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Oil &amp; Gas Services</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Subordinated Debt (12% Cash, 2% PIK, Due 2/1/19)</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9,633</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ind w:left="520"/>
              <w:spacing w:after="0" w:line="91" w:lineRule="exact"/>
              <w:rPr>
                <w:sz w:val="20"/>
                <w:szCs w:val="20"/>
                <w:color w:val="auto"/>
              </w:rPr>
            </w:pPr>
            <w:r>
              <w:rPr>
                <w:rFonts w:ascii="Arial" w:cs="Arial" w:eastAsia="Arial" w:hAnsi="Arial"/>
                <w:sz w:val="8"/>
                <w:szCs w:val="8"/>
                <w:color w:val="auto"/>
              </w:rPr>
              <w:t>9,633</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9,633</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3.6%</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TCE Holdings,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Oil &amp; Gas Services</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Class A Common Stock (3,600 shares)</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ind w:left="520"/>
              <w:spacing w:after="0" w:line="91" w:lineRule="exact"/>
              <w:rPr>
                <w:sz w:val="20"/>
                <w:szCs w:val="20"/>
                <w:color w:val="auto"/>
              </w:rPr>
            </w:pPr>
            <w:r>
              <w:rPr>
                <w:rFonts w:ascii="Arial" w:cs="Arial" w:eastAsia="Arial" w:hAnsi="Arial"/>
                <w:sz w:val="8"/>
                <w:szCs w:val="8"/>
                <w:color w:val="auto"/>
              </w:rPr>
              <w:t>3,600</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3,600</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6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25,321</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25,321</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9.4%</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color w:val="auto"/>
              </w:rPr>
              <w:t>V12 Holdings</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Data Processing &amp; Digital Marketing</w:t>
            </w:r>
          </w:p>
        </w:tc>
        <w:tc>
          <w:tcPr>
            <w:tcW w:w="3100" w:type="dxa"/>
            <w:vAlign w:val="bottom"/>
            <w:gridSpan w:val="2"/>
            <w:vMerge w:val="restart"/>
          </w:tcPr>
          <w:p>
            <w:pPr>
              <w:ind w:left="120"/>
              <w:spacing w:after="0"/>
              <w:rPr>
                <w:sz w:val="20"/>
                <w:szCs w:val="20"/>
                <w:color w:val="auto"/>
              </w:rPr>
            </w:pPr>
            <w:r>
              <w:rPr>
                <w:rFonts w:ascii="Arial" w:cs="Arial" w:eastAsia="Arial" w:hAnsi="Arial"/>
                <w:sz w:val="8"/>
                <w:szCs w:val="8"/>
                <w:color w:val="auto"/>
              </w:rPr>
              <w:t>Bridge Note (0% Cash, Due 12/31/14)</w:t>
            </w:r>
          </w:p>
        </w:tc>
        <w:tc>
          <w:tcPr>
            <w:tcW w:w="240" w:type="dxa"/>
            <w:vAlign w:val="bottom"/>
          </w:tcPr>
          <w:p>
            <w:pPr>
              <w:spacing w:after="0" w:line="20" w:lineRule="exact"/>
              <w:rPr>
                <w:sz w:val="1"/>
                <w:szCs w:val="1"/>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663</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31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361</w:t>
            </w: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663</w:t>
            </w:r>
          </w:p>
        </w:tc>
        <w:tc>
          <w:tcPr>
            <w:tcW w:w="240" w:type="dxa"/>
            <w:vAlign w:val="bottom"/>
            <w:vMerge w:val="continue"/>
          </w:tcPr>
          <w:p>
            <w:pPr>
              <w:spacing w:after="0"/>
              <w:rPr>
                <w:sz w:val="7"/>
                <w:szCs w:val="7"/>
                <w:color w:val="auto"/>
              </w:rPr>
            </w:pPr>
          </w:p>
        </w:tc>
        <w:tc>
          <w:tcPr>
            <w:tcW w:w="900" w:type="dxa"/>
            <w:vAlign w:val="bottom"/>
            <w:gridSpan w:val="3"/>
          </w:tcPr>
          <w:p>
            <w:pPr>
              <w:jc w:val="right"/>
              <w:spacing w:after="0" w:line="82" w:lineRule="exact"/>
              <w:rPr>
                <w:sz w:val="20"/>
                <w:szCs w:val="20"/>
                <w:color w:val="auto"/>
              </w:rPr>
            </w:pPr>
            <w:r>
              <w:rPr>
                <w:rFonts w:ascii="Arial" w:cs="Arial" w:eastAsia="Arial" w:hAnsi="Arial"/>
                <w:sz w:val="8"/>
                <w:szCs w:val="8"/>
                <w:color w:val="auto"/>
              </w:rPr>
              <w:t>0.3%</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V12 Holdings</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Data Processing &amp; Digital Marketing</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Tier 2 Note (0% Cash, Due 12/31/14)</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81</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44</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81</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V12 Holdings</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Data Processing &amp; Digital Marketing</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Senior Subordinated Note (0% Cash, Due 12/31/14)</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3,563</w:t>
            </w:r>
          </w:p>
        </w:tc>
        <w:tc>
          <w:tcPr>
            <w:tcW w:w="100" w:type="dxa"/>
            <w:vAlign w:val="bottom"/>
          </w:tcPr>
          <w:p>
            <w:pPr>
              <w:spacing w:after="0"/>
              <w:rPr>
                <w:sz w:val="7"/>
                <w:szCs w:val="7"/>
                <w:color w:val="auto"/>
              </w:rPr>
            </w:pPr>
          </w:p>
        </w:tc>
        <w:tc>
          <w:tcPr>
            <w:tcW w:w="920" w:type="dxa"/>
            <w:vAlign w:val="bottom"/>
            <w:gridSpan w:val="2"/>
          </w:tcPr>
          <w:p>
            <w:pPr>
              <w:ind w:left="520"/>
              <w:spacing w:after="0" w:line="91" w:lineRule="exact"/>
              <w:rPr>
                <w:sz w:val="20"/>
                <w:szCs w:val="20"/>
                <w:color w:val="auto"/>
              </w:rPr>
            </w:pPr>
            <w:r>
              <w:rPr>
                <w:rFonts w:ascii="Arial" w:cs="Arial" w:eastAsia="Arial" w:hAnsi="Arial"/>
                <w:sz w:val="8"/>
                <w:szCs w:val="8"/>
                <w:color w:val="auto"/>
              </w:rPr>
              <w:t>2,369</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3,598</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V12 Holdings</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Data Processing &amp; Digital Marketing</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Tier 3 Note (0% Cash, Due 12/31/14)</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299</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206</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314</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0.1%</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V12 Holdings</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Data Processing &amp; Digital Marketing</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Jr. Subordinated Note (0% Cash, Due 12/31/14)</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2,750</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405</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0.2%</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V12 Holdings</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Data Processing &amp; Digital Marketing</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Tier 4 Note (0% Cash, Due 12/31/14)</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243</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V12 Holdings</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Data Processing &amp; Digital Marketing</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Series A-1 Preferred Stock (255,102 shares)</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V12 Holdings</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Data Processing &amp; Digital Marketing</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Series A-3 Preferred Stock (88,194 shares)</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V12 Holdings</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Data Processing &amp; Digital Marketing</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Series A-5 Preferred Stock (20,530 shares)</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V12 Holdings</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Data Processing &amp; Digital Marketing</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Warrants (2,063,629 warrants)</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ind w:left="520"/>
              <w:spacing w:after="0"/>
              <w:rPr>
                <w:sz w:val="20"/>
                <w:szCs w:val="20"/>
                <w:color w:val="auto"/>
              </w:rPr>
            </w:pPr>
            <w:r>
              <w:rPr>
                <w:rFonts w:ascii="Arial" w:cs="Arial" w:eastAsia="Arial" w:hAnsi="Arial"/>
                <w:sz w:val="7"/>
                <w:szCs w:val="7"/>
                <w:color w:val="auto"/>
                <w:w w:val="79"/>
              </w:rPr>
              <w:t>2,980</w:t>
            </w: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5,061</w:t>
            </w:r>
          </w:p>
        </w:tc>
        <w:tc>
          <w:tcPr>
            <w:tcW w:w="240" w:type="dxa"/>
            <w:vAlign w:val="bottom"/>
            <w:vMerge w:val="continue"/>
          </w:tcPr>
          <w:p>
            <w:pPr>
              <w:spacing w:after="0"/>
              <w:rPr>
                <w:sz w:val="7"/>
                <w:szCs w:val="7"/>
                <w:color w:val="auto"/>
              </w:rPr>
            </w:pPr>
          </w:p>
        </w:tc>
        <w:tc>
          <w:tcPr>
            <w:tcW w:w="900" w:type="dxa"/>
            <w:vAlign w:val="bottom"/>
            <w:gridSpan w:val="3"/>
          </w:tcPr>
          <w:p>
            <w:pPr>
              <w:jc w:val="right"/>
              <w:spacing w:after="0" w:line="82" w:lineRule="exact"/>
              <w:rPr>
                <w:sz w:val="20"/>
                <w:szCs w:val="20"/>
                <w:color w:val="auto"/>
              </w:rPr>
            </w:pPr>
            <w:r>
              <w:rPr>
                <w:rFonts w:ascii="Arial" w:cs="Arial" w:eastAsia="Arial" w:hAnsi="Arial"/>
                <w:sz w:val="8"/>
                <w:szCs w:val="8"/>
                <w:color w:val="auto"/>
              </w:rPr>
              <w:t>1.9%</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b w:val="1"/>
                <w:bCs w:val="1"/>
                <w:color w:val="auto"/>
              </w:rPr>
              <w:t>Sub Total Affiliate investments</w:t>
            </w: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6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00" w:type="dxa"/>
            <w:vAlign w:val="bottom"/>
            <w:shd w:val="clear" w:color="auto" w:fill="CCFFCC"/>
          </w:tcPr>
          <w:p>
            <w:pPr>
              <w:jc w:val="right"/>
              <w:ind w:right="34"/>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159,104</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jc w:val="right"/>
              <w:ind w:right="34"/>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189,098</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70.4%</w:t>
            </w:r>
          </w:p>
        </w:tc>
        <w:tc>
          <w:tcPr>
            <w:tcW w:w="0" w:type="dxa"/>
            <w:vAlign w:val="bottom"/>
          </w:tcPr>
          <w:p>
            <w:pPr>
              <w:spacing w:after="0"/>
              <w:rPr>
                <w:sz w:val="1"/>
                <w:szCs w:val="1"/>
                <w:color w:val="auto"/>
              </w:rPr>
            </w:pPr>
          </w:p>
        </w:tc>
      </w:tr>
      <w:tr>
        <w:trPr>
          <w:trHeight w:val="81"/>
        </w:trPr>
        <w:tc>
          <w:tcPr>
            <w:tcW w:w="2060" w:type="dxa"/>
            <w:vAlign w:val="bottom"/>
          </w:tcPr>
          <w:p>
            <w:pPr>
              <w:spacing w:after="0" w:line="81" w:lineRule="exact"/>
              <w:rPr>
                <w:sz w:val="20"/>
                <w:szCs w:val="20"/>
                <w:color w:val="auto"/>
              </w:rPr>
            </w:pPr>
            <w:r>
              <w:rPr>
                <w:rFonts w:ascii="Arial" w:cs="Arial" w:eastAsia="Arial" w:hAnsi="Arial"/>
                <w:sz w:val="8"/>
                <w:szCs w:val="8"/>
                <w:b w:val="1"/>
                <w:bCs w:val="1"/>
                <w:color w:val="auto"/>
              </w:rPr>
              <w:t>Control investments - 28.4%</w:t>
            </w: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60" w:type="dxa"/>
            <w:vAlign w:val="bottom"/>
            <w:shd w:val="clear" w:color="auto" w:fill="CCFFCC"/>
          </w:tcPr>
          <w:p>
            <w:pPr>
              <w:spacing w:after="0"/>
              <w:rPr>
                <w:sz w:val="20"/>
                <w:szCs w:val="20"/>
                <w:color w:val="auto"/>
              </w:rPr>
            </w:pPr>
            <w:r>
              <w:rPr>
                <w:rFonts w:ascii="Arial" w:cs="Arial" w:eastAsia="Arial" w:hAnsi="Arial"/>
                <w:sz w:val="8"/>
                <w:szCs w:val="8"/>
                <w:color w:val="auto"/>
              </w:rPr>
              <w:t>CableOrganizer Acquisition, LLC</w:t>
            </w:r>
          </w:p>
        </w:tc>
        <w:tc>
          <w:tcPr>
            <w:tcW w:w="2200" w:type="dxa"/>
            <w:vAlign w:val="bottom"/>
            <w:gridSpan w:val="2"/>
            <w:shd w:val="clear" w:color="auto" w:fill="CCFFCC"/>
          </w:tcPr>
          <w:p>
            <w:pPr>
              <w:ind w:left="120"/>
              <w:spacing w:after="0"/>
              <w:rPr>
                <w:sz w:val="20"/>
                <w:szCs w:val="20"/>
                <w:color w:val="auto"/>
              </w:rPr>
            </w:pPr>
            <w:r>
              <w:rPr>
                <w:rFonts w:ascii="Arial" w:cs="Arial" w:eastAsia="Arial" w:hAnsi="Arial"/>
                <w:sz w:val="8"/>
                <w:szCs w:val="8"/>
                <w:color w:val="auto"/>
              </w:rPr>
              <w:t>Computer Supply Retail</w:t>
            </w:r>
          </w:p>
        </w:tc>
        <w:tc>
          <w:tcPr>
            <w:tcW w:w="3100" w:type="dxa"/>
            <w:vAlign w:val="bottom"/>
            <w:gridSpan w:val="2"/>
            <w:shd w:val="clear" w:color="auto" w:fill="CCFFCC"/>
          </w:tcPr>
          <w:p>
            <w:pPr>
              <w:ind w:left="120"/>
              <w:spacing w:after="0"/>
              <w:rPr>
                <w:sz w:val="20"/>
                <w:szCs w:val="20"/>
                <w:color w:val="auto"/>
              </w:rPr>
            </w:pPr>
            <w:r>
              <w:rPr>
                <w:rFonts w:ascii="Arial" w:cs="Arial" w:eastAsia="Arial" w:hAnsi="Arial"/>
                <w:sz w:val="8"/>
                <w:szCs w:val="8"/>
                <w:color w:val="auto"/>
              </w:rPr>
              <w:t>Senior Secured Debt (12% Cash, 4% PIK, Due 5/24/18)</w:t>
            </w:r>
          </w:p>
        </w:tc>
        <w:tc>
          <w:tcPr>
            <w:tcW w:w="240" w:type="dxa"/>
            <w:vAlign w:val="bottom"/>
            <w:shd w:val="clear" w:color="auto" w:fill="CCFFCC"/>
          </w:tcPr>
          <w:p>
            <w:pPr>
              <w:jc w:val="right"/>
              <w:ind w:right="40"/>
              <w:spacing w:after="0"/>
              <w:rPr>
                <w:sz w:val="20"/>
                <w:szCs w:val="20"/>
                <w:color w:val="auto"/>
              </w:rPr>
            </w:pPr>
            <w:r>
              <w:rPr>
                <w:rFonts w:ascii="Arial" w:cs="Arial" w:eastAsia="Arial" w:hAnsi="Arial"/>
                <w:sz w:val="8"/>
                <w:szCs w:val="8"/>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8"/>
                <w:szCs w:val="8"/>
                <w:color w:val="auto"/>
              </w:rPr>
              <w:t>6,585</w:t>
            </w:r>
          </w:p>
        </w:tc>
        <w:tc>
          <w:tcPr>
            <w:tcW w:w="100" w:type="dxa"/>
            <w:vAlign w:val="bottom"/>
            <w:shd w:val="clear" w:color="auto" w:fill="CCFFCC"/>
          </w:tcPr>
          <w:p>
            <w:pPr>
              <w:jc w:val="right"/>
              <w:ind w:right="34"/>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FFCC"/>
          </w:tcPr>
          <w:p>
            <w:pPr>
              <w:ind w:left="520"/>
              <w:spacing w:after="0"/>
              <w:rPr>
                <w:sz w:val="20"/>
                <w:szCs w:val="20"/>
                <w:color w:val="auto"/>
              </w:rPr>
            </w:pPr>
            <w:r>
              <w:rPr>
                <w:rFonts w:ascii="Arial" w:cs="Arial" w:eastAsia="Arial" w:hAnsi="Arial"/>
                <w:sz w:val="8"/>
                <w:szCs w:val="8"/>
                <w:color w:val="auto"/>
              </w:rPr>
              <w:t>6,585</w:t>
            </w:r>
          </w:p>
        </w:tc>
        <w:tc>
          <w:tcPr>
            <w:tcW w:w="100" w:type="dxa"/>
            <w:vAlign w:val="bottom"/>
            <w:shd w:val="clear" w:color="auto" w:fill="CCFFCC"/>
          </w:tcPr>
          <w:p>
            <w:pPr>
              <w:jc w:val="right"/>
              <w:ind w:right="34"/>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6,585</w:t>
            </w:r>
          </w:p>
        </w:tc>
        <w:tc>
          <w:tcPr>
            <w:tcW w:w="900" w:type="dxa"/>
            <w:vAlign w:val="bottom"/>
            <w:gridSpan w:val="3"/>
            <w:shd w:val="clear" w:color="auto" w:fill="CCFFCC"/>
          </w:tcPr>
          <w:p>
            <w:pPr>
              <w:jc w:val="right"/>
              <w:spacing w:after="0"/>
              <w:rPr>
                <w:sz w:val="20"/>
                <w:szCs w:val="20"/>
                <w:color w:val="auto"/>
              </w:rPr>
            </w:pPr>
            <w:r>
              <w:rPr>
                <w:rFonts w:ascii="Arial" w:cs="Arial" w:eastAsia="Arial" w:hAnsi="Arial"/>
                <w:sz w:val="8"/>
                <w:szCs w:val="8"/>
                <w:color w:val="auto"/>
              </w:rPr>
              <w:t>2.5%</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CableOrganizer Acquisition,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Computer Supply Retail</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Common Stock (1,125,000 shares)</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ind w:left="520"/>
              <w:spacing w:after="0" w:line="91" w:lineRule="exact"/>
              <w:rPr>
                <w:sz w:val="20"/>
                <w:szCs w:val="20"/>
                <w:color w:val="auto"/>
              </w:rPr>
            </w:pPr>
            <w:r>
              <w:rPr>
                <w:rFonts w:ascii="Arial" w:cs="Arial" w:eastAsia="Arial" w:hAnsi="Arial"/>
                <w:sz w:val="8"/>
                <w:szCs w:val="8"/>
                <w:color w:val="auto"/>
              </w:rPr>
              <w:t>1,125</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88</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6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ind w:left="520"/>
              <w:spacing w:after="0"/>
              <w:rPr>
                <w:sz w:val="20"/>
                <w:szCs w:val="20"/>
                <w:color w:val="auto"/>
              </w:rPr>
            </w:pPr>
            <w:r>
              <w:rPr>
                <w:rFonts w:ascii="Arial" w:cs="Arial" w:eastAsia="Arial" w:hAnsi="Arial"/>
                <w:sz w:val="7"/>
                <w:szCs w:val="7"/>
                <w:color w:val="auto"/>
                <w:w w:val="79"/>
              </w:rPr>
              <w:t>7,710</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6,673</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2.5%</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line="124" w:lineRule="exact"/>
              <w:rPr>
                <w:sz w:val="20"/>
                <w:szCs w:val="20"/>
                <w:color w:val="auto"/>
              </w:rPr>
            </w:pPr>
            <w:r>
              <w:rPr>
                <w:rFonts w:ascii="Arial" w:cs="Arial" w:eastAsia="Arial" w:hAnsi="Arial"/>
                <w:sz w:val="8"/>
                <w:szCs w:val="8"/>
                <w:color w:val="auto"/>
              </w:rPr>
              <w:t xml:space="preserve">KBP Investments, LLC </w:t>
            </w:r>
            <w:r>
              <w:rPr>
                <w:rFonts w:ascii="Arial" w:cs="Arial" w:eastAsia="Arial" w:hAnsi="Arial"/>
                <w:sz w:val="13"/>
                <w:szCs w:val="13"/>
                <w:color w:val="auto"/>
                <w:vertAlign w:val="superscript"/>
              </w:rPr>
              <w:t>(6) (7)</w:t>
            </w:r>
          </w:p>
        </w:tc>
        <w:tc>
          <w:tcPr>
            <w:tcW w:w="2200" w:type="dxa"/>
            <w:vAlign w:val="bottom"/>
            <w:gridSpan w:val="2"/>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60" w:type="dxa"/>
            <w:vAlign w:val="bottom"/>
            <w:vMerge w:val="continue"/>
          </w:tcPr>
          <w:p>
            <w:pPr>
              <w:spacing w:after="0"/>
              <w:rPr>
                <w:sz w:val="9"/>
                <w:szCs w:val="9"/>
                <w:color w:val="auto"/>
              </w:rPr>
            </w:pPr>
          </w:p>
        </w:tc>
        <w:tc>
          <w:tcPr>
            <w:tcW w:w="2200" w:type="dxa"/>
            <w:vAlign w:val="bottom"/>
            <w:gridSpan w:val="2"/>
          </w:tcPr>
          <w:p>
            <w:pPr>
              <w:ind w:left="120"/>
              <w:spacing w:after="0"/>
              <w:rPr>
                <w:sz w:val="20"/>
                <w:szCs w:val="20"/>
                <w:color w:val="auto"/>
              </w:rPr>
            </w:pPr>
            <w:r>
              <w:rPr>
                <w:rFonts w:ascii="Arial" w:cs="Arial" w:eastAsia="Arial" w:hAnsi="Arial"/>
                <w:sz w:val="8"/>
                <w:szCs w:val="8"/>
                <w:color w:val="auto"/>
              </w:rPr>
              <w:t>QSR Franchisee</w:t>
            </w:r>
          </w:p>
        </w:tc>
        <w:tc>
          <w:tcPr>
            <w:tcW w:w="3100" w:type="dxa"/>
            <w:vAlign w:val="bottom"/>
            <w:gridSpan w:val="2"/>
          </w:tcPr>
          <w:p>
            <w:pPr>
              <w:ind w:left="120"/>
              <w:spacing w:after="0"/>
              <w:rPr>
                <w:sz w:val="20"/>
                <w:szCs w:val="20"/>
                <w:color w:val="auto"/>
              </w:rPr>
            </w:pPr>
            <w:r>
              <w:rPr>
                <w:rFonts w:ascii="Arial" w:cs="Arial" w:eastAsia="Arial" w:hAnsi="Arial"/>
                <w:sz w:val="8"/>
                <w:szCs w:val="8"/>
                <w:color w:val="auto"/>
              </w:rPr>
              <w:t>Class A Preferred Stock (8,270 shares, 10% Dividend)</w:t>
            </w:r>
          </w:p>
        </w:tc>
        <w:tc>
          <w:tcPr>
            <w:tcW w:w="24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920" w:type="dxa"/>
            <w:vAlign w:val="bottom"/>
            <w:gridSpan w:val="2"/>
          </w:tcPr>
          <w:p>
            <w:pPr>
              <w:ind w:left="520"/>
              <w:spacing w:after="0"/>
              <w:rPr>
                <w:sz w:val="20"/>
                <w:szCs w:val="20"/>
                <w:color w:val="auto"/>
              </w:rPr>
            </w:pPr>
            <w:r>
              <w:rPr>
                <w:rFonts w:ascii="Arial" w:cs="Arial" w:eastAsia="Arial" w:hAnsi="Arial"/>
                <w:sz w:val="8"/>
                <w:szCs w:val="8"/>
                <w:color w:val="auto"/>
              </w:rPr>
              <w:t>8,269</w:t>
            </w:r>
          </w:p>
        </w:tc>
        <w:tc>
          <w:tcPr>
            <w:tcW w:w="100" w:type="dxa"/>
            <w:vAlign w:val="bottom"/>
          </w:tcPr>
          <w:p>
            <w:pPr>
              <w:spacing w:after="0"/>
              <w:rPr>
                <w:sz w:val="9"/>
                <w:szCs w:val="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8"/>
                <w:szCs w:val="8"/>
                <w:color w:val="auto"/>
              </w:rPr>
              <w:t>8,269</w:t>
            </w:r>
          </w:p>
        </w:tc>
        <w:tc>
          <w:tcPr>
            <w:tcW w:w="900" w:type="dxa"/>
            <w:vAlign w:val="bottom"/>
            <w:gridSpan w:val="3"/>
          </w:tcPr>
          <w:p>
            <w:pPr>
              <w:jc w:val="right"/>
              <w:spacing w:after="0"/>
              <w:rPr>
                <w:sz w:val="20"/>
                <w:szCs w:val="20"/>
                <w:color w:val="auto"/>
              </w:rPr>
            </w:pPr>
            <w:r>
              <w:rPr>
                <w:rFonts w:ascii="Arial" w:cs="Arial" w:eastAsia="Arial" w:hAnsi="Arial"/>
                <w:sz w:val="8"/>
                <w:szCs w:val="8"/>
                <w:color w:val="auto"/>
              </w:rPr>
              <w:t>3.1%</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KBP Investments,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QSR Franchisee</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Class A Common Stock (380,413 shares)</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16,518</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6.1%</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ind w:left="520"/>
              <w:spacing w:after="0"/>
              <w:rPr>
                <w:sz w:val="20"/>
                <w:szCs w:val="20"/>
                <w:color w:val="auto"/>
              </w:rPr>
            </w:pPr>
            <w:r>
              <w:rPr>
                <w:rFonts w:ascii="Arial" w:cs="Arial" w:eastAsia="Arial" w:hAnsi="Arial"/>
                <w:sz w:val="7"/>
                <w:szCs w:val="7"/>
                <w:color w:val="auto"/>
                <w:w w:val="79"/>
              </w:rPr>
              <w:t>8,269</w:t>
            </w: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24,787</w:t>
            </w:r>
          </w:p>
        </w:tc>
        <w:tc>
          <w:tcPr>
            <w:tcW w:w="240" w:type="dxa"/>
            <w:vAlign w:val="bottom"/>
            <w:vMerge w:val="continue"/>
          </w:tcPr>
          <w:p>
            <w:pPr>
              <w:spacing w:after="0"/>
              <w:rPr>
                <w:sz w:val="7"/>
                <w:szCs w:val="7"/>
                <w:color w:val="auto"/>
              </w:rPr>
            </w:pPr>
          </w:p>
        </w:tc>
        <w:tc>
          <w:tcPr>
            <w:tcW w:w="900" w:type="dxa"/>
            <w:vAlign w:val="bottom"/>
            <w:gridSpan w:val="3"/>
          </w:tcPr>
          <w:p>
            <w:pPr>
              <w:jc w:val="right"/>
              <w:spacing w:after="0" w:line="82" w:lineRule="exact"/>
              <w:rPr>
                <w:sz w:val="20"/>
                <w:szCs w:val="20"/>
                <w:color w:val="auto"/>
              </w:rPr>
            </w:pPr>
            <w:r>
              <w:rPr>
                <w:rFonts w:ascii="Arial" w:cs="Arial" w:eastAsia="Arial" w:hAnsi="Arial"/>
                <w:sz w:val="8"/>
                <w:szCs w:val="8"/>
                <w:color w:val="auto"/>
              </w:rPr>
              <w:t>9.2%</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Market E’s, LLC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Online Travel Sales &amp; Marketing</w:t>
            </w:r>
          </w:p>
        </w:tc>
        <w:tc>
          <w:tcPr>
            <w:tcW w:w="31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Senior Secured Debt (10% Cash, Due 12/31/14)</w:t>
            </w:r>
          </w:p>
        </w:tc>
        <w:tc>
          <w:tcPr>
            <w:tcW w:w="240" w:type="dxa"/>
            <w:vAlign w:val="bottom"/>
            <w:shd w:val="clear" w:color="auto" w:fill="CCFFCC"/>
          </w:tcPr>
          <w:p>
            <w:pPr>
              <w:spacing w:after="0" w:line="20" w:lineRule="exact"/>
              <w:rPr>
                <w:sz w:val="1"/>
                <w:szCs w:val="1"/>
                <w:color w:val="auto"/>
              </w:rPr>
            </w:pPr>
          </w:p>
        </w:tc>
        <w:tc>
          <w:tcPr>
            <w:tcW w:w="90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650</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100" w:type="dxa"/>
            <w:vAlign w:val="bottom"/>
            <w:gridSpan w:val="2"/>
            <w:vMerge w:val="continue"/>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900" w:type="dxa"/>
            <w:vAlign w:val="bottom"/>
            <w:gridSpan w:val="2"/>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650</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650</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0.2%</w:t>
            </w:r>
          </w:p>
        </w:tc>
        <w:tc>
          <w:tcPr>
            <w:tcW w:w="0" w:type="dxa"/>
            <w:vAlign w:val="bottom"/>
          </w:tcPr>
          <w:p>
            <w:pPr>
              <w:spacing w:after="0"/>
              <w:rPr>
                <w:sz w:val="1"/>
                <w:szCs w:val="1"/>
                <w:color w:val="auto"/>
              </w:rPr>
            </w:pPr>
          </w:p>
        </w:tc>
      </w:tr>
      <w:tr>
        <w:trPr>
          <w:trHeight w:val="113"/>
        </w:trPr>
        <w:tc>
          <w:tcPr>
            <w:tcW w:w="2060" w:type="dxa"/>
            <w:vAlign w:val="bottom"/>
          </w:tcPr>
          <w:p>
            <w:pPr>
              <w:spacing w:after="0" w:line="113" w:lineRule="exact"/>
              <w:rPr>
                <w:sz w:val="20"/>
                <w:szCs w:val="20"/>
                <w:color w:val="auto"/>
              </w:rPr>
            </w:pPr>
            <w:r>
              <w:rPr>
                <w:rFonts w:ascii="Arial" w:cs="Arial" w:eastAsia="Arial" w:hAnsi="Arial"/>
                <w:sz w:val="8"/>
                <w:szCs w:val="8"/>
                <w:color w:val="auto"/>
              </w:rPr>
              <w:t xml:space="preserve">Market E’s, LLC </w:t>
            </w:r>
            <w:r>
              <w:rPr>
                <w:rFonts w:ascii="Arial" w:cs="Arial" w:eastAsia="Arial" w:hAnsi="Arial"/>
                <w:sz w:val="13"/>
                <w:szCs w:val="13"/>
                <w:color w:val="auto"/>
                <w:vertAlign w:val="superscript"/>
              </w:rPr>
              <w:t>(2)</w:t>
            </w:r>
          </w:p>
        </w:tc>
        <w:tc>
          <w:tcPr>
            <w:tcW w:w="2200" w:type="dxa"/>
            <w:vAlign w:val="bottom"/>
            <w:gridSpan w:val="2"/>
          </w:tcPr>
          <w:p>
            <w:pPr>
              <w:ind w:left="120"/>
              <w:spacing w:after="0"/>
              <w:rPr>
                <w:sz w:val="20"/>
                <w:szCs w:val="20"/>
                <w:color w:val="auto"/>
              </w:rPr>
            </w:pPr>
            <w:r>
              <w:rPr>
                <w:rFonts w:ascii="Arial" w:cs="Arial" w:eastAsia="Arial" w:hAnsi="Arial"/>
                <w:sz w:val="8"/>
                <w:szCs w:val="8"/>
                <w:color w:val="auto"/>
              </w:rPr>
              <w:t>Online Travel Sales &amp; Marketing</w:t>
            </w:r>
          </w:p>
        </w:tc>
        <w:tc>
          <w:tcPr>
            <w:tcW w:w="3100" w:type="dxa"/>
            <w:vAlign w:val="bottom"/>
            <w:gridSpan w:val="2"/>
          </w:tcPr>
          <w:p>
            <w:pPr>
              <w:ind w:left="120"/>
              <w:spacing w:after="0"/>
              <w:rPr>
                <w:sz w:val="20"/>
                <w:szCs w:val="20"/>
                <w:color w:val="auto"/>
              </w:rPr>
            </w:pPr>
            <w:r>
              <w:rPr>
                <w:rFonts w:ascii="Arial" w:cs="Arial" w:eastAsia="Arial" w:hAnsi="Arial"/>
                <w:sz w:val="8"/>
                <w:szCs w:val="8"/>
                <w:color w:val="auto"/>
              </w:rPr>
              <w:t>Senior Subordinated Debt (14% Cash, 3% PIK, Due 12/31/14)</w:t>
            </w:r>
          </w:p>
        </w:tc>
        <w:tc>
          <w:tcPr>
            <w:tcW w:w="240" w:type="dxa"/>
            <w:vAlign w:val="bottom"/>
          </w:tcPr>
          <w:p>
            <w:pPr>
              <w:spacing w:after="0"/>
              <w:rPr>
                <w:sz w:val="9"/>
                <w:szCs w:val="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8"/>
                <w:szCs w:val="8"/>
                <w:color w:val="auto"/>
              </w:rPr>
              <w:t>3,014</w:t>
            </w:r>
          </w:p>
        </w:tc>
        <w:tc>
          <w:tcPr>
            <w:tcW w:w="100" w:type="dxa"/>
            <w:vAlign w:val="bottom"/>
          </w:tcPr>
          <w:p>
            <w:pPr>
              <w:spacing w:after="0"/>
              <w:rPr>
                <w:sz w:val="9"/>
                <w:szCs w:val="9"/>
                <w:color w:val="auto"/>
              </w:rPr>
            </w:pPr>
          </w:p>
        </w:tc>
        <w:tc>
          <w:tcPr>
            <w:tcW w:w="920" w:type="dxa"/>
            <w:vAlign w:val="bottom"/>
            <w:gridSpan w:val="2"/>
          </w:tcPr>
          <w:p>
            <w:pPr>
              <w:ind w:left="520"/>
              <w:spacing w:after="0"/>
              <w:rPr>
                <w:sz w:val="20"/>
                <w:szCs w:val="20"/>
                <w:color w:val="auto"/>
              </w:rPr>
            </w:pPr>
            <w:r>
              <w:rPr>
                <w:rFonts w:ascii="Arial" w:cs="Arial" w:eastAsia="Arial" w:hAnsi="Arial"/>
                <w:sz w:val="8"/>
                <w:szCs w:val="8"/>
                <w:color w:val="auto"/>
              </w:rPr>
              <w:t>2,832</w:t>
            </w:r>
          </w:p>
        </w:tc>
        <w:tc>
          <w:tcPr>
            <w:tcW w:w="100" w:type="dxa"/>
            <w:vAlign w:val="bottom"/>
          </w:tcPr>
          <w:p>
            <w:pPr>
              <w:spacing w:after="0"/>
              <w:rPr>
                <w:sz w:val="9"/>
                <w:szCs w:val="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8"/>
                <w:szCs w:val="8"/>
                <w:color w:val="auto"/>
              </w:rPr>
              <w:t>988</w:t>
            </w:r>
          </w:p>
        </w:tc>
        <w:tc>
          <w:tcPr>
            <w:tcW w:w="900" w:type="dxa"/>
            <w:vAlign w:val="bottom"/>
            <w:gridSpan w:val="3"/>
          </w:tcPr>
          <w:p>
            <w:pPr>
              <w:jc w:val="right"/>
              <w:spacing w:after="0"/>
              <w:rPr>
                <w:sz w:val="20"/>
                <w:szCs w:val="20"/>
                <w:color w:val="auto"/>
              </w:rPr>
            </w:pPr>
            <w:r>
              <w:rPr>
                <w:rFonts w:ascii="Arial" w:cs="Arial" w:eastAsia="Arial" w:hAnsi="Arial"/>
                <w:sz w:val="8"/>
                <w:szCs w:val="8"/>
                <w:color w:val="auto"/>
              </w:rPr>
              <w:t>0.4%</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Market E’s,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Online Travel Sales &amp; Marketing</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Class A Preferred Stock (600 shares)</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240</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Market E’s,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Online Travel Sales &amp; Marketing</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Class B Preferred Stock (2,411 shares)</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965</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Market E’s,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Online Travel Sales &amp; Marketing</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Class A Common Stock (600 shares)</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ind w:left="520"/>
              <w:spacing w:after="0"/>
              <w:rPr>
                <w:sz w:val="20"/>
                <w:szCs w:val="20"/>
                <w:color w:val="auto"/>
              </w:rPr>
            </w:pPr>
            <w:r>
              <w:rPr>
                <w:rFonts w:ascii="Arial" w:cs="Arial" w:eastAsia="Arial" w:hAnsi="Arial"/>
                <w:sz w:val="7"/>
                <w:szCs w:val="7"/>
                <w:color w:val="auto"/>
                <w:w w:val="79"/>
              </w:rPr>
              <w:t>4,687</w:t>
            </w: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1,638</w:t>
            </w:r>
          </w:p>
        </w:tc>
        <w:tc>
          <w:tcPr>
            <w:tcW w:w="240" w:type="dxa"/>
            <w:vAlign w:val="bottom"/>
            <w:vMerge w:val="continue"/>
          </w:tcPr>
          <w:p>
            <w:pPr>
              <w:spacing w:after="0"/>
              <w:rPr>
                <w:sz w:val="7"/>
                <w:szCs w:val="7"/>
                <w:color w:val="auto"/>
              </w:rPr>
            </w:pPr>
          </w:p>
        </w:tc>
        <w:tc>
          <w:tcPr>
            <w:tcW w:w="900" w:type="dxa"/>
            <w:vAlign w:val="bottom"/>
            <w:gridSpan w:val="3"/>
          </w:tcPr>
          <w:p>
            <w:pPr>
              <w:jc w:val="right"/>
              <w:spacing w:after="0" w:line="82" w:lineRule="exact"/>
              <w:rPr>
                <w:sz w:val="20"/>
                <w:szCs w:val="20"/>
                <w:color w:val="auto"/>
              </w:rPr>
            </w:pPr>
            <w:r>
              <w:rPr>
                <w:rFonts w:ascii="Arial" w:cs="Arial" w:eastAsia="Arial" w:hAnsi="Arial"/>
                <w:sz w:val="8"/>
                <w:szCs w:val="8"/>
                <w:color w:val="auto"/>
              </w:rPr>
              <w:t>0.6%</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Micro Precision, LLC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Conglomerate</w:t>
            </w:r>
          </w:p>
        </w:tc>
        <w:tc>
          <w:tcPr>
            <w:tcW w:w="31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(10% Cash, Due 9/16/16)</w:t>
            </w:r>
          </w:p>
        </w:tc>
        <w:tc>
          <w:tcPr>
            <w:tcW w:w="240" w:type="dxa"/>
            <w:vAlign w:val="bottom"/>
            <w:shd w:val="clear" w:color="auto" w:fill="CCFFCC"/>
          </w:tcPr>
          <w:p>
            <w:pPr>
              <w:spacing w:after="0" w:line="20" w:lineRule="exact"/>
              <w:rPr>
                <w:sz w:val="1"/>
                <w:szCs w:val="1"/>
                <w:color w:val="auto"/>
              </w:rPr>
            </w:pPr>
          </w:p>
        </w:tc>
        <w:tc>
          <w:tcPr>
            <w:tcW w:w="90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1,862</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100" w:type="dxa"/>
            <w:vAlign w:val="bottom"/>
            <w:gridSpan w:val="2"/>
            <w:vMerge w:val="continue"/>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900" w:type="dxa"/>
            <w:vAlign w:val="bottom"/>
            <w:gridSpan w:val="2"/>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ind w:left="520"/>
              <w:spacing w:after="0"/>
              <w:rPr>
                <w:sz w:val="20"/>
                <w:szCs w:val="20"/>
                <w:color w:val="auto"/>
              </w:rPr>
            </w:pPr>
            <w:r>
              <w:rPr>
                <w:rFonts w:ascii="Arial" w:cs="Arial" w:eastAsia="Arial" w:hAnsi="Arial"/>
                <w:sz w:val="7"/>
                <w:szCs w:val="7"/>
                <w:color w:val="auto"/>
                <w:w w:val="79"/>
              </w:rPr>
              <w:t>1,862</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1,862</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0.7%</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Micro Precision,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Conglomerate</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Subordinated Debt (14% Cash, 4% PIK, Due 9/16/16)</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3,557</w:t>
            </w:r>
          </w:p>
        </w:tc>
        <w:tc>
          <w:tcPr>
            <w:tcW w:w="100" w:type="dxa"/>
            <w:vAlign w:val="bottom"/>
          </w:tcPr>
          <w:p>
            <w:pPr>
              <w:spacing w:after="0"/>
              <w:rPr>
                <w:sz w:val="7"/>
                <w:szCs w:val="7"/>
                <w:color w:val="auto"/>
              </w:rPr>
            </w:pPr>
          </w:p>
        </w:tc>
        <w:tc>
          <w:tcPr>
            <w:tcW w:w="920" w:type="dxa"/>
            <w:vAlign w:val="bottom"/>
            <w:gridSpan w:val="2"/>
          </w:tcPr>
          <w:p>
            <w:pPr>
              <w:ind w:left="520"/>
              <w:spacing w:after="0" w:line="91" w:lineRule="exact"/>
              <w:rPr>
                <w:sz w:val="20"/>
                <w:szCs w:val="20"/>
                <w:color w:val="auto"/>
              </w:rPr>
            </w:pPr>
            <w:r>
              <w:rPr>
                <w:rFonts w:ascii="Arial" w:cs="Arial" w:eastAsia="Arial" w:hAnsi="Arial"/>
                <w:sz w:val="8"/>
                <w:szCs w:val="8"/>
                <w:color w:val="auto"/>
              </w:rPr>
              <w:t>3,557</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3,557</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Micro Precision,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Conglomerate</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(47 units)</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ind w:left="520"/>
              <w:spacing w:after="0" w:line="91" w:lineRule="exact"/>
              <w:rPr>
                <w:sz w:val="20"/>
                <w:szCs w:val="20"/>
                <w:color w:val="auto"/>
              </w:rPr>
            </w:pPr>
            <w:r>
              <w:rPr>
                <w:rFonts w:ascii="Arial" w:cs="Arial" w:eastAsia="Arial" w:hAnsi="Arial"/>
                <w:sz w:val="8"/>
                <w:szCs w:val="8"/>
                <w:color w:val="auto"/>
              </w:rPr>
              <w:t>1,629</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2,210</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0.8%</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ind w:left="520"/>
              <w:spacing w:after="0"/>
              <w:rPr>
                <w:sz w:val="20"/>
                <w:szCs w:val="20"/>
                <w:color w:val="auto"/>
              </w:rPr>
            </w:pPr>
            <w:r>
              <w:rPr>
                <w:rFonts w:ascii="Arial" w:cs="Arial" w:eastAsia="Arial" w:hAnsi="Arial"/>
                <w:sz w:val="7"/>
                <w:szCs w:val="7"/>
                <w:color w:val="auto"/>
                <w:w w:val="79"/>
              </w:rPr>
              <w:t>7,048</w:t>
            </w: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7,629</w:t>
            </w:r>
          </w:p>
        </w:tc>
        <w:tc>
          <w:tcPr>
            <w:tcW w:w="240" w:type="dxa"/>
            <w:vAlign w:val="bottom"/>
            <w:vMerge w:val="continue"/>
          </w:tcPr>
          <w:p>
            <w:pPr>
              <w:spacing w:after="0"/>
              <w:rPr>
                <w:sz w:val="7"/>
                <w:szCs w:val="7"/>
                <w:color w:val="auto"/>
              </w:rPr>
            </w:pPr>
          </w:p>
        </w:tc>
        <w:tc>
          <w:tcPr>
            <w:tcW w:w="900" w:type="dxa"/>
            <w:vAlign w:val="bottom"/>
            <w:gridSpan w:val="3"/>
          </w:tcPr>
          <w:p>
            <w:pPr>
              <w:jc w:val="right"/>
              <w:spacing w:after="0" w:line="82" w:lineRule="exact"/>
              <w:rPr>
                <w:sz w:val="20"/>
                <w:szCs w:val="20"/>
                <w:color w:val="auto"/>
              </w:rPr>
            </w:pPr>
            <w:r>
              <w:rPr>
                <w:rFonts w:ascii="Arial" w:cs="Arial" w:eastAsia="Arial" w:hAnsi="Arial"/>
                <w:sz w:val="8"/>
                <w:szCs w:val="8"/>
                <w:color w:val="auto"/>
              </w:rPr>
              <w:t>2.8%</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Navis Holdings, Inc.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Textile Equipment Manufacturer</w:t>
            </w:r>
          </w:p>
        </w:tc>
        <w:tc>
          <w:tcPr>
            <w:tcW w:w="31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Senior Secured Term (17%, 3% PIK at company's option, Due 2/1/16)</w:t>
            </w:r>
          </w:p>
        </w:tc>
        <w:tc>
          <w:tcPr>
            <w:tcW w:w="240" w:type="dxa"/>
            <w:vAlign w:val="bottom"/>
            <w:shd w:val="clear" w:color="auto" w:fill="CCFFCC"/>
          </w:tcPr>
          <w:p>
            <w:pPr>
              <w:spacing w:after="0" w:line="20" w:lineRule="exact"/>
              <w:rPr>
                <w:sz w:val="1"/>
                <w:szCs w:val="1"/>
                <w:color w:val="auto"/>
              </w:rPr>
            </w:pPr>
          </w:p>
        </w:tc>
        <w:tc>
          <w:tcPr>
            <w:tcW w:w="90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6,753</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100" w:type="dxa"/>
            <w:vAlign w:val="bottom"/>
            <w:gridSpan w:val="2"/>
            <w:vMerge w:val="continue"/>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900" w:type="dxa"/>
            <w:vAlign w:val="bottom"/>
            <w:gridSpan w:val="2"/>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ind w:left="520"/>
              <w:spacing w:after="0"/>
              <w:rPr>
                <w:sz w:val="20"/>
                <w:szCs w:val="20"/>
                <w:color w:val="auto"/>
              </w:rPr>
            </w:pPr>
            <w:r>
              <w:rPr>
                <w:rFonts w:ascii="Arial" w:cs="Arial" w:eastAsia="Arial" w:hAnsi="Arial"/>
                <w:sz w:val="7"/>
                <w:szCs w:val="7"/>
                <w:color w:val="auto"/>
                <w:w w:val="79"/>
              </w:rPr>
              <w:t>6,753</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6,753</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2.5%</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Navis Holdings,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Textile Equipment Manufacturer</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Class A Preferred Stock (1,000 shares)</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ind w:left="520"/>
              <w:spacing w:after="0" w:line="91" w:lineRule="exact"/>
              <w:rPr>
                <w:sz w:val="20"/>
                <w:szCs w:val="20"/>
                <w:color w:val="auto"/>
              </w:rPr>
            </w:pPr>
            <w:r>
              <w:rPr>
                <w:rFonts w:ascii="Arial" w:cs="Arial" w:eastAsia="Arial" w:hAnsi="Arial"/>
                <w:sz w:val="8"/>
                <w:szCs w:val="8"/>
                <w:color w:val="auto"/>
              </w:rPr>
              <w:t>1,000</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1,200</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0.5%</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Navis Holdings,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Textile Equipment Manufacturer</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(300,000 shares)</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1</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1,079</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0.4%</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ind w:left="520"/>
              <w:spacing w:after="0"/>
              <w:rPr>
                <w:sz w:val="20"/>
                <w:szCs w:val="20"/>
                <w:color w:val="auto"/>
              </w:rPr>
            </w:pPr>
            <w:r>
              <w:rPr>
                <w:rFonts w:ascii="Arial" w:cs="Arial" w:eastAsia="Arial" w:hAnsi="Arial"/>
                <w:sz w:val="7"/>
                <w:szCs w:val="7"/>
                <w:color w:val="auto"/>
                <w:w w:val="79"/>
              </w:rPr>
              <w:t>7,754</w:t>
            </w: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9,032</w:t>
            </w:r>
          </w:p>
        </w:tc>
        <w:tc>
          <w:tcPr>
            <w:tcW w:w="240" w:type="dxa"/>
            <w:vAlign w:val="bottom"/>
            <w:vMerge w:val="continue"/>
          </w:tcPr>
          <w:p>
            <w:pPr>
              <w:spacing w:after="0"/>
              <w:rPr>
                <w:sz w:val="7"/>
                <w:szCs w:val="7"/>
                <w:color w:val="auto"/>
              </w:rPr>
            </w:pPr>
          </w:p>
        </w:tc>
        <w:tc>
          <w:tcPr>
            <w:tcW w:w="900" w:type="dxa"/>
            <w:vAlign w:val="bottom"/>
            <w:gridSpan w:val="3"/>
          </w:tcPr>
          <w:p>
            <w:pPr>
              <w:jc w:val="right"/>
              <w:spacing w:after="0" w:line="82" w:lineRule="exact"/>
              <w:rPr>
                <w:sz w:val="20"/>
                <w:szCs w:val="20"/>
                <w:color w:val="auto"/>
              </w:rPr>
            </w:pPr>
            <w:r>
              <w:rPr>
                <w:rFonts w:ascii="Arial" w:cs="Arial" w:eastAsia="Arial" w:hAnsi="Arial"/>
                <w:sz w:val="8"/>
                <w:szCs w:val="8"/>
                <w:color w:val="auto"/>
              </w:rPr>
              <w:t>3.4%</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On-Site Fuel Services, Inc.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Fuel Transportation Services</w:t>
            </w:r>
          </w:p>
        </w:tc>
        <w:tc>
          <w:tcPr>
            <w:tcW w:w="31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(14% Cash, 4% PIK, Due 12/19/16)</w:t>
            </w:r>
          </w:p>
        </w:tc>
        <w:tc>
          <w:tcPr>
            <w:tcW w:w="240" w:type="dxa"/>
            <w:vAlign w:val="bottom"/>
            <w:shd w:val="clear" w:color="auto" w:fill="CCFFCC"/>
          </w:tcPr>
          <w:p>
            <w:pPr>
              <w:spacing w:after="0" w:line="20" w:lineRule="exact"/>
              <w:rPr>
                <w:sz w:val="1"/>
                <w:szCs w:val="1"/>
                <w:color w:val="auto"/>
              </w:rPr>
            </w:pPr>
          </w:p>
        </w:tc>
        <w:tc>
          <w:tcPr>
            <w:tcW w:w="90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4,848</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100" w:type="dxa"/>
            <w:vAlign w:val="bottom"/>
            <w:gridSpan w:val="2"/>
            <w:vMerge w:val="continue"/>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900" w:type="dxa"/>
            <w:vAlign w:val="bottom"/>
            <w:gridSpan w:val="2"/>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ind w:left="520"/>
              <w:spacing w:after="0"/>
              <w:rPr>
                <w:sz w:val="20"/>
                <w:szCs w:val="20"/>
                <w:color w:val="auto"/>
              </w:rPr>
            </w:pPr>
            <w:r>
              <w:rPr>
                <w:rFonts w:ascii="Arial" w:cs="Arial" w:eastAsia="Arial" w:hAnsi="Arial"/>
                <w:sz w:val="7"/>
                <w:szCs w:val="7"/>
                <w:color w:val="auto"/>
                <w:w w:val="79"/>
              </w:rPr>
              <w:t>4,848</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4,848</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1.8%</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On-Site Fuel Services,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Fuel Transportation Services</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Series A Preferred Stock (32,782 shares)</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ind w:left="520"/>
              <w:spacing w:after="0" w:line="91" w:lineRule="exact"/>
              <w:rPr>
                <w:sz w:val="20"/>
                <w:szCs w:val="20"/>
                <w:color w:val="auto"/>
              </w:rPr>
            </w:pPr>
            <w:r>
              <w:rPr>
                <w:rFonts w:ascii="Arial" w:cs="Arial" w:eastAsia="Arial" w:hAnsi="Arial"/>
                <w:sz w:val="8"/>
                <w:szCs w:val="8"/>
                <w:color w:val="auto"/>
              </w:rPr>
              <w:t>3,278</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2,719</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1.0%</w:t>
            </w:r>
          </w:p>
        </w:tc>
        <w:tc>
          <w:tcPr>
            <w:tcW w:w="0" w:type="dxa"/>
            <w:vAlign w:val="bottom"/>
          </w:tcPr>
          <w:p>
            <w:pPr>
              <w:spacing w:after="0"/>
              <w:rPr>
                <w:sz w:val="1"/>
                <w:szCs w:val="1"/>
                <w:color w:val="auto"/>
              </w:rPr>
            </w:pPr>
          </w:p>
        </w:tc>
      </w:tr>
      <w:tr>
        <w:trPr>
          <w:trHeight w:val="113"/>
        </w:trPr>
        <w:tc>
          <w:tcPr>
            <w:tcW w:w="2060" w:type="dxa"/>
            <w:vAlign w:val="bottom"/>
            <w:shd w:val="clear" w:color="auto" w:fill="CCFFCC"/>
          </w:tcPr>
          <w:p>
            <w:pPr>
              <w:spacing w:after="0" w:line="113" w:lineRule="exact"/>
              <w:rPr>
                <w:sz w:val="20"/>
                <w:szCs w:val="20"/>
                <w:color w:val="auto"/>
              </w:rPr>
            </w:pPr>
            <w:r>
              <w:rPr>
                <w:rFonts w:ascii="Arial" w:cs="Arial" w:eastAsia="Arial" w:hAnsi="Arial"/>
                <w:sz w:val="8"/>
                <w:szCs w:val="8"/>
                <w:color w:val="auto"/>
              </w:rPr>
              <w:t xml:space="preserve">On-Site Fuel Services, Inc. </w:t>
            </w:r>
            <w:r>
              <w:rPr>
                <w:rFonts w:ascii="Arial" w:cs="Arial" w:eastAsia="Arial" w:hAnsi="Arial"/>
                <w:sz w:val="13"/>
                <w:szCs w:val="13"/>
                <w:color w:val="auto"/>
                <w:vertAlign w:val="superscript"/>
              </w:rPr>
              <w:t>(6)</w:t>
            </w:r>
          </w:p>
        </w:tc>
        <w:tc>
          <w:tcPr>
            <w:tcW w:w="2200" w:type="dxa"/>
            <w:vAlign w:val="bottom"/>
            <w:gridSpan w:val="2"/>
            <w:shd w:val="clear" w:color="auto" w:fill="CCFFCC"/>
          </w:tcPr>
          <w:p>
            <w:pPr>
              <w:ind w:left="120"/>
              <w:spacing w:after="0"/>
              <w:rPr>
                <w:sz w:val="20"/>
                <w:szCs w:val="20"/>
                <w:color w:val="auto"/>
              </w:rPr>
            </w:pPr>
            <w:r>
              <w:rPr>
                <w:rFonts w:ascii="Arial" w:cs="Arial" w:eastAsia="Arial" w:hAnsi="Arial"/>
                <w:sz w:val="8"/>
                <w:szCs w:val="8"/>
                <w:color w:val="auto"/>
              </w:rPr>
              <w:t>Fuel Transportation Services</w:t>
            </w:r>
          </w:p>
        </w:tc>
        <w:tc>
          <w:tcPr>
            <w:tcW w:w="3100" w:type="dxa"/>
            <w:vAlign w:val="bottom"/>
            <w:gridSpan w:val="2"/>
            <w:shd w:val="clear" w:color="auto" w:fill="CCFFCC"/>
          </w:tcPr>
          <w:p>
            <w:pPr>
              <w:ind w:left="120"/>
              <w:spacing w:after="0"/>
              <w:rPr>
                <w:sz w:val="20"/>
                <w:szCs w:val="20"/>
                <w:color w:val="auto"/>
              </w:rPr>
            </w:pPr>
            <w:r>
              <w:rPr>
                <w:rFonts w:ascii="Arial" w:cs="Arial" w:eastAsia="Arial" w:hAnsi="Arial"/>
                <w:sz w:val="8"/>
                <w:szCs w:val="8"/>
                <w:color w:val="auto"/>
              </w:rPr>
              <w:t>Series B Preferred Stock (23,648 shares)</w:t>
            </w:r>
          </w:p>
        </w:tc>
        <w:tc>
          <w:tcPr>
            <w:tcW w:w="240" w:type="dxa"/>
            <w:vAlign w:val="bottom"/>
            <w:shd w:val="clear" w:color="auto" w:fill="CCFFCC"/>
          </w:tcPr>
          <w:p>
            <w:pPr>
              <w:spacing w:after="0"/>
              <w:rPr>
                <w:sz w:val="9"/>
                <w:szCs w:val="9"/>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9"/>
                <w:szCs w:val="9"/>
                <w:color w:val="auto"/>
              </w:rPr>
            </w:pPr>
          </w:p>
        </w:tc>
        <w:tc>
          <w:tcPr>
            <w:tcW w:w="920" w:type="dxa"/>
            <w:vAlign w:val="bottom"/>
            <w:gridSpan w:val="2"/>
            <w:shd w:val="clear" w:color="auto" w:fill="CCFFCC"/>
          </w:tcPr>
          <w:p>
            <w:pPr>
              <w:ind w:left="520"/>
              <w:spacing w:after="0"/>
              <w:rPr>
                <w:sz w:val="20"/>
                <w:szCs w:val="20"/>
                <w:color w:val="auto"/>
              </w:rPr>
            </w:pPr>
            <w:r>
              <w:rPr>
                <w:rFonts w:ascii="Arial" w:cs="Arial" w:eastAsia="Arial" w:hAnsi="Arial"/>
                <w:sz w:val="8"/>
                <w:szCs w:val="8"/>
                <w:color w:val="auto"/>
              </w:rPr>
              <w:t>2,451</w:t>
            </w:r>
          </w:p>
        </w:tc>
        <w:tc>
          <w:tcPr>
            <w:tcW w:w="100" w:type="dxa"/>
            <w:vAlign w:val="bottom"/>
            <w:shd w:val="clear" w:color="auto" w:fill="CCFFCC"/>
          </w:tcPr>
          <w:p>
            <w:pPr>
              <w:spacing w:after="0"/>
              <w:rPr>
                <w:sz w:val="9"/>
                <w:szCs w:val="9"/>
                <w:color w:val="auto"/>
              </w:rPr>
            </w:pPr>
          </w:p>
        </w:tc>
        <w:tc>
          <w:tcPr>
            <w:tcW w:w="92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2,707</w:t>
            </w:r>
          </w:p>
        </w:tc>
        <w:tc>
          <w:tcPr>
            <w:tcW w:w="900" w:type="dxa"/>
            <w:vAlign w:val="bottom"/>
            <w:gridSpan w:val="3"/>
            <w:shd w:val="clear" w:color="auto" w:fill="CCFFCC"/>
          </w:tcPr>
          <w:p>
            <w:pPr>
              <w:jc w:val="right"/>
              <w:spacing w:after="0"/>
              <w:rPr>
                <w:sz w:val="20"/>
                <w:szCs w:val="20"/>
                <w:color w:val="auto"/>
              </w:rPr>
            </w:pPr>
            <w:r>
              <w:rPr>
                <w:rFonts w:ascii="Arial" w:cs="Arial" w:eastAsia="Arial" w:hAnsi="Arial"/>
                <w:sz w:val="8"/>
                <w:szCs w:val="8"/>
                <w:color w:val="auto"/>
              </w:rPr>
              <w:t>1.0%</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On-Site Fuel Services,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Fuel Transportation Services</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Common Stock (33,107 shares)</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33</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6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10,610</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10,274</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3.8%</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line="113" w:lineRule="exact"/>
              <w:rPr>
                <w:sz w:val="20"/>
                <w:szCs w:val="20"/>
                <w:color w:val="auto"/>
              </w:rPr>
            </w:pPr>
            <w:r>
              <w:rPr>
                <w:rFonts w:ascii="Arial" w:cs="Arial" w:eastAsia="Arial" w:hAnsi="Arial"/>
                <w:sz w:val="8"/>
                <w:szCs w:val="8"/>
                <w:color w:val="auto"/>
              </w:rPr>
              <w:t xml:space="preserve">Print Direction, Inc. </w:t>
            </w:r>
            <w:r>
              <w:rPr>
                <w:rFonts w:ascii="Arial" w:cs="Arial" w:eastAsia="Arial" w:hAnsi="Arial"/>
                <w:sz w:val="13"/>
                <w:szCs w:val="13"/>
                <w:color w:val="auto"/>
                <w:vertAlign w:val="superscript"/>
              </w:rPr>
              <w:t>(1)</w:t>
            </w:r>
          </w:p>
        </w:tc>
        <w:tc>
          <w:tcPr>
            <w:tcW w:w="2200" w:type="dxa"/>
            <w:vAlign w:val="bottom"/>
            <w:gridSpan w:val="2"/>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60" w:type="dxa"/>
            <w:vAlign w:val="bottom"/>
            <w:vMerge w:val="continue"/>
          </w:tcPr>
          <w:p>
            <w:pPr>
              <w:spacing w:after="0"/>
              <w:rPr>
                <w:sz w:val="8"/>
                <w:szCs w:val="8"/>
                <w:color w:val="auto"/>
              </w:rPr>
            </w:pPr>
          </w:p>
        </w:tc>
        <w:tc>
          <w:tcPr>
            <w:tcW w:w="2200" w:type="dxa"/>
            <w:vAlign w:val="bottom"/>
            <w:gridSpan w:val="2"/>
          </w:tcPr>
          <w:p>
            <w:pPr>
              <w:ind w:left="120"/>
              <w:spacing w:after="0"/>
              <w:rPr>
                <w:sz w:val="20"/>
                <w:szCs w:val="20"/>
                <w:color w:val="auto"/>
              </w:rPr>
            </w:pPr>
            <w:r>
              <w:rPr>
                <w:rFonts w:ascii="Arial" w:cs="Arial" w:eastAsia="Arial" w:hAnsi="Arial"/>
                <w:sz w:val="8"/>
                <w:szCs w:val="8"/>
                <w:color w:val="auto"/>
              </w:rPr>
              <w:t>Printing Services</w:t>
            </w:r>
          </w:p>
        </w:tc>
        <w:tc>
          <w:tcPr>
            <w:tcW w:w="3100" w:type="dxa"/>
            <w:vAlign w:val="bottom"/>
            <w:gridSpan w:val="2"/>
          </w:tcPr>
          <w:p>
            <w:pPr>
              <w:ind w:left="120"/>
              <w:spacing w:after="0"/>
              <w:rPr>
                <w:sz w:val="20"/>
                <w:szCs w:val="20"/>
                <w:color w:val="auto"/>
              </w:rPr>
            </w:pPr>
            <w:r>
              <w:rPr>
                <w:rFonts w:ascii="Arial" w:cs="Arial" w:eastAsia="Arial" w:hAnsi="Arial"/>
                <w:sz w:val="8"/>
                <w:szCs w:val="8"/>
                <w:color w:val="auto"/>
              </w:rPr>
              <w:t>Subordinated Debt (12% Cash, 6% PIK, Due 7/25/2018)</w:t>
            </w:r>
          </w:p>
        </w:tc>
        <w:tc>
          <w:tcPr>
            <w:tcW w:w="240" w:type="dxa"/>
            <w:vAlign w:val="bottom"/>
          </w:tcPr>
          <w:p>
            <w:pPr>
              <w:spacing w:after="0"/>
              <w:rPr>
                <w:sz w:val="8"/>
                <w:szCs w:val="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8"/>
                <w:szCs w:val="8"/>
                <w:color w:val="auto"/>
              </w:rPr>
              <w:t>4,424</w:t>
            </w:r>
          </w:p>
        </w:tc>
        <w:tc>
          <w:tcPr>
            <w:tcW w:w="100" w:type="dxa"/>
            <w:vAlign w:val="bottom"/>
          </w:tcPr>
          <w:p>
            <w:pPr>
              <w:spacing w:after="0"/>
              <w:rPr>
                <w:sz w:val="8"/>
                <w:szCs w:val="8"/>
                <w:color w:val="auto"/>
              </w:rPr>
            </w:pPr>
          </w:p>
        </w:tc>
        <w:tc>
          <w:tcPr>
            <w:tcW w:w="920" w:type="dxa"/>
            <w:vAlign w:val="bottom"/>
            <w:gridSpan w:val="2"/>
          </w:tcPr>
          <w:p>
            <w:pPr>
              <w:ind w:left="520"/>
              <w:spacing w:after="0"/>
              <w:rPr>
                <w:sz w:val="20"/>
                <w:szCs w:val="20"/>
                <w:color w:val="auto"/>
              </w:rPr>
            </w:pPr>
            <w:r>
              <w:rPr>
                <w:rFonts w:ascii="Arial" w:cs="Arial" w:eastAsia="Arial" w:hAnsi="Arial"/>
                <w:sz w:val="8"/>
                <w:szCs w:val="8"/>
                <w:color w:val="auto"/>
              </w:rPr>
              <w:t>4,389</w:t>
            </w:r>
          </w:p>
        </w:tc>
        <w:tc>
          <w:tcPr>
            <w:tcW w:w="100" w:type="dxa"/>
            <w:vAlign w:val="bottom"/>
          </w:tcPr>
          <w:p>
            <w:pPr>
              <w:spacing w:after="0"/>
              <w:rPr>
                <w:sz w:val="8"/>
                <w:szCs w:val="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8"/>
                <w:szCs w:val="8"/>
                <w:color w:val="auto"/>
              </w:rPr>
              <w:t>4,424</w:t>
            </w:r>
          </w:p>
        </w:tc>
        <w:tc>
          <w:tcPr>
            <w:tcW w:w="900" w:type="dxa"/>
            <w:vAlign w:val="bottom"/>
            <w:gridSpan w:val="3"/>
          </w:tcPr>
          <w:p>
            <w:pPr>
              <w:jc w:val="right"/>
              <w:spacing w:after="0"/>
              <w:rPr>
                <w:sz w:val="20"/>
                <w:szCs w:val="20"/>
                <w:color w:val="auto"/>
              </w:rPr>
            </w:pPr>
            <w:r>
              <w:rPr>
                <w:rFonts w:ascii="Arial" w:cs="Arial" w:eastAsia="Arial" w:hAnsi="Arial"/>
                <w:sz w:val="8"/>
                <w:szCs w:val="8"/>
                <w:color w:val="auto"/>
              </w:rPr>
              <w:t>1.6%</w:t>
            </w:r>
          </w:p>
        </w:tc>
        <w:tc>
          <w:tcPr>
            <w:tcW w:w="0" w:type="dxa"/>
            <w:vAlign w:val="bottom"/>
          </w:tcPr>
          <w:p>
            <w:pPr>
              <w:spacing w:after="0"/>
              <w:rPr>
                <w:sz w:val="1"/>
                <w:szCs w:val="1"/>
                <w:color w:val="auto"/>
              </w:rPr>
            </w:pPr>
          </w:p>
        </w:tc>
      </w:tr>
      <w:tr>
        <w:trPr>
          <w:trHeight w:val="113"/>
        </w:trPr>
        <w:tc>
          <w:tcPr>
            <w:tcW w:w="2060" w:type="dxa"/>
            <w:vAlign w:val="bottom"/>
            <w:shd w:val="clear" w:color="auto" w:fill="CCFFCC"/>
          </w:tcPr>
          <w:p>
            <w:pPr>
              <w:spacing w:after="0" w:line="113" w:lineRule="exact"/>
              <w:rPr>
                <w:sz w:val="20"/>
                <w:szCs w:val="20"/>
                <w:color w:val="auto"/>
              </w:rPr>
            </w:pPr>
            <w:r>
              <w:rPr>
                <w:rFonts w:ascii="Arial" w:cs="Arial" w:eastAsia="Arial" w:hAnsi="Arial"/>
                <w:sz w:val="8"/>
                <w:szCs w:val="8"/>
                <w:color w:val="auto"/>
              </w:rPr>
              <w:t xml:space="preserve">Print Direction, Inc. </w:t>
            </w:r>
            <w:r>
              <w:rPr>
                <w:rFonts w:ascii="Arial" w:cs="Arial" w:eastAsia="Arial" w:hAnsi="Arial"/>
                <w:sz w:val="13"/>
                <w:szCs w:val="13"/>
                <w:color w:val="auto"/>
                <w:vertAlign w:val="superscript"/>
              </w:rPr>
              <w:t>(1)</w:t>
            </w:r>
          </w:p>
        </w:tc>
        <w:tc>
          <w:tcPr>
            <w:tcW w:w="2200" w:type="dxa"/>
            <w:vAlign w:val="bottom"/>
            <w:gridSpan w:val="2"/>
            <w:shd w:val="clear" w:color="auto" w:fill="CCFFCC"/>
          </w:tcPr>
          <w:p>
            <w:pPr>
              <w:ind w:left="120"/>
              <w:spacing w:after="0"/>
              <w:rPr>
                <w:sz w:val="20"/>
                <w:szCs w:val="20"/>
                <w:color w:val="auto"/>
              </w:rPr>
            </w:pPr>
            <w:r>
              <w:rPr>
                <w:rFonts w:ascii="Arial" w:cs="Arial" w:eastAsia="Arial" w:hAnsi="Arial"/>
                <w:sz w:val="8"/>
                <w:szCs w:val="8"/>
                <w:color w:val="auto"/>
              </w:rPr>
              <w:t>Printing Services</w:t>
            </w:r>
          </w:p>
        </w:tc>
        <w:tc>
          <w:tcPr>
            <w:tcW w:w="3100" w:type="dxa"/>
            <w:vAlign w:val="bottom"/>
            <w:gridSpan w:val="2"/>
            <w:shd w:val="clear" w:color="auto" w:fill="CCFFCC"/>
          </w:tcPr>
          <w:p>
            <w:pPr>
              <w:ind w:left="120"/>
              <w:spacing w:after="0"/>
              <w:rPr>
                <w:sz w:val="20"/>
                <w:szCs w:val="20"/>
                <w:color w:val="auto"/>
              </w:rPr>
            </w:pPr>
            <w:r>
              <w:rPr>
                <w:rFonts w:ascii="Arial" w:cs="Arial" w:eastAsia="Arial" w:hAnsi="Arial"/>
                <w:sz w:val="8"/>
                <w:szCs w:val="8"/>
                <w:color w:val="auto"/>
              </w:rPr>
              <w:t>Subordinated Debt (14% Cash, Due 7/31/18)</w:t>
            </w:r>
          </w:p>
        </w:tc>
        <w:tc>
          <w:tcPr>
            <w:tcW w:w="240" w:type="dxa"/>
            <w:vAlign w:val="bottom"/>
            <w:shd w:val="clear" w:color="auto" w:fill="CCFFCC"/>
          </w:tcPr>
          <w:p>
            <w:pPr>
              <w:spacing w:after="0"/>
              <w:rPr>
                <w:sz w:val="9"/>
                <w:szCs w:val="9"/>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8"/>
                <w:szCs w:val="8"/>
                <w:color w:val="auto"/>
              </w:rPr>
              <w:t>4,600</w:t>
            </w:r>
          </w:p>
        </w:tc>
        <w:tc>
          <w:tcPr>
            <w:tcW w:w="100" w:type="dxa"/>
            <w:vAlign w:val="bottom"/>
            <w:shd w:val="clear" w:color="auto" w:fill="CCFFCC"/>
          </w:tcPr>
          <w:p>
            <w:pPr>
              <w:spacing w:after="0"/>
              <w:rPr>
                <w:sz w:val="9"/>
                <w:szCs w:val="9"/>
                <w:color w:val="auto"/>
              </w:rPr>
            </w:pPr>
          </w:p>
        </w:tc>
        <w:tc>
          <w:tcPr>
            <w:tcW w:w="920" w:type="dxa"/>
            <w:vAlign w:val="bottom"/>
            <w:gridSpan w:val="2"/>
            <w:shd w:val="clear" w:color="auto" w:fill="CCFFCC"/>
          </w:tcPr>
          <w:p>
            <w:pPr>
              <w:ind w:left="520"/>
              <w:spacing w:after="0"/>
              <w:rPr>
                <w:sz w:val="20"/>
                <w:szCs w:val="20"/>
                <w:color w:val="auto"/>
              </w:rPr>
            </w:pPr>
            <w:r>
              <w:rPr>
                <w:rFonts w:ascii="Arial" w:cs="Arial" w:eastAsia="Arial" w:hAnsi="Arial"/>
                <w:sz w:val="8"/>
                <w:szCs w:val="8"/>
                <w:color w:val="auto"/>
              </w:rPr>
              <w:t>4,600</w:t>
            </w:r>
          </w:p>
        </w:tc>
        <w:tc>
          <w:tcPr>
            <w:tcW w:w="100" w:type="dxa"/>
            <w:vAlign w:val="bottom"/>
            <w:shd w:val="clear" w:color="auto" w:fill="CCFFCC"/>
          </w:tcPr>
          <w:p>
            <w:pPr>
              <w:spacing w:after="0"/>
              <w:rPr>
                <w:sz w:val="9"/>
                <w:szCs w:val="9"/>
                <w:color w:val="auto"/>
              </w:rPr>
            </w:pPr>
          </w:p>
        </w:tc>
        <w:tc>
          <w:tcPr>
            <w:tcW w:w="92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4,600</w:t>
            </w:r>
          </w:p>
        </w:tc>
        <w:tc>
          <w:tcPr>
            <w:tcW w:w="900" w:type="dxa"/>
            <w:vAlign w:val="bottom"/>
            <w:gridSpan w:val="3"/>
            <w:shd w:val="clear" w:color="auto" w:fill="CCFFCC"/>
          </w:tcPr>
          <w:p>
            <w:pPr>
              <w:jc w:val="right"/>
              <w:spacing w:after="0"/>
              <w:rPr>
                <w:sz w:val="20"/>
                <w:szCs w:val="20"/>
                <w:color w:val="auto"/>
              </w:rPr>
            </w:pPr>
            <w:r>
              <w:rPr>
                <w:rFonts w:ascii="Arial" w:cs="Arial" w:eastAsia="Arial" w:hAnsi="Arial"/>
                <w:sz w:val="8"/>
                <w:szCs w:val="8"/>
                <w:color w:val="auto"/>
              </w:rPr>
              <w:t>1.7%</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Print Direction,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Printing Services</w:t>
            </w:r>
          </w:p>
        </w:tc>
        <w:tc>
          <w:tcPr>
            <w:tcW w:w="3100" w:type="dxa"/>
            <w:vAlign w:val="bottom"/>
            <w:gridSpan w:val="2"/>
          </w:tcPr>
          <w:p>
            <w:pPr>
              <w:ind w:left="120"/>
              <w:spacing w:after="0" w:line="91" w:lineRule="exact"/>
              <w:rPr>
                <w:sz w:val="20"/>
                <w:szCs w:val="20"/>
                <w:color w:val="auto"/>
              </w:rPr>
            </w:pPr>
            <w:r>
              <w:rPr>
                <w:rFonts w:ascii="Arial" w:cs="Arial" w:eastAsia="Arial" w:hAnsi="Arial"/>
                <w:sz w:val="8"/>
                <w:szCs w:val="8"/>
                <w:color w:val="auto"/>
              </w:rPr>
              <w:t>Common Stock (19,363 shares)</w:t>
            </w:r>
          </w:p>
        </w:tc>
        <w:tc>
          <w:tcPr>
            <w:tcW w:w="240" w:type="dxa"/>
            <w:vAlign w:val="bottom"/>
          </w:tcPr>
          <w:p>
            <w:pPr>
              <w:spacing w:after="0"/>
              <w:rPr>
                <w:sz w:val="7"/>
                <w:szCs w:val="7"/>
                <w:color w:val="auto"/>
              </w:rPr>
            </w:pPr>
          </w:p>
        </w:tc>
        <w:tc>
          <w:tcPr>
            <w:tcW w:w="90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20" w:type="dxa"/>
            <w:vAlign w:val="bottom"/>
            <w:gridSpan w:val="2"/>
          </w:tcPr>
          <w:p>
            <w:pPr>
              <w:ind w:left="520"/>
              <w:spacing w:after="0" w:line="91" w:lineRule="exact"/>
              <w:rPr>
                <w:sz w:val="20"/>
                <w:szCs w:val="20"/>
                <w:color w:val="auto"/>
              </w:rPr>
            </w:pPr>
            <w:r>
              <w:rPr>
                <w:rFonts w:ascii="Arial" w:cs="Arial" w:eastAsia="Arial" w:hAnsi="Arial"/>
                <w:sz w:val="8"/>
                <w:szCs w:val="8"/>
                <w:color w:val="auto"/>
              </w:rPr>
              <w:t>2,990</w:t>
            </w:r>
          </w:p>
        </w:tc>
        <w:tc>
          <w:tcPr>
            <w:tcW w:w="100" w:type="dxa"/>
            <w:vAlign w:val="bottom"/>
          </w:tcPr>
          <w:p>
            <w:pPr>
              <w:spacing w:after="0"/>
              <w:rPr>
                <w:sz w:val="7"/>
                <w:szCs w:val="7"/>
                <w:color w:val="auto"/>
              </w:rPr>
            </w:pPr>
          </w:p>
        </w:tc>
        <w:tc>
          <w:tcPr>
            <w:tcW w:w="92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7,110</w:t>
            </w:r>
          </w:p>
        </w:tc>
        <w:tc>
          <w:tcPr>
            <w:tcW w:w="900" w:type="dxa"/>
            <w:vAlign w:val="bottom"/>
            <w:gridSpan w:val="3"/>
          </w:tcPr>
          <w:p>
            <w:pPr>
              <w:jc w:val="right"/>
              <w:spacing w:after="0" w:line="91" w:lineRule="exact"/>
              <w:rPr>
                <w:sz w:val="20"/>
                <w:szCs w:val="20"/>
                <w:color w:val="auto"/>
              </w:rPr>
            </w:pPr>
            <w:r>
              <w:rPr>
                <w:rFonts w:ascii="Arial" w:cs="Arial" w:eastAsia="Arial" w:hAnsi="Arial"/>
                <w:sz w:val="8"/>
                <w:szCs w:val="8"/>
                <w:color w:val="auto"/>
              </w:rPr>
              <w:t>2.7%</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Print Direction,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Printing Services</w:t>
            </w:r>
          </w:p>
        </w:tc>
        <w:tc>
          <w:tcPr>
            <w:tcW w:w="31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Warrants (3% fully diluted)</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FFCC"/>
          </w:tcPr>
          <w:p>
            <w:pPr>
              <w:spacing w:after="0"/>
              <w:rPr>
                <w:sz w:val="7"/>
                <w:szCs w:val="7"/>
                <w:color w:val="auto"/>
              </w:rPr>
            </w:pPr>
          </w:p>
        </w:tc>
        <w:tc>
          <w:tcPr>
            <w:tcW w:w="92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314</w:t>
            </w:r>
          </w:p>
        </w:tc>
        <w:tc>
          <w:tcPr>
            <w:tcW w:w="900" w:type="dxa"/>
            <w:vAlign w:val="bottom"/>
            <w:gridSpan w:val="3"/>
            <w:shd w:val="clear" w:color="auto" w:fill="CCFFCC"/>
          </w:tcPr>
          <w:p>
            <w:pPr>
              <w:jc w:val="right"/>
              <w:spacing w:after="0" w:line="91" w:lineRule="exact"/>
              <w:rPr>
                <w:sz w:val="20"/>
                <w:szCs w:val="20"/>
                <w:color w:val="auto"/>
              </w:rPr>
            </w:pPr>
            <w:r>
              <w:rPr>
                <w:rFonts w:ascii="Arial" w:cs="Arial" w:eastAsia="Arial" w:hAnsi="Arial"/>
                <w:sz w:val="8"/>
                <w:szCs w:val="8"/>
                <w:color w:val="auto"/>
              </w:rPr>
              <w:t>0.1%</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11,979</w:t>
            </w:r>
          </w:p>
        </w:tc>
        <w:tc>
          <w:tcPr>
            <w:tcW w:w="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spacing w:after="0" w:line="82" w:lineRule="exact"/>
              <w:rPr>
                <w:sz w:val="20"/>
                <w:szCs w:val="20"/>
                <w:color w:val="auto"/>
              </w:rPr>
            </w:pPr>
            <w:r>
              <w:rPr>
                <w:rFonts w:ascii="Arial" w:cs="Arial" w:eastAsia="Arial" w:hAnsi="Arial"/>
                <w:sz w:val="8"/>
                <w:szCs w:val="8"/>
                <w:color w:val="auto"/>
              </w:rPr>
              <w:t>16,448</w:t>
            </w:r>
          </w:p>
        </w:tc>
        <w:tc>
          <w:tcPr>
            <w:tcW w:w="240" w:type="dxa"/>
            <w:vAlign w:val="bottom"/>
            <w:vMerge w:val="continue"/>
          </w:tcPr>
          <w:p>
            <w:pPr>
              <w:spacing w:after="0"/>
              <w:rPr>
                <w:sz w:val="7"/>
                <w:szCs w:val="7"/>
                <w:color w:val="auto"/>
              </w:rPr>
            </w:pPr>
          </w:p>
        </w:tc>
        <w:tc>
          <w:tcPr>
            <w:tcW w:w="900" w:type="dxa"/>
            <w:vAlign w:val="bottom"/>
            <w:gridSpan w:val="3"/>
          </w:tcPr>
          <w:p>
            <w:pPr>
              <w:jc w:val="right"/>
              <w:spacing w:after="0" w:line="82" w:lineRule="exact"/>
              <w:rPr>
                <w:sz w:val="20"/>
                <w:szCs w:val="20"/>
                <w:color w:val="auto"/>
              </w:rPr>
            </w:pPr>
            <w:r>
              <w:rPr>
                <w:rFonts w:ascii="Arial" w:cs="Arial" w:eastAsia="Arial" w:hAnsi="Arial"/>
                <w:sz w:val="8"/>
                <w:szCs w:val="8"/>
                <w:color w:val="auto"/>
              </w:rPr>
              <w:t>6.1%</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b w:val="1"/>
                <w:bCs w:val="1"/>
                <w:color w:val="auto"/>
              </w:rPr>
              <w:t>Sub Total Control investments</w:t>
            </w: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240" w:type="dxa"/>
            <w:vAlign w:val="bottom"/>
            <w:shd w:val="clear" w:color="auto" w:fill="CCFFCC"/>
          </w:tcPr>
          <w:p>
            <w:pPr>
              <w:spacing w:after="0"/>
              <w:rPr>
                <w:sz w:val="7"/>
                <w:szCs w:val="7"/>
                <w:color w:val="auto"/>
              </w:rPr>
            </w:pPr>
          </w:p>
        </w:tc>
        <w:tc>
          <w:tcPr>
            <w:tcW w:w="6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00" w:type="dxa"/>
            <w:vAlign w:val="bottom"/>
            <w:shd w:val="clear" w:color="auto" w:fill="CCFFCC"/>
          </w:tcPr>
          <w:p>
            <w:pPr>
              <w:jc w:val="right"/>
              <w:ind w:right="34"/>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58,057</w:t>
            </w:r>
          </w:p>
        </w:tc>
        <w:tc>
          <w:tcPr>
            <w:tcW w:w="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jc w:val="right"/>
              <w:ind w:right="34"/>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76,481</w:t>
            </w:r>
          </w:p>
        </w:tc>
        <w:tc>
          <w:tcPr>
            <w:tcW w:w="240" w:type="dxa"/>
            <w:vAlign w:val="bottom"/>
            <w:vMerge w:val="continue"/>
            <w:shd w:val="clear" w:color="auto" w:fill="CCFFCC"/>
          </w:tcPr>
          <w:p>
            <w:pPr>
              <w:spacing w:after="0"/>
              <w:rPr>
                <w:sz w:val="7"/>
                <w:szCs w:val="7"/>
                <w:color w:val="auto"/>
              </w:rPr>
            </w:pPr>
          </w:p>
        </w:tc>
        <w:tc>
          <w:tcPr>
            <w:tcW w:w="900" w:type="dxa"/>
            <w:vAlign w:val="bottom"/>
            <w:gridSpan w:val="3"/>
            <w:shd w:val="clear" w:color="auto" w:fill="CCFFCC"/>
          </w:tcPr>
          <w:p>
            <w:pPr>
              <w:jc w:val="right"/>
              <w:spacing w:after="0" w:line="82" w:lineRule="exact"/>
              <w:rPr>
                <w:sz w:val="20"/>
                <w:szCs w:val="20"/>
                <w:color w:val="auto"/>
              </w:rPr>
            </w:pPr>
            <w:r>
              <w:rPr>
                <w:rFonts w:ascii="Arial" w:cs="Arial" w:eastAsia="Arial" w:hAnsi="Arial"/>
                <w:sz w:val="8"/>
                <w:szCs w:val="8"/>
                <w:color w:val="auto"/>
              </w:rPr>
              <w:t>28.4%</w:t>
            </w:r>
          </w:p>
        </w:tc>
        <w:tc>
          <w:tcPr>
            <w:tcW w:w="0" w:type="dxa"/>
            <w:vAlign w:val="bottom"/>
          </w:tcPr>
          <w:p>
            <w:pPr>
              <w:spacing w:after="0"/>
              <w:rPr>
                <w:sz w:val="1"/>
                <w:szCs w:val="1"/>
                <w:color w:val="auto"/>
              </w:rPr>
            </w:pPr>
          </w:p>
        </w:tc>
      </w:tr>
      <w:tr>
        <w:trPr>
          <w:trHeight w:val="82"/>
        </w:trPr>
        <w:tc>
          <w:tcPr>
            <w:tcW w:w="2060" w:type="dxa"/>
            <w:vAlign w:val="bottom"/>
          </w:tcPr>
          <w:p>
            <w:pPr>
              <w:spacing w:after="0" w:line="81" w:lineRule="exact"/>
              <w:rPr>
                <w:sz w:val="20"/>
                <w:szCs w:val="20"/>
                <w:color w:val="auto"/>
              </w:rPr>
            </w:pPr>
            <w:r>
              <w:rPr>
                <w:rFonts w:ascii="Arial" w:cs="Arial" w:eastAsia="Arial" w:hAnsi="Arial"/>
                <w:sz w:val="8"/>
                <w:szCs w:val="8"/>
                <w:b w:val="1"/>
                <w:bCs w:val="1"/>
                <w:color w:val="auto"/>
              </w:rPr>
              <w:t>TOTAL INVESTMENTS - 135.7%</w:t>
            </w: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top w:val="single" w:sz="8" w:color="auto"/>
            </w:tcBorders>
          </w:tcPr>
          <w:p>
            <w:pPr>
              <w:jc w:val="right"/>
              <w:ind w:right="34"/>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tcBorders>
          </w:tcPr>
          <w:p>
            <w:pPr>
              <w:jc w:val="right"/>
              <w:spacing w:after="0" w:line="82" w:lineRule="exact"/>
              <w:rPr>
                <w:sz w:val="20"/>
                <w:szCs w:val="20"/>
                <w:color w:val="auto"/>
              </w:rPr>
            </w:pPr>
            <w:r>
              <w:rPr>
                <w:rFonts w:ascii="Arial" w:cs="Arial" w:eastAsia="Arial" w:hAnsi="Arial"/>
                <w:sz w:val="8"/>
                <w:szCs w:val="8"/>
                <w:b w:val="1"/>
                <w:bCs w:val="1"/>
                <w:color w:val="auto"/>
              </w:rPr>
              <w:t>301,299</w:t>
            </w:r>
          </w:p>
        </w:tc>
        <w:tc>
          <w:tcPr>
            <w:tcW w:w="240" w:type="dxa"/>
            <w:vAlign w:val="bottom"/>
          </w:tcPr>
          <w:p>
            <w:pPr>
              <w:spacing w:after="0"/>
              <w:rPr>
                <w:sz w:val="7"/>
                <w:szCs w:val="7"/>
                <w:color w:val="auto"/>
              </w:rPr>
            </w:pPr>
          </w:p>
        </w:tc>
        <w:tc>
          <w:tcPr>
            <w:tcW w:w="100" w:type="dxa"/>
            <w:vAlign w:val="bottom"/>
            <w:tcBorders>
              <w:top w:val="single" w:sz="8" w:color="auto"/>
            </w:tcBorders>
          </w:tcPr>
          <w:p>
            <w:pPr>
              <w:jc w:val="right"/>
              <w:ind w:right="34"/>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tcBorders>
          </w:tcPr>
          <w:p>
            <w:pPr>
              <w:jc w:val="right"/>
              <w:spacing w:after="0" w:line="82" w:lineRule="exact"/>
              <w:rPr>
                <w:sz w:val="20"/>
                <w:szCs w:val="20"/>
                <w:color w:val="auto"/>
              </w:rPr>
            </w:pPr>
            <w:r>
              <w:rPr>
                <w:rFonts w:ascii="Arial" w:cs="Arial" w:eastAsia="Arial" w:hAnsi="Arial"/>
                <w:sz w:val="8"/>
                <w:szCs w:val="8"/>
                <w:b w:val="1"/>
                <w:bCs w:val="1"/>
                <w:color w:val="auto"/>
              </w:rPr>
              <w:t>364,719</w:t>
            </w:r>
          </w:p>
        </w:tc>
        <w:tc>
          <w:tcPr>
            <w:tcW w:w="240" w:type="dxa"/>
            <w:vAlign w:val="bottom"/>
          </w:tcPr>
          <w:p>
            <w:pPr>
              <w:spacing w:after="0"/>
              <w:rPr>
                <w:sz w:val="7"/>
                <w:szCs w:val="7"/>
                <w:color w:val="auto"/>
              </w:rPr>
            </w:pPr>
          </w:p>
        </w:tc>
        <w:tc>
          <w:tcPr>
            <w:tcW w:w="780" w:type="dxa"/>
            <w:vAlign w:val="bottom"/>
            <w:tcBorders>
              <w:top w:val="single" w:sz="8" w:color="auto"/>
            </w:tcBorders>
            <w:gridSpan w:val="2"/>
          </w:tcPr>
          <w:p>
            <w:pPr>
              <w:jc w:val="right"/>
              <w:spacing w:after="0" w:line="82" w:lineRule="exact"/>
              <w:rPr>
                <w:sz w:val="20"/>
                <w:szCs w:val="20"/>
                <w:color w:val="auto"/>
              </w:rPr>
            </w:pPr>
            <w:r>
              <w:rPr>
                <w:rFonts w:ascii="Arial" w:cs="Arial" w:eastAsia="Arial" w:hAnsi="Arial"/>
                <w:sz w:val="8"/>
                <w:szCs w:val="8"/>
                <w:b w:val="1"/>
                <w:bCs w:val="1"/>
                <w:color w:val="auto"/>
              </w:rPr>
              <w:t>135.7</w:t>
            </w:r>
          </w:p>
        </w:tc>
        <w:tc>
          <w:tcPr>
            <w:tcW w:w="120" w:type="dxa"/>
            <w:vAlign w:val="bottom"/>
          </w:tcPr>
          <w:p>
            <w:pPr>
              <w:jc w:val="right"/>
              <w:spacing w:after="0" w:line="82" w:lineRule="exact"/>
              <w:rPr>
                <w:sz w:val="20"/>
                <w:szCs w:val="20"/>
                <w:color w:val="auto"/>
              </w:rPr>
            </w:pPr>
            <w:r>
              <w:rPr>
                <w:rFonts w:ascii="Arial" w:cs="Arial" w:eastAsia="Arial" w:hAnsi="Arial"/>
                <w:sz w:val="8"/>
                <w:szCs w:val="8"/>
                <w:b w:val="1"/>
                <w:bCs w:val="1"/>
                <w:color w:val="auto"/>
                <w:w w:val="83"/>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190" w:hanging="190"/>
        <w:spacing w:after="0"/>
        <w:tabs>
          <w:tab w:leader="none" w:pos="190" w:val="left"/>
        </w:tabs>
        <w:numPr>
          <w:ilvl w:val="0"/>
          <w:numId w:val="53"/>
        </w:numPr>
        <w:rPr>
          <w:rFonts w:ascii="Arial" w:cs="Arial" w:eastAsia="Arial" w:hAnsi="Arial"/>
          <w:sz w:val="23"/>
          <w:szCs w:val="23"/>
          <w:color w:val="auto"/>
          <w:vertAlign w:val="superscript"/>
        </w:rPr>
      </w:pPr>
      <w:r>
        <w:rPr>
          <w:rFonts w:ascii="Arial" w:cs="Arial" w:eastAsia="Arial" w:hAnsi="Arial"/>
          <w:sz w:val="14"/>
          <w:szCs w:val="14"/>
          <w:color w:val="auto"/>
        </w:rPr>
        <w:t>The maturity date of the original investment has been extended.</w:t>
      </w:r>
    </w:p>
    <w:p>
      <w:pPr>
        <w:spacing w:after="0" w:line="36" w:lineRule="exact"/>
        <w:rPr>
          <w:rFonts w:ascii="Arial" w:cs="Arial" w:eastAsia="Arial" w:hAnsi="Arial"/>
          <w:sz w:val="23"/>
          <w:szCs w:val="23"/>
          <w:color w:val="auto"/>
          <w:vertAlign w:val="superscript"/>
        </w:rPr>
      </w:pPr>
    </w:p>
    <w:p>
      <w:pPr>
        <w:ind w:left="190" w:hanging="190"/>
        <w:spacing w:after="0" w:line="186" w:lineRule="auto"/>
        <w:tabs>
          <w:tab w:leader="none" w:pos="190" w:val="left"/>
        </w:tabs>
        <w:numPr>
          <w:ilvl w:val="0"/>
          <w:numId w:val="53"/>
        </w:numPr>
        <w:rPr>
          <w:rFonts w:ascii="Arial" w:cs="Arial" w:eastAsia="Arial" w:hAnsi="Arial"/>
          <w:sz w:val="20"/>
          <w:szCs w:val="20"/>
          <w:color w:val="auto"/>
          <w:vertAlign w:val="superscript"/>
        </w:rPr>
      </w:pPr>
      <w:r>
        <w:rPr>
          <w:rFonts w:ascii="Arial" w:cs="Arial" w:eastAsia="Arial" w:hAnsi="Arial"/>
          <w:sz w:val="12"/>
          <w:szCs w:val="12"/>
          <w:color w:val="auto"/>
        </w:rPr>
        <w:t>Due to deterioration in credit quality, this investment is on non- accrual status.</w:t>
      </w:r>
    </w:p>
    <w:p>
      <w:pPr>
        <w:spacing w:after="0" w:line="36" w:lineRule="exact"/>
        <w:rPr>
          <w:rFonts w:ascii="Arial" w:cs="Arial" w:eastAsia="Arial" w:hAnsi="Arial"/>
          <w:sz w:val="20"/>
          <w:szCs w:val="20"/>
          <w:color w:val="auto"/>
          <w:vertAlign w:val="superscript"/>
        </w:rPr>
      </w:pPr>
    </w:p>
    <w:p>
      <w:pPr>
        <w:ind w:left="190" w:hanging="190"/>
        <w:spacing w:after="0" w:line="186" w:lineRule="auto"/>
        <w:tabs>
          <w:tab w:leader="none" w:pos="190" w:val="left"/>
        </w:tabs>
        <w:numPr>
          <w:ilvl w:val="0"/>
          <w:numId w:val="53"/>
        </w:numPr>
        <w:rPr>
          <w:rFonts w:ascii="Arial" w:cs="Arial" w:eastAsia="Arial" w:hAnsi="Arial"/>
          <w:sz w:val="20"/>
          <w:szCs w:val="20"/>
          <w:color w:val="auto"/>
          <w:vertAlign w:val="superscript"/>
        </w:rPr>
      </w:pPr>
      <w:r>
        <w:rPr>
          <w:rFonts w:ascii="Arial" w:cs="Arial" w:eastAsia="Arial" w:hAnsi="Arial"/>
          <w:sz w:val="12"/>
          <w:szCs w:val="12"/>
          <w:color w:val="auto"/>
        </w:rPr>
        <w:t>The debt investment is accruing interest based on the terms of the forebearance agreement.</w:t>
      </w:r>
    </w:p>
    <w:p>
      <w:pPr>
        <w:spacing w:after="0" w:line="36" w:lineRule="exact"/>
        <w:rPr>
          <w:rFonts w:ascii="Arial" w:cs="Arial" w:eastAsia="Arial" w:hAnsi="Arial"/>
          <w:sz w:val="20"/>
          <w:szCs w:val="20"/>
          <w:color w:val="auto"/>
          <w:vertAlign w:val="superscript"/>
        </w:rPr>
      </w:pPr>
    </w:p>
    <w:p>
      <w:pPr>
        <w:ind w:left="190" w:hanging="190"/>
        <w:spacing w:after="0" w:line="186" w:lineRule="auto"/>
        <w:tabs>
          <w:tab w:leader="none" w:pos="190" w:val="left"/>
        </w:tabs>
        <w:numPr>
          <w:ilvl w:val="0"/>
          <w:numId w:val="53"/>
        </w:numPr>
        <w:rPr>
          <w:rFonts w:ascii="Arial" w:cs="Arial" w:eastAsia="Arial" w:hAnsi="Arial"/>
          <w:sz w:val="20"/>
          <w:szCs w:val="20"/>
          <w:color w:val="auto"/>
          <w:vertAlign w:val="superscript"/>
        </w:rPr>
      </w:pPr>
      <w:r>
        <w:rPr>
          <w:rFonts w:ascii="Arial" w:cs="Arial" w:eastAsia="Arial" w:hAnsi="Arial"/>
          <w:sz w:val="12"/>
          <w:szCs w:val="12"/>
          <w:color w:val="auto"/>
        </w:rPr>
        <w:t>All debt investments are income producing. Equity and warrant investments are non-income producing, unless otherwise noted.</w:t>
      </w:r>
    </w:p>
    <w:p>
      <w:pPr>
        <w:spacing w:after="0" w:line="36" w:lineRule="exact"/>
        <w:rPr>
          <w:rFonts w:ascii="Arial" w:cs="Arial" w:eastAsia="Arial" w:hAnsi="Arial"/>
          <w:sz w:val="20"/>
          <w:szCs w:val="20"/>
          <w:color w:val="auto"/>
          <w:vertAlign w:val="superscript"/>
        </w:rPr>
      </w:pPr>
    </w:p>
    <w:p>
      <w:pPr>
        <w:ind w:left="190" w:hanging="190"/>
        <w:spacing w:after="0" w:line="186" w:lineRule="auto"/>
        <w:tabs>
          <w:tab w:leader="none" w:pos="190" w:val="left"/>
        </w:tabs>
        <w:numPr>
          <w:ilvl w:val="0"/>
          <w:numId w:val="53"/>
        </w:numPr>
        <w:rPr>
          <w:rFonts w:ascii="Arial" w:cs="Arial" w:eastAsia="Arial" w:hAnsi="Arial"/>
          <w:sz w:val="20"/>
          <w:szCs w:val="20"/>
          <w:color w:val="auto"/>
          <w:vertAlign w:val="superscript"/>
        </w:rPr>
      </w:pPr>
      <w:r>
        <w:rPr>
          <w:rFonts w:ascii="Arial" w:cs="Arial" w:eastAsia="Arial" w:hAnsi="Arial"/>
          <w:sz w:val="12"/>
          <w:szCs w:val="12"/>
          <w:color w:val="auto"/>
        </w:rPr>
        <w:t>Percentages are based on net assets of $268,670 as of December 31, 2013.</w:t>
      </w:r>
    </w:p>
    <w:p>
      <w:pPr>
        <w:spacing w:after="0" w:line="36" w:lineRule="exact"/>
        <w:rPr>
          <w:rFonts w:ascii="Arial" w:cs="Arial" w:eastAsia="Arial" w:hAnsi="Arial"/>
          <w:sz w:val="20"/>
          <w:szCs w:val="20"/>
          <w:color w:val="auto"/>
          <w:vertAlign w:val="superscript"/>
        </w:rPr>
      </w:pPr>
    </w:p>
    <w:p>
      <w:pPr>
        <w:ind w:left="190" w:hanging="190"/>
        <w:spacing w:after="0" w:line="186" w:lineRule="auto"/>
        <w:tabs>
          <w:tab w:leader="none" w:pos="190" w:val="left"/>
        </w:tabs>
        <w:numPr>
          <w:ilvl w:val="0"/>
          <w:numId w:val="53"/>
        </w:numPr>
        <w:rPr>
          <w:rFonts w:ascii="Arial" w:cs="Arial" w:eastAsia="Arial" w:hAnsi="Arial"/>
          <w:sz w:val="20"/>
          <w:szCs w:val="20"/>
          <w:color w:val="auto"/>
          <w:vertAlign w:val="superscript"/>
        </w:rPr>
      </w:pPr>
      <w:r>
        <w:rPr>
          <w:rFonts w:ascii="Arial" w:cs="Arial" w:eastAsia="Arial" w:hAnsi="Arial"/>
          <w:sz w:val="12"/>
          <w:szCs w:val="12"/>
          <w:color w:val="auto"/>
        </w:rPr>
        <w:t>The equity investment is income producing, based on cash rate disclosed.</w:t>
      </w:r>
    </w:p>
    <w:p>
      <w:pPr>
        <w:spacing w:after="0" w:line="36" w:lineRule="exact"/>
        <w:rPr>
          <w:rFonts w:ascii="Arial" w:cs="Arial" w:eastAsia="Arial" w:hAnsi="Arial"/>
          <w:sz w:val="20"/>
          <w:szCs w:val="20"/>
          <w:color w:val="auto"/>
          <w:vertAlign w:val="superscript"/>
        </w:rPr>
      </w:pPr>
    </w:p>
    <w:p>
      <w:pPr>
        <w:ind w:left="190" w:hanging="190"/>
        <w:spacing w:after="0" w:line="186" w:lineRule="auto"/>
        <w:tabs>
          <w:tab w:leader="none" w:pos="190" w:val="left"/>
        </w:tabs>
        <w:numPr>
          <w:ilvl w:val="0"/>
          <w:numId w:val="53"/>
        </w:numPr>
        <w:rPr>
          <w:rFonts w:ascii="Arial" w:cs="Arial" w:eastAsia="Arial" w:hAnsi="Arial"/>
          <w:sz w:val="20"/>
          <w:szCs w:val="20"/>
          <w:color w:val="auto"/>
          <w:vertAlign w:val="superscript"/>
        </w:rPr>
      </w:pPr>
      <w:r>
        <w:rPr>
          <w:rFonts w:ascii="Arial" w:cs="Arial" w:eastAsia="Arial" w:hAnsi="Arial"/>
          <w:sz w:val="12"/>
          <w:szCs w:val="12"/>
          <w:color w:val="auto"/>
        </w:rPr>
        <w:t>During the fourth quarter of 2013, the Company accepted a consent fee that waives its right to dividends through September 30, 2014.</w:t>
      </w:r>
    </w:p>
    <w:p>
      <w:pPr>
        <w:spacing w:after="0" w:line="36" w:lineRule="exact"/>
        <w:rPr>
          <w:rFonts w:ascii="Arial" w:cs="Arial" w:eastAsia="Arial" w:hAnsi="Arial"/>
          <w:sz w:val="20"/>
          <w:szCs w:val="20"/>
          <w:color w:val="auto"/>
          <w:vertAlign w:val="superscript"/>
        </w:rPr>
      </w:pPr>
    </w:p>
    <w:p>
      <w:pPr>
        <w:ind w:left="190" w:hanging="190"/>
        <w:spacing w:after="0" w:line="186" w:lineRule="auto"/>
        <w:tabs>
          <w:tab w:leader="none" w:pos="190" w:val="left"/>
        </w:tabs>
        <w:numPr>
          <w:ilvl w:val="0"/>
          <w:numId w:val="53"/>
        </w:numPr>
        <w:rPr>
          <w:rFonts w:ascii="Arial" w:cs="Arial" w:eastAsia="Arial" w:hAnsi="Arial"/>
          <w:sz w:val="20"/>
          <w:szCs w:val="20"/>
          <w:color w:val="auto"/>
          <w:vertAlign w:val="superscript"/>
        </w:rPr>
      </w:pPr>
      <w:r>
        <w:rPr>
          <w:rFonts w:ascii="Arial" w:cs="Arial" w:eastAsia="Arial" w:hAnsi="Arial"/>
          <w:sz w:val="12"/>
          <w:szCs w:val="12"/>
          <w:color w:val="auto"/>
        </w:rPr>
        <w:t>The equity investment has an exercisable put option.</w:t>
      </w:r>
    </w:p>
    <w:p>
      <w:pPr>
        <w:spacing w:after="0" w:line="172"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370"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6884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50"/>
          </w:cols>
          <w:pgMar w:left="230" w:top="789" w:right="21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5"/>
          <w:szCs w:val="15"/>
          <w:b w:val="1"/>
          <w:bCs w:val="1"/>
          <w:color w:val="auto"/>
        </w:rPr>
        <w:t>Capitala Finance Corp.</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Combined Schedule of Investments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 except for units)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December 31, 2012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rPr>
              <w:t>% of</w:t>
            </w:r>
          </w:p>
        </w:tc>
        <w:tc>
          <w:tcPr>
            <w:tcW w:w="0" w:type="dxa"/>
            <w:vAlign w:val="bottom"/>
          </w:tcPr>
          <w:p>
            <w:pPr>
              <w:spacing w:after="0"/>
              <w:rPr>
                <w:sz w:val="1"/>
                <w:szCs w:val="1"/>
                <w:color w:val="auto"/>
              </w:rPr>
            </w:pPr>
          </w:p>
        </w:tc>
      </w:tr>
      <w:tr>
        <w:trPr>
          <w:trHeight w:val="90"/>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tcPr>
          <w:p>
            <w:pPr>
              <w:jc w:val="center"/>
              <w:ind w:right="360"/>
              <w:spacing w:after="0" w:line="91" w:lineRule="exact"/>
              <w:rPr>
                <w:sz w:val="20"/>
                <w:szCs w:val="20"/>
                <w:color w:val="auto"/>
              </w:rPr>
            </w:pPr>
            <w:r>
              <w:rPr>
                <w:rFonts w:ascii="Arial" w:cs="Arial" w:eastAsia="Arial" w:hAnsi="Arial"/>
                <w:sz w:val="8"/>
                <w:szCs w:val="8"/>
                <w:b w:val="1"/>
                <w:bCs w:val="1"/>
                <w:color w:val="auto"/>
                <w:w w:val="94"/>
              </w:rPr>
              <w:t>Principal</w:t>
            </w: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2"/>
          </w:tcPr>
          <w:p>
            <w:pPr>
              <w:jc w:val="right"/>
              <w:ind w:right="560"/>
              <w:spacing w:after="0" w:line="91" w:lineRule="exact"/>
              <w:rPr>
                <w:sz w:val="20"/>
                <w:szCs w:val="20"/>
                <w:color w:val="auto"/>
              </w:rPr>
            </w:pPr>
            <w:r>
              <w:rPr>
                <w:rFonts w:ascii="Arial" w:cs="Arial" w:eastAsia="Arial" w:hAnsi="Arial"/>
                <w:sz w:val="8"/>
                <w:szCs w:val="8"/>
                <w:b w:val="1"/>
                <w:bCs w:val="1"/>
                <w:color w:val="auto"/>
              </w:rPr>
              <w:t>Fair</w:t>
            </w:r>
          </w:p>
        </w:tc>
        <w:tc>
          <w:tcPr>
            <w:tcW w:w="900" w:type="dxa"/>
            <w:vAlign w:val="bottom"/>
            <w:gridSpan w:val="2"/>
          </w:tcPr>
          <w:p>
            <w:pPr>
              <w:jc w:val="center"/>
              <w:ind w:right="140"/>
              <w:spacing w:after="0" w:line="91" w:lineRule="exact"/>
              <w:rPr>
                <w:sz w:val="20"/>
                <w:szCs w:val="20"/>
                <w:color w:val="auto"/>
              </w:rPr>
            </w:pPr>
            <w:r>
              <w:rPr>
                <w:rFonts w:ascii="Arial" w:cs="Arial" w:eastAsia="Arial" w:hAnsi="Arial"/>
                <w:sz w:val="8"/>
                <w:szCs w:val="8"/>
                <w:b w:val="1"/>
                <w:bCs w:val="1"/>
                <w:color w:val="auto"/>
                <w:w w:val="92"/>
              </w:rPr>
              <w:t>Net</w:t>
            </w:r>
          </w:p>
        </w:tc>
        <w:tc>
          <w:tcPr>
            <w:tcW w:w="0" w:type="dxa"/>
            <w:vAlign w:val="bottom"/>
          </w:tcPr>
          <w:p>
            <w:pPr>
              <w:spacing w:after="0"/>
              <w:rPr>
                <w:sz w:val="1"/>
                <w:szCs w:val="1"/>
                <w:color w:val="auto"/>
              </w:rPr>
            </w:pPr>
          </w:p>
        </w:tc>
      </w:tr>
      <w:tr>
        <w:trPr>
          <w:trHeight w:val="101"/>
        </w:trPr>
        <w:tc>
          <w:tcPr>
            <w:tcW w:w="2060" w:type="dxa"/>
            <w:vAlign w:val="bottom"/>
          </w:tcPr>
          <w:p>
            <w:pPr>
              <w:spacing w:after="0"/>
              <w:rPr>
                <w:sz w:val="20"/>
                <w:szCs w:val="20"/>
                <w:color w:val="auto"/>
              </w:rPr>
            </w:pPr>
            <w:r>
              <w:rPr>
                <w:rFonts w:ascii="Arial" w:cs="Arial" w:eastAsia="Arial" w:hAnsi="Arial"/>
                <w:sz w:val="8"/>
                <w:szCs w:val="8"/>
                <w:b w:val="1"/>
                <w:bCs w:val="1"/>
                <w:color w:val="auto"/>
              </w:rPr>
              <w:t>Company (3, 4)</w:t>
            </w:r>
          </w:p>
        </w:tc>
        <w:tc>
          <w:tcPr>
            <w:tcW w:w="120" w:type="dxa"/>
            <w:vAlign w:val="bottom"/>
          </w:tcPr>
          <w:p>
            <w:pPr>
              <w:spacing w:after="0"/>
              <w:rPr>
                <w:sz w:val="8"/>
                <w:szCs w:val="8"/>
                <w:color w:val="auto"/>
              </w:rPr>
            </w:pPr>
          </w:p>
        </w:tc>
        <w:tc>
          <w:tcPr>
            <w:tcW w:w="2080" w:type="dxa"/>
            <w:vAlign w:val="bottom"/>
          </w:tcPr>
          <w:p>
            <w:pPr>
              <w:ind w:left="900"/>
              <w:spacing w:after="0"/>
              <w:rPr>
                <w:sz w:val="20"/>
                <w:szCs w:val="20"/>
                <w:color w:val="auto"/>
              </w:rPr>
            </w:pPr>
            <w:r>
              <w:rPr>
                <w:rFonts w:ascii="Arial" w:cs="Arial" w:eastAsia="Arial" w:hAnsi="Arial"/>
                <w:sz w:val="8"/>
                <w:szCs w:val="8"/>
                <w:b w:val="1"/>
                <w:bCs w:val="1"/>
                <w:color w:val="auto"/>
              </w:rPr>
              <w:t>Industry</w:t>
            </w:r>
          </w:p>
        </w:tc>
        <w:tc>
          <w:tcPr>
            <w:tcW w:w="120" w:type="dxa"/>
            <w:vAlign w:val="bottom"/>
          </w:tcPr>
          <w:p>
            <w:pPr>
              <w:spacing w:after="0"/>
              <w:rPr>
                <w:sz w:val="8"/>
                <w:szCs w:val="8"/>
                <w:color w:val="auto"/>
              </w:rPr>
            </w:pPr>
          </w:p>
        </w:tc>
        <w:tc>
          <w:tcPr>
            <w:tcW w:w="3100" w:type="dxa"/>
            <w:vAlign w:val="bottom"/>
            <w:gridSpan w:val="2"/>
          </w:tcPr>
          <w:p>
            <w:pPr>
              <w:ind w:left="880"/>
              <w:spacing w:after="0"/>
              <w:rPr>
                <w:sz w:val="20"/>
                <w:szCs w:val="20"/>
                <w:color w:val="auto"/>
              </w:rPr>
            </w:pPr>
            <w:r>
              <w:rPr>
                <w:rFonts w:ascii="Arial" w:cs="Arial" w:eastAsia="Arial" w:hAnsi="Arial"/>
                <w:sz w:val="8"/>
                <w:szCs w:val="8"/>
                <w:b w:val="1"/>
                <w:bCs w:val="1"/>
                <w:color w:val="auto"/>
              </w:rPr>
              <w:t>Investment Interest Rate / Maturity</w:t>
            </w:r>
          </w:p>
        </w:tc>
        <w:tc>
          <w:tcPr>
            <w:tcW w:w="140" w:type="dxa"/>
            <w:vAlign w:val="bottom"/>
          </w:tcPr>
          <w:p>
            <w:pPr>
              <w:spacing w:after="0"/>
              <w:rPr>
                <w:sz w:val="8"/>
                <w:szCs w:val="8"/>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8"/>
                <w:szCs w:val="8"/>
                <w:b w:val="1"/>
                <w:bCs w:val="1"/>
                <w:color w:val="auto"/>
                <w:w w:val="92"/>
              </w:rPr>
              <w:t>Amount</w:t>
            </w:r>
          </w:p>
        </w:tc>
        <w:tc>
          <w:tcPr>
            <w:tcW w:w="180" w:type="dxa"/>
            <w:vAlign w:val="bottom"/>
          </w:tcPr>
          <w:p>
            <w:pPr>
              <w:spacing w:after="0"/>
              <w:rPr>
                <w:sz w:val="8"/>
                <w:szCs w:val="8"/>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8"/>
                <w:szCs w:val="8"/>
                <w:b w:val="1"/>
                <w:bCs w:val="1"/>
                <w:color w:val="auto"/>
              </w:rPr>
              <w:t>Cost</w:t>
            </w:r>
          </w:p>
        </w:tc>
        <w:tc>
          <w:tcPr>
            <w:tcW w:w="160" w:type="dxa"/>
            <w:vAlign w:val="bottom"/>
          </w:tcPr>
          <w:p>
            <w:pPr>
              <w:spacing w:after="0"/>
              <w:rPr>
                <w:sz w:val="8"/>
                <w:szCs w:val="8"/>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8"/>
                <w:szCs w:val="8"/>
                <w:b w:val="1"/>
                <w:bCs w:val="1"/>
                <w:color w:val="auto"/>
              </w:rPr>
              <w:t>Value</w:t>
            </w:r>
          </w:p>
        </w:tc>
        <w:tc>
          <w:tcPr>
            <w:tcW w:w="90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w w:val="83"/>
              </w:rPr>
              <w:t>Assets</w:t>
            </w:r>
          </w:p>
        </w:tc>
        <w:tc>
          <w:tcPr>
            <w:tcW w:w="0" w:type="dxa"/>
            <w:vAlign w:val="bottom"/>
          </w:tcPr>
          <w:p>
            <w:pPr>
              <w:spacing w:after="0"/>
              <w:rPr>
                <w:sz w:val="1"/>
                <w:szCs w:val="1"/>
                <w:color w:val="auto"/>
              </w:rPr>
            </w:pPr>
          </w:p>
        </w:tc>
      </w:tr>
      <w:tr>
        <w:trPr>
          <w:trHeight w:val="82"/>
        </w:trPr>
        <w:tc>
          <w:tcPr>
            <w:tcW w:w="2060" w:type="dxa"/>
            <w:vAlign w:val="bottom"/>
            <w:tcBorders>
              <w:top w:val="single" w:sz="8" w:color="auto"/>
            </w:tcBorders>
            <w:shd w:val="clear" w:color="auto" w:fill="CCFFCC"/>
          </w:tcPr>
          <w:p>
            <w:pPr>
              <w:spacing w:after="0" w:line="83" w:lineRule="exact"/>
              <w:rPr>
                <w:sz w:val="20"/>
                <w:szCs w:val="20"/>
                <w:color w:val="auto"/>
              </w:rPr>
            </w:pPr>
            <w:r>
              <w:rPr>
                <w:rFonts w:ascii="Arial" w:cs="Arial" w:eastAsia="Arial" w:hAnsi="Arial"/>
                <w:sz w:val="8"/>
                <w:szCs w:val="8"/>
                <w:b w:val="1"/>
                <w:bCs w:val="1"/>
                <w:color w:val="auto"/>
              </w:rPr>
              <w:t>Non-control/Non-affiliated investments - 55.3%</w:t>
            </w:r>
          </w:p>
        </w:tc>
        <w:tc>
          <w:tcPr>
            <w:tcW w:w="120" w:type="dxa"/>
            <w:vAlign w:val="bottom"/>
            <w:tcBorders>
              <w:top w:val="single" w:sz="8" w:color="CCFFCC"/>
            </w:tcBorders>
            <w:shd w:val="clear" w:color="auto" w:fill="CCFFCC"/>
          </w:tcPr>
          <w:p>
            <w:pPr>
              <w:spacing w:after="0"/>
              <w:rPr>
                <w:sz w:val="7"/>
                <w:szCs w:val="7"/>
                <w:color w:val="auto"/>
              </w:rPr>
            </w:pPr>
          </w:p>
        </w:tc>
        <w:tc>
          <w:tcPr>
            <w:tcW w:w="2080" w:type="dxa"/>
            <w:vAlign w:val="bottom"/>
            <w:tcBorders>
              <w:top w:val="single" w:sz="8" w:color="auto"/>
            </w:tcBorders>
            <w:shd w:val="clear" w:color="auto" w:fill="CCFFCC"/>
          </w:tcPr>
          <w:p>
            <w:pPr>
              <w:spacing w:after="0"/>
              <w:rPr>
                <w:sz w:val="7"/>
                <w:szCs w:val="7"/>
                <w:color w:val="auto"/>
              </w:rPr>
            </w:pPr>
          </w:p>
        </w:tc>
        <w:tc>
          <w:tcPr>
            <w:tcW w:w="120" w:type="dxa"/>
            <w:vAlign w:val="bottom"/>
            <w:tcBorders>
              <w:top w:val="single" w:sz="8" w:color="CCFFCC"/>
            </w:tcBorders>
            <w:shd w:val="clear" w:color="auto" w:fill="CCFFCC"/>
          </w:tcPr>
          <w:p>
            <w:pPr>
              <w:spacing w:after="0"/>
              <w:rPr>
                <w:sz w:val="7"/>
                <w:szCs w:val="7"/>
                <w:color w:val="auto"/>
              </w:rPr>
            </w:pPr>
          </w:p>
        </w:tc>
        <w:tc>
          <w:tcPr>
            <w:tcW w:w="2980" w:type="dxa"/>
            <w:vAlign w:val="bottom"/>
            <w:tcBorders>
              <w:top w:val="single" w:sz="8" w:color="auto"/>
            </w:tcBorders>
            <w:shd w:val="clear" w:color="auto" w:fill="CCFFCC"/>
          </w:tcPr>
          <w:p>
            <w:pPr>
              <w:spacing w:after="0"/>
              <w:rPr>
                <w:sz w:val="7"/>
                <w:szCs w:val="7"/>
                <w:color w:val="auto"/>
              </w:rPr>
            </w:pPr>
          </w:p>
        </w:tc>
        <w:tc>
          <w:tcPr>
            <w:tcW w:w="120" w:type="dxa"/>
            <w:vAlign w:val="bottom"/>
            <w:tcBorders>
              <w:top w:val="single" w:sz="8" w:color="CCFFCC"/>
            </w:tcBorders>
            <w:shd w:val="clear" w:color="auto" w:fill="CCFFCC"/>
          </w:tcPr>
          <w:p>
            <w:pPr>
              <w:spacing w:after="0"/>
              <w:rPr>
                <w:sz w:val="7"/>
                <w:szCs w:val="7"/>
                <w:color w:val="auto"/>
              </w:rPr>
            </w:pPr>
          </w:p>
        </w:tc>
        <w:tc>
          <w:tcPr>
            <w:tcW w:w="140" w:type="dxa"/>
            <w:vAlign w:val="bottom"/>
            <w:tcBorders>
              <w:top w:val="single" w:sz="8" w:color="auto"/>
            </w:tcBorders>
            <w:shd w:val="clear" w:color="auto" w:fill="CCFFCC"/>
          </w:tcPr>
          <w:p>
            <w:pPr>
              <w:spacing w:after="0"/>
              <w:rPr>
                <w:sz w:val="7"/>
                <w:szCs w:val="7"/>
                <w:color w:val="auto"/>
              </w:rPr>
            </w:pPr>
          </w:p>
        </w:tc>
        <w:tc>
          <w:tcPr>
            <w:tcW w:w="660" w:type="dxa"/>
            <w:vAlign w:val="bottom"/>
            <w:tcBorders>
              <w:top w:val="single" w:sz="8" w:color="auto"/>
            </w:tcBorders>
            <w:shd w:val="clear" w:color="auto" w:fill="CCFFCC"/>
          </w:tcPr>
          <w:p>
            <w:pPr>
              <w:spacing w:after="0"/>
              <w:rPr>
                <w:sz w:val="7"/>
                <w:szCs w:val="7"/>
                <w:color w:val="auto"/>
              </w:rPr>
            </w:pPr>
          </w:p>
        </w:tc>
        <w:tc>
          <w:tcPr>
            <w:tcW w:w="220" w:type="dxa"/>
            <w:vAlign w:val="bottom"/>
            <w:tcBorders>
              <w:top w:val="single" w:sz="8" w:color="CCFFCC"/>
            </w:tcBorders>
            <w:shd w:val="clear" w:color="auto" w:fill="CCFFCC"/>
          </w:tcPr>
          <w:p>
            <w:pPr>
              <w:spacing w:after="0"/>
              <w:rPr>
                <w:sz w:val="7"/>
                <w:szCs w:val="7"/>
                <w:color w:val="auto"/>
              </w:rPr>
            </w:pPr>
          </w:p>
        </w:tc>
        <w:tc>
          <w:tcPr>
            <w:tcW w:w="180" w:type="dxa"/>
            <w:vAlign w:val="bottom"/>
            <w:tcBorders>
              <w:top w:val="single" w:sz="8" w:color="auto"/>
            </w:tcBorders>
            <w:shd w:val="clear" w:color="auto" w:fill="CCFFCC"/>
          </w:tcPr>
          <w:p>
            <w:pPr>
              <w:spacing w:after="0"/>
              <w:rPr>
                <w:sz w:val="7"/>
                <w:szCs w:val="7"/>
                <w:color w:val="auto"/>
              </w:rPr>
            </w:pPr>
          </w:p>
        </w:tc>
        <w:tc>
          <w:tcPr>
            <w:tcW w:w="600" w:type="dxa"/>
            <w:vAlign w:val="bottom"/>
            <w:tcBorders>
              <w:top w:val="single" w:sz="8" w:color="auto"/>
            </w:tcBorders>
            <w:shd w:val="clear" w:color="auto" w:fill="CCFFCC"/>
          </w:tcPr>
          <w:p>
            <w:pPr>
              <w:spacing w:after="0"/>
              <w:rPr>
                <w:sz w:val="7"/>
                <w:szCs w:val="7"/>
                <w:color w:val="auto"/>
              </w:rPr>
            </w:pPr>
          </w:p>
        </w:tc>
        <w:tc>
          <w:tcPr>
            <w:tcW w:w="240" w:type="dxa"/>
            <w:vAlign w:val="bottom"/>
            <w:tcBorders>
              <w:top w:val="single" w:sz="8" w:color="CCFFCC"/>
            </w:tcBorders>
            <w:shd w:val="clear" w:color="auto" w:fill="CCFFCC"/>
          </w:tcPr>
          <w:p>
            <w:pPr>
              <w:spacing w:after="0"/>
              <w:rPr>
                <w:sz w:val="7"/>
                <w:szCs w:val="7"/>
                <w:color w:val="auto"/>
              </w:rPr>
            </w:pPr>
          </w:p>
        </w:tc>
        <w:tc>
          <w:tcPr>
            <w:tcW w:w="160" w:type="dxa"/>
            <w:vAlign w:val="bottom"/>
            <w:tcBorders>
              <w:top w:val="single" w:sz="8" w:color="auto"/>
            </w:tcBorders>
            <w:shd w:val="clear" w:color="auto" w:fill="CCFFCC"/>
          </w:tcPr>
          <w:p>
            <w:pPr>
              <w:spacing w:after="0"/>
              <w:rPr>
                <w:sz w:val="7"/>
                <w:szCs w:val="7"/>
                <w:color w:val="auto"/>
              </w:rPr>
            </w:pPr>
          </w:p>
        </w:tc>
        <w:tc>
          <w:tcPr>
            <w:tcW w:w="620" w:type="dxa"/>
            <w:vAlign w:val="bottom"/>
            <w:tcBorders>
              <w:top w:val="single" w:sz="8" w:color="auto"/>
            </w:tcBorders>
            <w:shd w:val="clear" w:color="auto" w:fill="CCFFCC"/>
          </w:tcPr>
          <w:p>
            <w:pPr>
              <w:spacing w:after="0"/>
              <w:rPr>
                <w:sz w:val="7"/>
                <w:szCs w:val="7"/>
                <w:color w:val="auto"/>
              </w:rPr>
            </w:pPr>
          </w:p>
        </w:tc>
        <w:tc>
          <w:tcPr>
            <w:tcW w:w="240" w:type="dxa"/>
            <w:vAlign w:val="bottom"/>
            <w:tcBorders>
              <w:top w:val="single" w:sz="8" w:color="CCFFCC"/>
            </w:tcBorders>
            <w:shd w:val="clear" w:color="auto" w:fill="CCFFCC"/>
          </w:tcPr>
          <w:p>
            <w:pPr>
              <w:spacing w:after="0"/>
              <w:rPr>
                <w:sz w:val="7"/>
                <w:szCs w:val="7"/>
                <w:color w:val="auto"/>
              </w:rPr>
            </w:pPr>
          </w:p>
        </w:tc>
        <w:tc>
          <w:tcPr>
            <w:tcW w:w="780" w:type="dxa"/>
            <w:vAlign w:val="bottom"/>
            <w:tcBorders>
              <w:top w:val="single" w:sz="8" w:color="auto"/>
            </w:tcBorders>
            <w:shd w:val="clear" w:color="auto" w:fill="CCFFCC"/>
          </w:tcPr>
          <w:p>
            <w:pPr>
              <w:spacing w:after="0"/>
              <w:rPr>
                <w:sz w:val="7"/>
                <w:szCs w:val="7"/>
                <w:color w:val="auto"/>
              </w:rPr>
            </w:pPr>
          </w:p>
        </w:tc>
        <w:tc>
          <w:tcPr>
            <w:tcW w:w="120" w:type="dxa"/>
            <w:vAlign w:val="bottom"/>
            <w:tcBorders>
              <w:top w:val="single" w:sz="8" w:color="CCFFCC"/>
            </w:tcBorders>
            <w:shd w:val="clear" w:color="auto" w:fill="CCFFCC"/>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AAE Acquisition,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Industrial Equipment Rental</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Senior Secured Term Debt (13% Cash, Due 5/6/15)</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14,500</w:t>
            </w:r>
          </w:p>
        </w:tc>
        <w:tc>
          <w:tcPr>
            <w:tcW w:w="180" w:type="dxa"/>
            <w:vAlign w:val="bottom"/>
          </w:tcPr>
          <w:p>
            <w:pPr>
              <w:jc w:val="right"/>
              <w:ind w:right="114"/>
              <w:spacing w:after="0"/>
              <w:rPr>
                <w:sz w:val="20"/>
                <w:szCs w:val="20"/>
                <w:color w:val="auto"/>
              </w:rPr>
            </w:pPr>
            <w:r>
              <w:rPr>
                <w:rFonts w:ascii="Arial" w:cs="Arial" w:eastAsia="Arial" w:hAnsi="Arial"/>
                <w:sz w:val="5"/>
                <w:szCs w:val="5"/>
                <w:color w:val="auto"/>
                <w:w w:val="70"/>
              </w:rPr>
              <w:t>$</w:t>
            </w: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14,488</w:t>
            </w:r>
          </w:p>
        </w:tc>
        <w:tc>
          <w:tcPr>
            <w:tcW w:w="160" w:type="dxa"/>
            <w:vAlign w:val="bottom"/>
          </w:tcPr>
          <w:p>
            <w:pPr>
              <w:jc w:val="right"/>
              <w:ind w:right="94"/>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14,500</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10.2%</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AAE Acquisition,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Industrial Equipment Rental</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Membership Units (21% fully diluted)</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25</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3,501</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2.4%</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14,513</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18,001</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12.6%</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line="113" w:lineRule="exact"/>
              <w:rPr>
                <w:sz w:val="20"/>
                <w:szCs w:val="20"/>
                <w:color w:val="auto"/>
              </w:rPr>
            </w:pPr>
            <w:r>
              <w:rPr>
                <w:rFonts w:ascii="Arial" w:cs="Arial" w:eastAsia="Arial" w:hAnsi="Arial"/>
                <w:sz w:val="8"/>
                <w:szCs w:val="8"/>
                <w:color w:val="auto"/>
              </w:rPr>
              <w:t xml:space="preserve">American Exteriors, LLC </w:t>
            </w:r>
            <w:r>
              <w:rPr>
                <w:rFonts w:ascii="Arial" w:cs="Arial" w:eastAsia="Arial" w:hAnsi="Arial"/>
                <w:sz w:val="13"/>
                <w:szCs w:val="13"/>
                <w:color w:val="auto"/>
                <w:vertAlign w:val="superscript"/>
              </w:rPr>
              <w:t>(1, 2)</w:t>
            </w: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60" w:type="dxa"/>
            <w:vAlign w:val="bottom"/>
            <w:vMerge w:val="continue"/>
            <w:shd w:val="clear" w:color="auto" w:fill="CCFFCC"/>
          </w:tcPr>
          <w:p>
            <w:pPr>
              <w:spacing w:after="0"/>
              <w:rPr>
                <w:sz w:val="8"/>
                <w:szCs w:val="8"/>
                <w:color w:val="auto"/>
              </w:rPr>
            </w:pPr>
          </w:p>
        </w:tc>
        <w:tc>
          <w:tcPr>
            <w:tcW w:w="2200" w:type="dxa"/>
            <w:vAlign w:val="bottom"/>
            <w:gridSpan w:val="2"/>
            <w:shd w:val="clear" w:color="auto" w:fill="CCFFCC"/>
          </w:tcPr>
          <w:p>
            <w:pPr>
              <w:ind w:left="120"/>
              <w:spacing w:after="0"/>
              <w:rPr>
                <w:sz w:val="20"/>
                <w:szCs w:val="20"/>
                <w:color w:val="auto"/>
              </w:rPr>
            </w:pPr>
            <w:r>
              <w:rPr>
                <w:rFonts w:ascii="Arial" w:cs="Arial" w:eastAsia="Arial" w:hAnsi="Arial"/>
                <w:sz w:val="8"/>
                <w:szCs w:val="8"/>
                <w:color w:val="auto"/>
              </w:rPr>
              <w:t>Replacement Window Manufacturer</w:t>
            </w:r>
          </w:p>
        </w:tc>
        <w:tc>
          <w:tcPr>
            <w:tcW w:w="3220" w:type="dxa"/>
            <w:vAlign w:val="bottom"/>
            <w:gridSpan w:val="3"/>
            <w:shd w:val="clear" w:color="auto" w:fill="CCFFCC"/>
          </w:tcPr>
          <w:p>
            <w:pPr>
              <w:ind w:left="120"/>
              <w:spacing w:after="0"/>
              <w:rPr>
                <w:sz w:val="20"/>
                <w:szCs w:val="20"/>
                <w:color w:val="auto"/>
              </w:rPr>
            </w:pPr>
            <w:r>
              <w:rPr>
                <w:rFonts w:ascii="Arial" w:cs="Arial" w:eastAsia="Arial" w:hAnsi="Arial"/>
                <w:sz w:val="8"/>
                <w:szCs w:val="8"/>
                <w:color w:val="auto"/>
              </w:rPr>
              <w:t>Senior Secured Debt (14.0% Cash, Due 6/30/14)</w:t>
            </w:r>
          </w:p>
        </w:tc>
        <w:tc>
          <w:tcPr>
            <w:tcW w:w="140" w:type="dxa"/>
            <w:vAlign w:val="bottom"/>
            <w:shd w:val="clear" w:color="auto" w:fill="CCFFCC"/>
          </w:tcPr>
          <w:p>
            <w:pPr>
              <w:spacing w:after="0"/>
              <w:rPr>
                <w:sz w:val="8"/>
                <w:szCs w:val="8"/>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8"/>
                <w:szCs w:val="8"/>
                <w:color w:val="auto"/>
              </w:rPr>
              <w:t>4,565</w:t>
            </w:r>
          </w:p>
        </w:tc>
        <w:tc>
          <w:tcPr>
            <w:tcW w:w="180" w:type="dxa"/>
            <w:vAlign w:val="bottom"/>
            <w:shd w:val="clear" w:color="auto" w:fill="CCFFCC"/>
          </w:tcPr>
          <w:p>
            <w:pPr>
              <w:spacing w:after="0"/>
              <w:rPr>
                <w:sz w:val="8"/>
                <w:szCs w:val="8"/>
                <w:color w:val="auto"/>
              </w:rPr>
            </w:pPr>
          </w:p>
        </w:tc>
        <w:tc>
          <w:tcPr>
            <w:tcW w:w="84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3,365</w:t>
            </w:r>
          </w:p>
        </w:tc>
        <w:tc>
          <w:tcPr>
            <w:tcW w:w="160" w:type="dxa"/>
            <w:vAlign w:val="bottom"/>
            <w:shd w:val="clear" w:color="auto" w:fill="CCFFCC"/>
          </w:tcPr>
          <w:p>
            <w:pPr>
              <w:spacing w:after="0"/>
              <w:rPr>
                <w:sz w:val="8"/>
                <w:szCs w:val="8"/>
                <w:color w:val="auto"/>
              </w:rPr>
            </w:pPr>
          </w:p>
        </w:tc>
        <w:tc>
          <w:tcPr>
            <w:tcW w:w="86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5,137</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8"/>
                <w:szCs w:val="8"/>
                <w:color w:val="auto"/>
              </w:rPr>
              <w:t>3.6%</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American Exteriors,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Replacement Window Manufacturer</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Jr. Convertible Note (10.0% Cash, Due 6/30/15)</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125</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125</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0.1%</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American Exteriors,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Replacement Window Manufacturer</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Warrants (15% fully diluted)</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323</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0.2%</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3,365</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5,585</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3.9%</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Boot Barn Holding Corporation</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Western Wear Retail</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(12.5% Cash, Due 12/12/16)</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15,000</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15,000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15,000</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10.5%</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Boot Barn Holding Corporation</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Western Wear Retail</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Common Stock (2,400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2,400</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4,928</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3.5%</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17,400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19,928</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14.0%</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color w:val="auto"/>
              </w:rPr>
              <w:t>Caregiver Services, Inc.</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In-Home Healthcare Services</w:t>
            </w:r>
          </w:p>
        </w:tc>
        <w:tc>
          <w:tcPr>
            <w:tcW w:w="3220" w:type="dxa"/>
            <w:vAlign w:val="bottom"/>
            <w:gridSpan w:val="3"/>
            <w:vMerge w:val="restart"/>
          </w:tcPr>
          <w:p>
            <w:pPr>
              <w:ind w:left="120"/>
              <w:spacing w:after="0"/>
              <w:rPr>
                <w:sz w:val="20"/>
                <w:szCs w:val="20"/>
                <w:color w:val="auto"/>
              </w:rPr>
            </w:pPr>
            <w:r>
              <w:rPr>
                <w:rFonts w:ascii="Arial" w:cs="Arial" w:eastAsia="Arial" w:hAnsi="Arial"/>
                <w:sz w:val="8"/>
                <w:szCs w:val="8"/>
                <w:color w:val="auto"/>
              </w:rPr>
              <w:t>Common Stock (146,593 shares)</w:t>
            </w:r>
          </w:p>
        </w:tc>
        <w:tc>
          <w:tcPr>
            <w:tcW w:w="140" w:type="dxa"/>
            <w:vAlign w:val="bottom"/>
          </w:tcPr>
          <w:p>
            <w:pPr>
              <w:spacing w:after="0" w:line="20" w:lineRule="exact"/>
              <w:rPr>
                <w:sz w:val="1"/>
                <w:szCs w:val="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32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140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116</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0.1%</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Caregiver Services,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In-Home Healthcare Services</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Warrants (1.49% fully diluted)</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259</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0.2%</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140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375</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0.3%</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Highwinds Capital, Inc.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Usenet Hosting Services</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Common Stock (33,176 shares)</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4,739</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3.3%</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Highwinds Capital,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Usenet Hosting Services</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Common Stock Warrants (1,087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1,475</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1.0%</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6,214</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4.3%</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color w:val="auto"/>
              </w:rPr>
              <w:t>Immersive Media Tactical Solutions, LLC</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Specialty Defense Contractor</w:t>
            </w:r>
          </w:p>
        </w:tc>
        <w:tc>
          <w:tcPr>
            <w:tcW w:w="3220" w:type="dxa"/>
            <w:vAlign w:val="bottom"/>
            <w:gridSpan w:val="3"/>
            <w:vMerge w:val="restart"/>
          </w:tcPr>
          <w:p>
            <w:pPr>
              <w:ind w:left="120"/>
              <w:spacing w:after="0"/>
              <w:rPr>
                <w:sz w:val="20"/>
                <w:szCs w:val="20"/>
                <w:color w:val="auto"/>
              </w:rPr>
            </w:pPr>
            <w:r>
              <w:rPr>
                <w:rFonts w:ascii="Arial" w:cs="Arial" w:eastAsia="Arial" w:hAnsi="Arial"/>
                <w:sz w:val="8"/>
                <w:szCs w:val="8"/>
                <w:color w:val="auto"/>
              </w:rPr>
              <w:t>Senior Secured Term Debt (13% Cash, Due 10/6/16)</w:t>
            </w:r>
          </w:p>
        </w:tc>
        <w:tc>
          <w:tcPr>
            <w:tcW w:w="140" w:type="dxa"/>
            <w:vAlign w:val="bottom"/>
          </w:tcPr>
          <w:p>
            <w:pPr>
              <w:spacing w:after="0" w:line="20" w:lineRule="exact"/>
              <w:rPr>
                <w:sz w:val="1"/>
                <w:szCs w:val="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1,300</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32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1,300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467</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0.3%</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Immersive Media Tactical Solutions,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Specialty Defense Contractor</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Common Unit Warrants (12% fully diluted)</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1,300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467</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0.3%</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Medical Depot, Inc.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Medical Device Distributor</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(14% Cash, Due 10/11/16)</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4,667</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4,667</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4,667</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3.3%</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Medical Depot,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Medical Device Distributor</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Series C Convertible Preferred Stock (740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1,333</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1,619</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1.1%</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6,000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6,286</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4.4%</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color w:val="auto"/>
              </w:rPr>
              <w:t>Naples Lumber &amp; Supply Co</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Building Supplies</w:t>
            </w:r>
          </w:p>
        </w:tc>
        <w:tc>
          <w:tcPr>
            <w:tcW w:w="3220" w:type="dxa"/>
            <w:vAlign w:val="bottom"/>
            <w:gridSpan w:val="3"/>
            <w:vMerge w:val="restart"/>
          </w:tcPr>
          <w:p>
            <w:pPr>
              <w:ind w:left="120"/>
              <w:spacing w:after="0"/>
              <w:rPr>
                <w:sz w:val="20"/>
                <w:szCs w:val="20"/>
                <w:color w:val="auto"/>
              </w:rPr>
            </w:pPr>
            <w:r>
              <w:rPr>
                <w:rFonts w:ascii="Arial" w:cs="Arial" w:eastAsia="Arial" w:hAnsi="Arial"/>
                <w:sz w:val="8"/>
                <w:szCs w:val="8"/>
                <w:color w:val="auto"/>
              </w:rPr>
              <w:t>Subordinated Debt (6% Cash, Due 2/15/14)</w:t>
            </w:r>
          </w:p>
        </w:tc>
        <w:tc>
          <w:tcPr>
            <w:tcW w:w="140" w:type="dxa"/>
            <w:vAlign w:val="bottom"/>
          </w:tcPr>
          <w:p>
            <w:pPr>
              <w:spacing w:after="0" w:line="20" w:lineRule="exact"/>
              <w:rPr>
                <w:sz w:val="1"/>
                <w:szCs w:val="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984</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32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394</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972</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0.7%</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Naples Lumber &amp; Supply Co</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Building Supplies</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Warrants (5% fully diluted)</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394</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972</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0.7%</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Precision Manufacturing, LLC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Industrial Boiler Manufacturer</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Senior Secured Term Debt (13% Cash, Due 2/10/17)</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2,500</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2,500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2,447</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1.7%</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Precision Manufacturing,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Industrial Boiler Manufacturer</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Membership Unit Warrants (6.65% fully diluted)</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213</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0.2%</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2,500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2,660</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1.9%</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line="113" w:lineRule="exact"/>
              <w:rPr>
                <w:sz w:val="20"/>
                <w:szCs w:val="20"/>
                <w:color w:val="auto"/>
              </w:rPr>
            </w:pPr>
            <w:r>
              <w:rPr>
                <w:rFonts w:ascii="Arial" w:cs="Arial" w:eastAsia="Arial" w:hAnsi="Arial"/>
                <w:sz w:val="8"/>
                <w:szCs w:val="8"/>
                <w:color w:val="auto"/>
              </w:rPr>
              <w:t xml:space="preserve">Southern Pump &amp; Tank Company, LLC </w:t>
            </w:r>
            <w:r>
              <w:rPr>
                <w:rFonts w:ascii="Arial" w:cs="Arial" w:eastAsia="Arial" w:hAnsi="Arial"/>
                <w:sz w:val="13"/>
                <w:szCs w:val="13"/>
                <w:color w:val="auto"/>
                <w:vertAlign w:val="superscript"/>
              </w:rPr>
              <w:t>(1)</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Petroleum Equipment Supplier</w:t>
            </w:r>
          </w:p>
        </w:tc>
        <w:tc>
          <w:tcPr>
            <w:tcW w:w="3220" w:type="dxa"/>
            <w:vAlign w:val="bottom"/>
            <w:gridSpan w:val="3"/>
            <w:vMerge w:val="restart"/>
          </w:tcPr>
          <w:p>
            <w:pPr>
              <w:ind w:left="120"/>
              <w:spacing w:after="0"/>
              <w:rPr>
                <w:sz w:val="20"/>
                <w:szCs w:val="20"/>
                <w:color w:val="auto"/>
              </w:rPr>
            </w:pPr>
            <w:r>
              <w:rPr>
                <w:rFonts w:ascii="Arial" w:cs="Arial" w:eastAsia="Arial" w:hAnsi="Arial"/>
                <w:sz w:val="8"/>
                <w:szCs w:val="8"/>
                <w:color w:val="auto"/>
              </w:rPr>
              <w:t>Senior Secured Term Debt (13% Cash, 6% PIK, Due 6/15/14)</w:t>
            </w: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60" w:type="dxa"/>
            <w:vAlign w:val="bottom"/>
            <w:vMerge w:val="continue"/>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32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8"/>
                <w:szCs w:val="8"/>
                <w:color w:val="auto"/>
              </w:rPr>
              <w:t>1,679</w:t>
            </w:r>
          </w:p>
        </w:tc>
        <w:tc>
          <w:tcPr>
            <w:tcW w:w="180" w:type="dxa"/>
            <w:vAlign w:val="bottom"/>
          </w:tcPr>
          <w:p>
            <w:pPr>
              <w:spacing w:after="0"/>
              <w:rPr>
                <w:sz w:val="8"/>
                <w:szCs w:val="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1,679</w:t>
            </w:r>
          </w:p>
        </w:tc>
        <w:tc>
          <w:tcPr>
            <w:tcW w:w="160" w:type="dxa"/>
            <w:vAlign w:val="bottom"/>
          </w:tcPr>
          <w:p>
            <w:pPr>
              <w:spacing w:after="0"/>
              <w:rPr>
                <w:sz w:val="8"/>
                <w:szCs w:val="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1,679</w:t>
            </w:r>
          </w:p>
        </w:tc>
        <w:tc>
          <w:tcPr>
            <w:tcW w:w="900" w:type="dxa"/>
            <w:vAlign w:val="bottom"/>
            <w:gridSpan w:val="2"/>
          </w:tcPr>
          <w:p>
            <w:pPr>
              <w:jc w:val="right"/>
              <w:ind w:right="40"/>
              <w:spacing w:after="0"/>
              <w:rPr>
                <w:sz w:val="20"/>
                <w:szCs w:val="20"/>
                <w:color w:val="auto"/>
              </w:rPr>
            </w:pPr>
            <w:r>
              <w:rPr>
                <w:rFonts w:ascii="Arial" w:cs="Arial" w:eastAsia="Arial" w:hAnsi="Arial"/>
                <w:sz w:val="8"/>
                <w:szCs w:val="8"/>
                <w:color w:val="auto"/>
              </w:rPr>
              <w:t>1.2%</w:t>
            </w:r>
          </w:p>
        </w:tc>
        <w:tc>
          <w:tcPr>
            <w:tcW w:w="0" w:type="dxa"/>
            <w:vAlign w:val="bottom"/>
          </w:tcPr>
          <w:p>
            <w:pPr>
              <w:spacing w:after="0"/>
              <w:rPr>
                <w:sz w:val="1"/>
                <w:szCs w:val="1"/>
                <w:color w:val="auto"/>
              </w:rPr>
            </w:pPr>
          </w:p>
        </w:tc>
      </w:tr>
      <w:tr>
        <w:trPr>
          <w:trHeight w:val="113"/>
        </w:trPr>
        <w:tc>
          <w:tcPr>
            <w:tcW w:w="2060" w:type="dxa"/>
            <w:vAlign w:val="bottom"/>
            <w:shd w:val="clear" w:color="auto" w:fill="CCFFCC"/>
          </w:tcPr>
          <w:p>
            <w:pPr>
              <w:spacing w:after="0" w:line="113" w:lineRule="exact"/>
              <w:rPr>
                <w:sz w:val="20"/>
                <w:szCs w:val="20"/>
                <w:color w:val="auto"/>
              </w:rPr>
            </w:pPr>
            <w:r>
              <w:rPr>
                <w:rFonts w:ascii="Arial" w:cs="Arial" w:eastAsia="Arial" w:hAnsi="Arial"/>
                <w:sz w:val="8"/>
                <w:szCs w:val="8"/>
                <w:color w:val="auto"/>
              </w:rPr>
              <w:t xml:space="preserve">Southern Pump &amp; Tank Company, LLC </w:t>
            </w:r>
            <w:r>
              <w:rPr>
                <w:rFonts w:ascii="Arial" w:cs="Arial" w:eastAsia="Arial" w:hAnsi="Arial"/>
                <w:sz w:val="13"/>
                <w:szCs w:val="13"/>
                <w:color w:val="auto"/>
                <w:vertAlign w:val="superscript"/>
              </w:rPr>
              <w:t>(1)</w:t>
            </w:r>
          </w:p>
        </w:tc>
        <w:tc>
          <w:tcPr>
            <w:tcW w:w="2200" w:type="dxa"/>
            <w:vAlign w:val="bottom"/>
            <w:gridSpan w:val="2"/>
            <w:shd w:val="clear" w:color="auto" w:fill="CCFFCC"/>
          </w:tcPr>
          <w:p>
            <w:pPr>
              <w:ind w:left="120"/>
              <w:spacing w:after="0"/>
              <w:rPr>
                <w:sz w:val="20"/>
                <w:szCs w:val="20"/>
                <w:color w:val="auto"/>
              </w:rPr>
            </w:pPr>
            <w:r>
              <w:rPr>
                <w:rFonts w:ascii="Arial" w:cs="Arial" w:eastAsia="Arial" w:hAnsi="Arial"/>
                <w:sz w:val="8"/>
                <w:szCs w:val="8"/>
                <w:color w:val="auto"/>
              </w:rPr>
              <w:t>Petroleum Equipment Supplier</w:t>
            </w:r>
          </w:p>
        </w:tc>
        <w:tc>
          <w:tcPr>
            <w:tcW w:w="3220" w:type="dxa"/>
            <w:vAlign w:val="bottom"/>
            <w:gridSpan w:val="3"/>
            <w:shd w:val="clear" w:color="auto" w:fill="CCFFCC"/>
          </w:tcPr>
          <w:p>
            <w:pPr>
              <w:ind w:left="120"/>
              <w:spacing w:after="0"/>
              <w:rPr>
                <w:sz w:val="20"/>
                <w:szCs w:val="20"/>
                <w:color w:val="auto"/>
              </w:rPr>
            </w:pPr>
            <w:r>
              <w:rPr>
                <w:rFonts w:ascii="Arial" w:cs="Arial" w:eastAsia="Arial" w:hAnsi="Arial"/>
                <w:sz w:val="8"/>
                <w:szCs w:val="8"/>
                <w:color w:val="auto"/>
              </w:rPr>
              <w:t>Senior Secured Term Debt (4% Cash, 6% PIK, Due 6/15/14)</w:t>
            </w:r>
          </w:p>
        </w:tc>
        <w:tc>
          <w:tcPr>
            <w:tcW w:w="140" w:type="dxa"/>
            <w:vAlign w:val="bottom"/>
            <w:shd w:val="clear" w:color="auto" w:fill="CCFFCC"/>
          </w:tcPr>
          <w:p>
            <w:pPr>
              <w:spacing w:after="0"/>
              <w:rPr>
                <w:sz w:val="9"/>
                <w:szCs w:val="9"/>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8"/>
                <w:szCs w:val="8"/>
                <w:color w:val="auto"/>
              </w:rPr>
              <w:t>877</w:t>
            </w:r>
          </w:p>
        </w:tc>
        <w:tc>
          <w:tcPr>
            <w:tcW w:w="180" w:type="dxa"/>
            <w:vAlign w:val="bottom"/>
            <w:shd w:val="clear" w:color="auto" w:fill="CCFFCC"/>
          </w:tcPr>
          <w:p>
            <w:pPr>
              <w:spacing w:after="0"/>
              <w:rPr>
                <w:sz w:val="9"/>
                <w:szCs w:val="9"/>
                <w:color w:val="auto"/>
              </w:rPr>
            </w:pPr>
          </w:p>
        </w:tc>
        <w:tc>
          <w:tcPr>
            <w:tcW w:w="84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644</w:t>
            </w:r>
          </w:p>
        </w:tc>
        <w:tc>
          <w:tcPr>
            <w:tcW w:w="160" w:type="dxa"/>
            <w:vAlign w:val="bottom"/>
            <w:shd w:val="clear" w:color="auto" w:fill="CCFFCC"/>
          </w:tcPr>
          <w:p>
            <w:pPr>
              <w:spacing w:after="0"/>
              <w:rPr>
                <w:sz w:val="9"/>
                <w:szCs w:val="9"/>
                <w:color w:val="auto"/>
              </w:rPr>
            </w:pPr>
          </w:p>
        </w:tc>
        <w:tc>
          <w:tcPr>
            <w:tcW w:w="86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877</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8"/>
                <w:szCs w:val="8"/>
                <w:color w:val="auto"/>
              </w:rPr>
              <w:t>0.6%</w:t>
            </w:r>
          </w:p>
        </w:tc>
        <w:tc>
          <w:tcPr>
            <w:tcW w:w="0" w:type="dxa"/>
            <w:vAlign w:val="bottom"/>
          </w:tcPr>
          <w:p>
            <w:pPr>
              <w:spacing w:after="0"/>
              <w:rPr>
                <w:sz w:val="1"/>
                <w:szCs w:val="1"/>
                <w:color w:val="auto"/>
              </w:rPr>
            </w:pPr>
          </w:p>
        </w:tc>
      </w:tr>
      <w:tr>
        <w:trPr>
          <w:trHeight w:val="113"/>
        </w:trPr>
        <w:tc>
          <w:tcPr>
            <w:tcW w:w="2060" w:type="dxa"/>
            <w:vAlign w:val="bottom"/>
          </w:tcPr>
          <w:p>
            <w:pPr>
              <w:spacing w:after="0" w:line="113" w:lineRule="exact"/>
              <w:rPr>
                <w:sz w:val="20"/>
                <w:szCs w:val="20"/>
                <w:color w:val="auto"/>
              </w:rPr>
            </w:pPr>
            <w:r>
              <w:rPr>
                <w:rFonts w:ascii="Arial" w:cs="Arial" w:eastAsia="Arial" w:hAnsi="Arial"/>
                <w:sz w:val="8"/>
                <w:szCs w:val="8"/>
                <w:color w:val="auto"/>
              </w:rPr>
              <w:t xml:space="preserve">Southern Pump &amp; Tank Company, LLC </w:t>
            </w:r>
            <w:r>
              <w:rPr>
                <w:rFonts w:ascii="Arial" w:cs="Arial" w:eastAsia="Arial" w:hAnsi="Arial"/>
                <w:sz w:val="13"/>
                <w:szCs w:val="13"/>
                <w:color w:val="auto"/>
                <w:vertAlign w:val="superscript"/>
              </w:rPr>
              <w:t>(1)</w:t>
            </w:r>
          </w:p>
        </w:tc>
        <w:tc>
          <w:tcPr>
            <w:tcW w:w="2200" w:type="dxa"/>
            <w:vAlign w:val="bottom"/>
            <w:gridSpan w:val="2"/>
          </w:tcPr>
          <w:p>
            <w:pPr>
              <w:ind w:left="120"/>
              <w:spacing w:after="0"/>
              <w:rPr>
                <w:sz w:val="20"/>
                <w:szCs w:val="20"/>
                <w:color w:val="auto"/>
              </w:rPr>
            </w:pPr>
            <w:r>
              <w:rPr>
                <w:rFonts w:ascii="Arial" w:cs="Arial" w:eastAsia="Arial" w:hAnsi="Arial"/>
                <w:sz w:val="8"/>
                <w:szCs w:val="8"/>
                <w:color w:val="auto"/>
              </w:rPr>
              <w:t>Petroleum Equipment Supplier</w:t>
            </w:r>
          </w:p>
        </w:tc>
        <w:tc>
          <w:tcPr>
            <w:tcW w:w="3220" w:type="dxa"/>
            <w:vAlign w:val="bottom"/>
            <w:gridSpan w:val="3"/>
          </w:tcPr>
          <w:p>
            <w:pPr>
              <w:ind w:left="120"/>
              <w:spacing w:after="0"/>
              <w:rPr>
                <w:sz w:val="20"/>
                <w:szCs w:val="20"/>
                <w:color w:val="auto"/>
              </w:rPr>
            </w:pPr>
            <w:r>
              <w:rPr>
                <w:rFonts w:ascii="Arial" w:cs="Arial" w:eastAsia="Arial" w:hAnsi="Arial"/>
                <w:sz w:val="8"/>
                <w:szCs w:val="8"/>
                <w:color w:val="auto"/>
              </w:rPr>
              <w:t>Senior Secured Term Debt (13% Cash, 6% PIK, Due 6/15/14)</w:t>
            </w:r>
          </w:p>
        </w:tc>
        <w:tc>
          <w:tcPr>
            <w:tcW w:w="140" w:type="dxa"/>
            <w:vAlign w:val="bottom"/>
          </w:tcPr>
          <w:p>
            <w:pPr>
              <w:spacing w:after="0"/>
              <w:rPr>
                <w:sz w:val="9"/>
                <w:szCs w:val="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8"/>
                <w:szCs w:val="8"/>
                <w:color w:val="auto"/>
              </w:rPr>
              <w:t>124</w:t>
            </w:r>
          </w:p>
        </w:tc>
        <w:tc>
          <w:tcPr>
            <w:tcW w:w="180" w:type="dxa"/>
            <w:vAlign w:val="bottom"/>
          </w:tcPr>
          <w:p>
            <w:pPr>
              <w:spacing w:after="0"/>
              <w:rPr>
                <w:sz w:val="9"/>
                <w:szCs w:val="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124</w:t>
            </w:r>
          </w:p>
        </w:tc>
        <w:tc>
          <w:tcPr>
            <w:tcW w:w="160" w:type="dxa"/>
            <w:vAlign w:val="bottom"/>
          </w:tcPr>
          <w:p>
            <w:pPr>
              <w:spacing w:after="0"/>
              <w:rPr>
                <w:sz w:val="9"/>
                <w:szCs w:val="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124</w:t>
            </w:r>
          </w:p>
        </w:tc>
        <w:tc>
          <w:tcPr>
            <w:tcW w:w="900" w:type="dxa"/>
            <w:vAlign w:val="bottom"/>
            <w:gridSpan w:val="2"/>
          </w:tcPr>
          <w:p>
            <w:pPr>
              <w:jc w:val="right"/>
              <w:ind w:right="40"/>
              <w:spacing w:after="0"/>
              <w:rPr>
                <w:sz w:val="20"/>
                <w:szCs w:val="20"/>
                <w:color w:val="auto"/>
              </w:rPr>
            </w:pPr>
            <w:r>
              <w:rPr>
                <w:rFonts w:ascii="Arial" w:cs="Arial" w:eastAsia="Arial" w:hAnsi="Arial"/>
                <w:sz w:val="8"/>
                <w:szCs w:val="8"/>
                <w:color w:val="auto"/>
              </w:rPr>
              <w:t>0.1%</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Southern Pump &amp; Tank Company,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Petroleum Equipment Supplier</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Warrants (8% fully diluted)</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2,447</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2,680</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1.9%</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line="82" w:lineRule="exact"/>
              <w:rPr>
                <w:sz w:val="20"/>
                <w:szCs w:val="20"/>
                <w:color w:val="auto"/>
              </w:rPr>
            </w:pPr>
            <w:r>
              <w:rPr>
                <w:rFonts w:ascii="Arial" w:cs="Arial" w:eastAsia="Arial" w:hAnsi="Arial"/>
                <w:sz w:val="8"/>
                <w:szCs w:val="8"/>
                <w:color w:val="auto"/>
              </w:rPr>
              <w:t>Stoddard Hill Media Holdings, LLC</w:t>
            </w:r>
          </w:p>
        </w:tc>
        <w:tc>
          <w:tcPr>
            <w:tcW w:w="2200" w:type="dxa"/>
            <w:vAlign w:val="bottom"/>
            <w:gridSpan w:val="2"/>
            <w:shd w:val="clear" w:color="auto" w:fill="CCFFCC"/>
          </w:tcPr>
          <w:p>
            <w:pPr>
              <w:ind w:left="120"/>
              <w:spacing w:after="0" w:line="82" w:lineRule="exact"/>
              <w:rPr>
                <w:sz w:val="20"/>
                <w:szCs w:val="20"/>
                <w:color w:val="auto"/>
              </w:rPr>
            </w:pPr>
            <w:r>
              <w:rPr>
                <w:rFonts w:ascii="Arial" w:cs="Arial" w:eastAsia="Arial" w:hAnsi="Arial"/>
                <w:sz w:val="8"/>
                <w:szCs w:val="8"/>
                <w:color w:val="auto"/>
              </w:rPr>
              <w:t>IT Hosting Services</w:t>
            </w:r>
          </w:p>
        </w:tc>
        <w:tc>
          <w:tcPr>
            <w:tcW w:w="3220" w:type="dxa"/>
            <w:vAlign w:val="bottom"/>
            <w:gridSpan w:val="3"/>
            <w:shd w:val="clear" w:color="auto" w:fill="CCFFCC"/>
          </w:tcPr>
          <w:p>
            <w:pPr>
              <w:ind w:left="120"/>
              <w:spacing w:after="0" w:line="82" w:lineRule="exact"/>
              <w:rPr>
                <w:sz w:val="20"/>
                <w:szCs w:val="20"/>
                <w:color w:val="auto"/>
              </w:rPr>
            </w:pPr>
            <w:r>
              <w:rPr>
                <w:rFonts w:ascii="Arial" w:cs="Arial" w:eastAsia="Arial" w:hAnsi="Arial"/>
                <w:sz w:val="8"/>
                <w:szCs w:val="8"/>
                <w:color w:val="auto"/>
              </w:rPr>
              <w:t>Class D Preferred Units (132,159 shares)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82"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300</w:t>
            </w:r>
          </w:p>
        </w:tc>
        <w:tc>
          <w:tcPr>
            <w:tcW w:w="240" w:type="dxa"/>
            <w:vAlign w:val="bottom"/>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372</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0.3%</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300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372</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0.3%</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Worklife America, Inc.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Professional Employer Organization</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Senior Secured Debt (12% Cash, Due 12/28/16)</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13,250</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13,250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13,250</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9.3%</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Worklife America,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Professional Employer Organization</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Common Unit Warrants (3% fully diluted)</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1,909</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1.4%</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Worklife America,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Professional Employer Organization</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Preferred Unit Warrants (3% fully diluted)</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70</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13,250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15,229</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10.7%</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b w:val="1"/>
                <w:bCs w:val="1"/>
                <w:color w:val="auto"/>
              </w:rPr>
              <w:t>Sub Total Non-control/Non-affiliated investments</w:t>
            </w: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jc w:val="right"/>
              <w:ind w:right="114"/>
              <w:spacing w:after="0"/>
              <w:rPr>
                <w:sz w:val="20"/>
                <w:szCs w:val="20"/>
                <w:color w:val="auto"/>
              </w:rPr>
            </w:pPr>
            <w:r>
              <w:rPr>
                <w:rFonts w:ascii="Arial" w:cs="Arial" w:eastAsia="Arial" w:hAnsi="Arial"/>
                <w:sz w:val="5"/>
                <w:szCs w:val="5"/>
                <w:color w:val="auto"/>
                <w:w w:val="70"/>
              </w:rPr>
              <w:t>$</w:t>
            </w: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61,609</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jc w:val="right"/>
              <w:ind w:right="94"/>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78,769</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55.3%</w:t>
            </w:r>
          </w:p>
        </w:tc>
        <w:tc>
          <w:tcPr>
            <w:tcW w:w="0" w:type="dxa"/>
            <w:vAlign w:val="bottom"/>
          </w:tcPr>
          <w:p>
            <w:pPr>
              <w:spacing w:after="0"/>
              <w:rPr>
                <w:sz w:val="1"/>
                <w:szCs w:val="1"/>
                <w:color w:val="auto"/>
              </w:rPr>
            </w:pPr>
          </w:p>
        </w:tc>
      </w:tr>
      <w:tr>
        <w:trPr>
          <w:trHeight w:val="81"/>
        </w:trPr>
        <w:tc>
          <w:tcPr>
            <w:tcW w:w="2060" w:type="dxa"/>
            <w:vAlign w:val="bottom"/>
          </w:tcPr>
          <w:p>
            <w:pPr>
              <w:spacing w:after="0" w:line="81" w:lineRule="exact"/>
              <w:rPr>
                <w:sz w:val="20"/>
                <w:szCs w:val="20"/>
                <w:color w:val="auto"/>
              </w:rPr>
            </w:pPr>
            <w:r>
              <w:rPr>
                <w:rFonts w:ascii="Arial" w:cs="Arial" w:eastAsia="Arial" w:hAnsi="Arial"/>
                <w:sz w:val="8"/>
                <w:szCs w:val="8"/>
                <w:b w:val="1"/>
                <w:bCs w:val="1"/>
                <w:color w:val="auto"/>
              </w:rPr>
              <w:t>Affiliate investments - 96.1%</w:t>
            </w: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60" w:type="dxa"/>
            <w:vAlign w:val="bottom"/>
            <w:shd w:val="clear" w:color="auto" w:fill="CCFFCC"/>
          </w:tcPr>
          <w:p>
            <w:pPr>
              <w:spacing w:after="0"/>
              <w:rPr>
                <w:sz w:val="20"/>
                <w:szCs w:val="20"/>
                <w:color w:val="auto"/>
              </w:rPr>
            </w:pPr>
            <w:r>
              <w:rPr>
                <w:rFonts w:ascii="Arial" w:cs="Arial" w:eastAsia="Arial" w:hAnsi="Arial"/>
                <w:sz w:val="8"/>
                <w:szCs w:val="8"/>
                <w:color w:val="auto"/>
              </w:rPr>
              <w:t>Chef'N Corporation</w:t>
            </w:r>
          </w:p>
        </w:tc>
        <w:tc>
          <w:tcPr>
            <w:tcW w:w="2200" w:type="dxa"/>
            <w:vAlign w:val="bottom"/>
            <w:gridSpan w:val="2"/>
            <w:shd w:val="clear" w:color="auto" w:fill="CCFFCC"/>
          </w:tcPr>
          <w:p>
            <w:pPr>
              <w:ind w:left="120"/>
              <w:spacing w:after="0"/>
              <w:rPr>
                <w:sz w:val="20"/>
                <w:szCs w:val="20"/>
                <w:color w:val="auto"/>
              </w:rPr>
            </w:pPr>
            <w:r>
              <w:rPr>
                <w:rFonts w:ascii="Arial" w:cs="Arial" w:eastAsia="Arial" w:hAnsi="Arial"/>
                <w:sz w:val="8"/>
                <w:szCs w:val="8"/>
                <w:color w:val="auto"/>
              </w:rPr>
              <w:t>Culinary Products</w:t>
            </w:r>
          </w:p>
        </w:tc>
        <w:tc>
          <w:tcPr>
            <w:tcW w:w="3220" w:type="dxa"/>
            <w:vAlign w:val="bottom"/>
            <w:gridSpan w:val="3"/>
            <w:shd w:val="clear" w:color="auto" w:fill="CCFFCC"/>
          </w:tcPr>
          <w:p>
            <w:pPr>
              <w:ind w:left="120"/>
              <w:spacing w:after="0"/>
              <w:rPr>
                <w:sz w:val="20"/>
                <w:szCs w:val="20"/>
                <w:color w:val="auto"/>
              </w:rPr>
            </w:pPr>
            <w:r>
              <w:rPr>
                <w:rFonts w:ascii="Arial" w:cs="Arial" w:eastAsia="Arial" w:hAnsi="Arial"/>
                <w:sz w:val="8"/>
                <w:szCs w:val="8"/>
                <w:color w:val="auto"/>
              </w:rPr>
              <w:t>Subordinated Debt (15% Cash, 3% optional PIK, Due 5/16/18)</w:t>
            </w:r>
          </w:p>
        </w:tc>
        <w:tc>
          <w:tcPr>
            <w:tcW w:w="140" w:type="dxa"/>
            <w:vAlign w:val="bottom"/>
            <w:shd w:val="clear" w:color="auto" w:fill="CCFFCC"/>
          </w:tcPr>
          <w:p>
            <w:pPr>
              <w:jc w:val="right"/>
              <w:ind w:right="74"/>
              <w:spacing w:after="0"/>
              <w:rPr>
                <w:sz w:val="20"/>
                <w:szCs w:val="20"/>
                <w:color w:val="auto"/>
              </w:rPr>
            </w:pPr>
            <w:r>
              <w:rPr>
                <w:rFonts w:ascii="Arial" w:cs="Arial" w:eastAsia="Arial" w:hAnsi="Arial"/>
                <w:sz w:val="5"/>
                <w:szCs w:val="5"/>
                <w:color w:val="auto"/>
                <w:w w:val="70"/>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8"/>
                <w:szCs w:val="8"/>
                <w:color w:val="auto"/>
              </w:rPr>
              <w:t>6,300</w:t>
            </w:r>
          </w:p>
        </w:tc>
        <w:tc>
          <w:tcPr>
            <w:tcW w:w="180" w:type="dxa"/>
            <w:vAlign w:val="bottom"/>
            <w:shd w:val="clear" w:color="auto" w:fill="CCFFCC"/>
          </w:tcPr>
          <w:p>
            <w:pPr>
              <w:jc w:val="right"/>
              <w:ind w:right="114"/>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6,300</w:t>
            </w:r>
          </w:p>
        </w:tc>
        <w:tc>
          <w:tcPr>
            <w:tcW w:w="160" w:type="dxa"/>
            <w:vAlign w:val="bottom"/>
            <w:shd w:val="clear" w:color="auto" w:fill="CCFFCC"/>
          </w:tcPr>
          <w:p>
            <w:pPr>
              <w:jc w:val="right"/>
              <w:ind w:right="94"/>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6,300</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8"/>
                <w:szCs w:val="8"/>
                <w:color w:val="auto"/>
              </w:rPr>
              <w:t>4.4%</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Chef'N Corporation</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Culinary Products</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Series A Preferred Stock (1,000,000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1,000</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2,469</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1.7%</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7,300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8,769</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6.1%</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color w:val="auto"/>
              </w:rPr>
              <w:t>City Gear, LLC</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Footwear Retail</w:t>
            </w:r>
          </w:p>
        </w:tc>
        <w:tc>
          <w:tcPr>
            <w:tcW w:w="3220" w:type="dxa"/>
            <w:vAlign w:val="bottom"/>
            <w:gridSpan w:val="3"/>
            <w:vMerge w:val="restart"/>
          </w:tcPr>
          <w:p>
            <w:pPr>
              <w:ind w:left="120"/>
              <w:spacing w:after="0"/>
              <w:rPr>
                <w:sz w:val="20"/>
                <w:szCs w:val="20"/>
                <w:color w:val="auto"/>
              </w:rPr>
            </w:pPr>
            <w:r>
              <w:rPr>
                <w:rFonts w:ascii="Arial" w:cs="Arial" w:eastAsia="Arial" w:hAnsi="Arial"/>
                <w:sz w:val="8"/>
                <w:szCs w:val="8"/>
                <w:color w:val="auto"/>
              </w:rPr>
              <w:t>Subordinated Debt (13% Cash, Due 9/28/16)</w:t>
            </w:r>
          </w:p>
        </w:tc>
        <w:tc>
          <w:tcPr>
            <w:tcW w:w="140" w:type="dxa"/>
            <w:vAlign w:val="bottom"/>
          </w:tcPr>
          <w:p>
            <w:pPr>
              <w:spacing w:after="0" w:line="20" w:lineRule="exact"/>
              <w:rPr>
                <w:sz w:val="1"/>
                <w:szCs w:val="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4,231</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32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4,231</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4,231</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3.0%</w:t>
            </w:r>
          </w:p>
        </w:tc>
        <w:tc>
          <w:tcPr>
            <w:tcW w:w="0" w:type="dxa"/>
            <w:vAlign w:val="bottom"/>
          </w:tcPr>
          <w:p>
            <w:pPr>
              <w:spacing w:after="0"/>
              <w:rPr>
                <w:sz w:val="1"/>
                <w:szCs w:val="1"/>
                <w:color w:val="auto"/>
              </w:rPr>
            </w:pPr>
          </w:p>
        </w:tc>
      </w:tr>
      <w:tr>
        <w:trPr>
          <w:trHeight w:val="113"/>
        </w:trPr>
        <w:tc>
          <w:tcPr>
            <w:tcW w:w="2060" w:type="dxa"/>
            <w:vAlign w:val="bottom"/>
            <w:shd w:val="clear" w:color="auto" w:fill="CCFFCC"/>
          </w:tcPr>
          <w:p>
            <w:pPr>
              <w:spacing w:after="0" w:line="113" w:lineRule="exact"/>
              <w:rPr>
                <w:sz w:val="20"/>
                <w:szCs w:val="20"/>
                <w:color w:val="auto"/>
              </w:rPr>
            </w:pPr>
            <w:r>
              <w:rPr>
                <w:rFonts w:ascii="Arial" w:cs="Arial" w:eastAsia="Arial" w:hAnsi="Arial"/>
                <w:sz w:val="8"/>
                <w:szCs w:val="8"/>
                <w:color w:val="auto"/>
              </w:rPr>
              <w:t xml:space="preserve">City Gear, LLC </w:t>
            </w:r>
            <w:r>
              <w:rPr>
                <w:rFonts w:ascii="Arial" w:cs="Arial" w:eastAsia="Arial" w:hAnsi="Arial"/>
                <w:sz w:val="13"/>
                <w:szCs w:val="13"/>
                <w:color w:val="auto"/>
                <w:vertAlign w:val="superscript"/>
              </w:rPr>
              <w:t>(5)</w:t>
            </w:r>
          </w:p>
        </w:tc>
        <w:tc>
          <w:tcPr>
            <w:tcW w:w="2200" w:type="dxa"/>
            <w:vAlign w:val="bottom"/>
            <w:gridSpan w:val="2"/>
            <w:shd w:val="clear" w:color="auto" w:fill="CCFFCC"/>
          </w:tcPr>
          <w:p>
            <w:pPr>
              <w:ind w:left="120"/>
              <w:spacing w:after="0"/>
              <w:rPr>
                <w:sz w:val="20"/>
                <w:szCs w:val="20"/>
                <w:color w:val="auto"/>
              </w:rPr>
            </w:pPr>
            <w:r>
              <w:rPr>
                <w:rFonts w:ascii="Arial" w:cs="Arial" w:eastAsia="Arial" w:hAnsi="Arial"/>
                <w:sz w:val="8"/>
                <w:szCs w:val="8"/>
                <w:color w:val="auto"/>
              </w:rPr>
              <w:t>Footwear Retail</w:t>
            </w:r>
          </w:p>
        </w:tc>
        <w:tc>
          <w:tcPr>
            <w:tcW w:w="3220" w:type="dxa"/>
            <w:vAlign w:val="bottom"/>
            <w:gridSpan w:val="3"/>
            <w:shd w:val="clear" w:color="auto" w:fill="CCFFCC"/>
          </w:tcPr>
          <w:p>
            <w:pPr>
              <w:ind w:left="120"/>
              <w:spacing w:after="0"/>
              <w:rPr>
                <w:sz w:val="20"/>
                <w:szCs w:val="20"/>
                <w:color w:val="auto"/>
              </w:rPr>
            </w:pPr>
            <w:r>
              <w:rPr>
                <w:rFonts w:ascii="Arial" w:cs="Arial" w:eastAsia="Arial" w:hAnsi="Arial"/>
                <w:sz w:val="8"/>
                <w:szCs w:val="8"/>
                <w:color w:val="auto"/>
              </w:rPr>
              <w:t>Preferred Membership Units (scheduled 9% dividend)</w:t>
            </w:r>
          </w:p>
        </w:tc>
        <w:tc>
          <w:tcPr>
            <w:tcW w:w="140" w:type="dxa"/>
            <w:vAlign w:val="bottom"/>
            <w:shd w:val="clear" w:color="auto" w:fill="CCFFCC"/>
          </w:tcPr>
          <w:p>
            <w:pPr>
              <w:spacing w:after="0"/>
              <w:rPr>
                <w:sz w:val="9"/>
                <w:szCs w:val="9"/>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9"/>
                <w:szCs w:val="9"/>
                <w:color w:val="auto"/>
              </w:rPr>
            </w:pPr>
          </w:p>
        </w:tc>
        <w:tc>
          <w:tcPr>
            <w:tcW w:w="84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1,269</w:t>
            </w:r>
          </w:p>
        </w:tc>
        <w:tc>
          <w:tcPr>
            <w:tcW w:w="160" w:type="dxa"/>
            <w:vAlign w:val="bottom"/>
            <w:shd w:val="clear" w:color="auto" w:fill="CCFFCC"/>
          </w:tcPr>
          <w:p>
            <w:pPr>
              <w:spacing w:after="0"/>
              <w:rPr>
                <w:sz w:val="9"/>
                <w:szCs w:val="9"/>
                <w:color w:val="auto"/>
              </w:rPr>
            </w:pPr>
          </w:p>
        </w:tc>
        <w:tc>
          <w:tcPr>
            <w:tcW w:w="86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1,825</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City Gear,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Footwear Retail</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Membership Unit Warrants (9.817% fully diluted)</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1,074</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0.7%</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5,500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7,131</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5.0%</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color w:val="auto"/>
              </w:rPr>
              <w:t>Corporate Visions, Inc.</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Sales &amp; Marketing Services</w:t>
            </w:r>
          </w:p>
        </w:tc>
        <w:tc>
          <w:tcPr>
            <w:tcW w:w="3220" w:type="dxa"/>
            <w:vAlign w:val="bottom"/>
            <w:gridSpan w:val="3"/>
            <w:vMerge w:val="restart"/>
          </w:tcPr>
          <w:p>
            <w:pPr>
              <w:ind w:left="120"/>
              <w:spacing w:after="0"/>
              <w:rPr>
                <w:sz w:val="20"/>
                <w:szCs w:val="20"/>
                <w:color w:val="auto"/>
              </w:rPr>
            </w:pPr>
            <w:r>
              <w:rPr>
                <w:rFonts w:ascii="Arial" w:cs="Arial" w:eastAsia="Arial" w:hAnsi="Arial"/>
                <w:sz w:val="8"/>
                <w:szCs w:val="8"/>
                <w:color w:val="auto"/>
              </w:rPr>
              <w:t>Common Stock (2,000,000 shares)</w:t>
            </w:r>
          </w:p>
        </w:tc>
        <w:tc>
          <w:tcPr>
            <w:tcW w:w="140" w:type="dxa"/>
            <w:vAlign w:val="bottom"/>
          </w:tcPr>
          <w:p>
            <w:pPr>
              <w:spacing w:after="0" w:line="20" w:lineRule="exact"/>
              <w:rPr>
                <w:sz w:val="1"/>
                <w:szCs w:val="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32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2,000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5,928</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4.2%</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Corporate Visions,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Sales &amp; Marketing Services</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Warrants (302,534 shares)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1,079</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0.7%</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2,000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7,008</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4.9%</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Fresh Food Concepts, Inc.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Salsa Manufacturer</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(13% Cash, 4% PIK, Due 11/30/15)</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3,240</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3,240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Fresh Food Concepts,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Salsa Manufacturer</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Class A Common Units (1,500 units)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1,500</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Fresh Food Concepts,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Salsa Manufacturer</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Class C Common Unit Warrants (165 units)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43</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4,783</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GA Communications, Inc.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Advertising &amp; Marketing Services</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(12.5% Cash, Due 4/14/17)</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13,000</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13,000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13,000</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9.2%</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GA Communications,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Advertising &amp; Marketing Services</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Series A-1 Preferred Stock (1,998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1,998</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2,194</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1.5%</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GA Communications,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Advertising &amp; Marketing Services</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Series B-1 Common Stock (200,000 shares)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2</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3,260</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2.3%</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15,000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18,454</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13.0%</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line="113" w:lineRule="exact"/>
              <w:rPr>
                <w:sz w:val="20"/>
                <w:szCs w:val="20"/>
                <w:color w:val="auto"/>
              </w:rPr>
            </w:pPr>
            <w:r>
              <w:rPr>
                <w:rFonts w:ascii="Arial" w:cs="Arial" w:eastAsia="Arial" w:hAnsi="Arial"/>
                <w:sz w:val="8"/>
                <w:szCs w:val="8"/>
                <w:color w:val="auto"/>
              </w:rPr>
              <w:t xml:space="preserve">Impresa Aerospace Holdings, LLC </w:t>
            </w:r>
            <w:r>
              <w:rPr>
                <w:rFonts w:ascii="Arial" w:cs="Arial" w:eastAsia="Arial" w:hAnsi="Arial"/>
                <w:sz w:val="13"/>
                <w:szCs w:val="13"/>
                <w:color w:val="auto"/>
                <w:vertAlign w:val="superscript"/>
              </w:rPr>
              <w:t>(3)</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Aerospace Parts Manufacturer</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(12% Cash, 3% PIK, Due 4/28/16)</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60" w:type="dxa"/>
            <w:vAlign w:val="bottom"/>
            <w:vMerge w:val="continue"/>
            <w:shd w:val="clear" w:color="auto" w:fill="CCFFCC"/>
          </w:tcPr>
          <w:p>
            <w:pPr>
              <w:spacing w:after="0"/>
              <w:rPr>
                <w:sz w:val="8"/>
                <w:szCs w:val="8"/>
                <w:color w:val="auto"/>
              </w:rPr>
            </w:pPr>
          </w:p>
        </w:tc>
        <w:tc>
          <w:tcPr>
            <w:tcW w:w="2200" w:type="dxa"/>
            <w:vAlign w:val="bottom"/>
            <w:gridSpan w:val="2"/>
            <w:vMerge w:val="continue"/>
            <w:shd w:val="clear" w:color="auto" w:fill="CCFFCC"/>
          </w:tcPr>
          <w:p>
            <w:pPr>
              <w:spacing w:after="0"/>
              <w:rPr>
                <w:sz w:val="8"/>
                <w:szCs w:val="8"/>
                <w:color w:val="auto"/>
              </w:rPr>
            </w:pPr>
          </w:p>
        </w:tc>
        <w:tc>
          <w:tcPr>
            <w:tcW w:w="3220" w:type="dxa"/>
            <w:vAlign w:val="bottom"/>
            <w:gridSpan w:val="3"/>
            <w:vMerge w:val="continue"/>
            <w:shd w:val="clear" w:color="auto" w:fill="CCFFCC"/>
          </w:tcPr>
          <w:p>
            <w:pPr>
              <w:spacing w:after="0"/>
              <w:rPr>
                <w:sz w:val="8"/>
                <w:szCs w:val="8"/>
                <w:color w:val="auto"/>
              </w:rPr>
            </w:pPr>
          </w:p>
        </w:tc>
        <w:tc>
          <w:tcPr>
            <w:tcW w:w="140" w:type="dxa"/>
            <w:vAlign w:val="bottom"/>
            <w:shd w:val="clear" w:color="auto" w:fill="CCFFCC"/>
          </w:tcPr>
          <w:p>
            <w:pPr>
              <w:spacing w:after="0"/>
              <w:rPr>
                <w:sz w:val="8"/>
                <w:szCs w:val="8"/>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8"/>
                <w:szCs w:val="8"/>
                <w:color w:val="auto"/>
              </w:rPr>
              <w:t>8,699</w:t>
            </w:r>
          </w:p>
        </w:tc>
        <w:tc>
          <w:tcPr>
            <w:tcW w:w="180" w:type="dxa"/>
            <w:vAlign w:val="bottom"/>
            <w:shd w:val="clear" w:color="auto" w:fill="CCFFCC"/>
          </w:tcPr>
          <w:p>
            <w:pPr>
              <w:spacing w:after="0"/>
              <w:rPr>
                <w:sz w:val="8"/>
                <w:szCs w:val="8"/>
                <w:color w:val="auto"/>
              </w:rPr>
            </w:pPr>
          </w:p>
        </w:tc>
        <w:tc>
          <w:tcPr>
            <w:tcW w:w="84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8,699</w:t>
            </w:r>
          </w:p>
        </w:tc>
        <w:tc>
          <w:tcPr>
            <w:tcW w:w="160" w:type="dxa"/>
            <w:vAlign w:val="bottom"/>
            <w:shd w:val="clear" w:color="auto" w:fill="CCFFCC"/>
          </w:tcPr>
          <w:p>
            <w:pPr>
              <w:spacing w:after="0"/>
              <w:rPr>
                <w:sz w:val="8"/>
                <w:szCs w:val="8"/>
                <w:color w:val="auto"/>
              </w:rPr>
            </w:pPr>
          </w:p>
        </w:tc>
        <w:tc>
          <w:tcPr>
            <w:tcW w:w="86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5,219</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8"/>
                <w:szCs w:val="8"/>
                <w:color w:val="auto"/>
              </w:rPr>
              <w:t>3.7%</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Impresa Aerospace Holdings,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Aerospace Parts Manufacturer</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Class A Membership Units (900,000 units)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900</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Impresa Aerospace Holdings,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Aerospace Parts Manufacturer</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Class C Membership Units (317,114 shares)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317</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9,916</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5,219</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3.7%</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J&amp;J Produce Holdings, Inc.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Produce Distribution</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(13% Cash, Due 7/16/18)</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5,182</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5,182</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5,182</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3.6%</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J&amp;J Produce Holdings,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Produce Distribution</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Common Stock (8,182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818</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1,005</w:t>
            </w:r>
          </w:p>
        </w:tc>
        <w:tc>
          <w:tcPr>
            <w:tcW w:w="90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0.7%</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J&amp;J Produce Holdings,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Produce Distribution</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Warrants (4,318 shares)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535</w:t>
            </w:r>
          </w:p>
        </w:tc>
        <w:tc>
          <w:tcPr>
            <w:tcW w:w="900" w:type="dxa"/>
            <w:vAlign w:val="bottom"/>
            <w:gridSpan w:val="2"/>
            <w:shd w:val="clear" w:color="auto" w:fill="CCFFCC"/>
          </w:tcPr>
          <w:p>
            <w:pPr>
              <w:jc w:val="right"/>
              <w:ind w:right="40"/>
              <w:spacing w:after="0" w:line="91" w:lineRule="exact"/>
              <w:rPr>
                <w:sz w:val="20"/>
                <w:szCs w:val="20"/>
                <w:color w:val="auto"/>
              </w:rPr>
            </w:pPr>
            <w:r>
              <w:rPr>
                <w:rFonts w:ascii="Arial" w:cs="Arial" w:eastAsia="Arial" w:hAnsi="Arial"/>
                <w:sz w:val="8"/>
                <w:szCs w:val="8"/>
                <w:color w:val="auto"/>
              </w:rPr>
              <w:t>0.4%</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6,000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6,722</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4.7%</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LJS Partners, LLC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QSR Franchisor</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Common Stock (1,500,000 units)</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1,500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15,112</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10.6%</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1,500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15,112</w:t>
            </w:r>
          </w:p>
        </w:tc>
        <w:tc>
          <w:tcPr>
            <w:tcW w:w="240" w:type="dxa"/>
            <w:vAlign w:val="bottom"/>
            <w:vMerge w:val="continue"/>
          </w:tcPr>
          <w:p>
            <w:pPr>
              <w:spacing w:after="0"/>
              <w:rPr>
                <w:sz w:val="7"/>
                <w:szCs w:val="7"/>
                <w:color w:val="auto"/>
              </w:rPr>
            </w:pPr>
          </w:p>
        </w:tc>
        <w:tc>
          <w:tcPr>
            <w:tcW w:w="900" w:type="dxa"/>
            <w:vAlign w:val="bottom"/>
            <w:gridSpan w:val="2"/>
          </w:tcPr>
          <w:p>
            <w:pPr>
              <w:jc w:val="right"/>
              <w:ind w:right="40"/>
              <w:spacing w:after="0" w:line="82" w:lineRule="exact"/>
              <w:rPr>
                <w:sz w:val="20"/>
                <w:szCs w:val="20"/>
                <w:color w:val="auto"/>
              </w:rPr>
            </w:pPr>
            <w:r>
              <w:rPr>
                <w:rFonts w:ascii="Arial" w:cs="Arial" w:eastAsia="Arial" w:hAnsi="Arial"/>
                <w:sz w:val="8"/>
                <w:szCs w:val="8"/>
                <w:color w:val="auto"/>
              </w:rPr>
              <w:t>10.6%</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MJC Holdings, LLC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Specialty Clothing</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(12% Cash, 2% PIK, Due 1/16/18)</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7,571</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7,571</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7,571</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ind w:right="40"/>
              <w:spacing w:after="0" w:line="82" w:lineRule="exact"/>
              <w:rPr>
                <w:sz w:val="20"/>
                <w:szCs w:val="20"/>
                <w:color w:val="auto"/>
              </w:rPr>
            </w:pPr>
            <w:r>
              <w:rPr>
                <w:rFonts w:ascii="Arial" w:cs="Arial" w:eastAsia="Arial" w:hAnsi="Arial"/>
                <w:sz w:val="8"/>
                <w:szCs w:val="8"/>
                <w:color w:val="auto"/>
              </w:rPr>
              <w:t>5.4%</w:t>
            </w: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81" w:right="219" w:bottom="1440" w:gutter="0" w:footer="0" w:header="0"/>
        </w:sectPr>
      </w:pPr>
    </w:p>
    <w:bookmarkStart w:id="78" w:name="page79"/>
    <w:bookmarkEnd w:id="78"/>
    <w:tbl>
      <w:tblPr>
        <w:tblLayout w:type="fixed"/>
        <w:tblInd w:w="10" w:type="dxa"/>
        <w:tblCellMar>
          <w:top w:w="0" w:type="dxa"/>
          <w:left w:w="0" w:type="dxa"/>
          <w:bottom w:w="0" w:type="dxa"/>
          <w:right w:w="0" w:type="dxa"/>
        </w:tblCellMar>
      </w:tblPr>
      <w:tr>
        <w:trPr>
          <w:trHeight w:val="9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rPr>
              <w:t>% of</w:t>
            </w:r>
          </w:p>
        </w:tc>
        <w:tc>
          <w:tcPr>
            <w:tcW w:w="0" w:type="dxa"/>
            <w:vAlign w:val="bottom"/>
          </w:tcPr>
          <w:p>
            <w:pPr>
              <w:spacing w:after="0"/>
              <w:rPr>
                <w:sz w:val="1"/>
                <w:szCs w:val="1"/>
                <w:color w:val="auto"/>
              </w:rPr>
            </w:pPr>
          </w:p>
        </w:tc>
      </w:tr>
      <w:tr>
        <w:trPr>
          <w:trHeight w:val="90"/>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tcPr>
          <w:p>
            <w:pPr>
              <w:ind w:left="100"/>
              <w:spacing w:after="0" w:line="91" w:lineRule="exact"/>
              <w:rPr>
                <w:sz w:val="20"/>
                <w:szCs w:val="20"/>
                <w:color w:val="auto"/>
              </w:rPr>
            </w:pPr>
            <w:r>
              <w:rPr>
                <w:rFonts w:ascii="Arial" w:cs="Arial" w:eastAsia="Arial" w:hAnsi="Arial"/>
                <w:sz w:val="8"/>
                <w:szCs w:val="8"/>
                <w:b w:val="1"/>
                <w:bCs w:val="1"/>
                <w:color w:val="auto"/>
              </w:rPr>
              <w:t>Principal</w:t>
            </w: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2"/>
          </w:tcPr>
          <w:p>
            <w:pPr>
              <w:jc w:val="right"/>
              <w:ind w:right="560"/>
              <w:spacing w:after="0" w:line="91" w:lineRule="exact"/>
              <w:rPr>
                <w:sz w:val="20"/>
                <w:szCs w:val="20"/>
                <w:color w:val="auto"/>
              </w:rPr>
            </w:pPr>
            <w:r>
              <w:rPr>
                <w:rFonts w:ascii="Arial" w:cs="Arial" w:eastAsia="Arial" w:hAnsi="Arial"/>
                <w:sz w:val="8"/>
                <w:szCs w:val="8"/>
                <w:b w:val="1"/>
                <w:bCs w:val="1"/>
                <w:color w:val="auto"/>
              </w:rPr>
              <w:t>Fair</w:t>
            </w:r>
          </w:p>
        </w:tc>
        <w:tc>
          <w:tcPr>
            <w:tcW w:w="900" w:type="dxa"/>
            <w:vAlign w:val="bottom"/>
            <w:gridSpan w:val="2"/>
          </w:tcPr>
          <w:p>
            <w:pPr>
              <w:jc w:val="center"/>
              <w:ind w:right="100"/>
              <w:spacing w:after="0" w:line="91" w:lineRule="exact"/>
              <w:rPr>
                <w:sz w:val="20"/>
                <w:szCs w:val="20"/>
                <w:color w:val="auto"/>
              </w:rPr>
            </w:pPr>
            <w:r>
              <w:rPr>
                <w:rFonts w:ascii="Arial" w:cs="Arial" w:eastAsia="Arial" w:hAnsi="Arial"/>
                <w:sz w:val="8"/>
                <w:szCs w:val="8"/>
                <w:b w:val="1"/>
                <w:bCs w:val="1"/>
                <w:color w:val="auto"/>
                <w:w w:val="92"/>
              </w:rPr>
              <w:t>Net</w:t>
            </w:r>
          </w:p>
        </w:tc>
        <w:tc>
          <w:tcPr>
            <w:tcW w:w="0" w:type="dxa"/>
            <w:vAlign w:val="bottom"/>
          </w:tcPr>
          <w:p>
            <w:pPr>
              <w:spacing w:after="0"/>
              <w:rPr>
                <w:sz w:val="1"/>
                <w:szCs w:val="1"/>
                <w:color w:val="auto"/>
              </w:rPr>
            </w:pPr>
          </w:p>
        </w:tc>
      </w:tr>
      <w:tr>
        <w:trPr>
          <w:trHeight w:val="101"/>
        </w:trPr>
        <w:tc>
          <w:tcPr>
            <w:tcW w:w="206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Company (3, 4)</w:t>
            </w:r>
          </w:p>
        </w:tc>
        <w:tc>
          <w:tcPr>
            <w:tcW w:w="120" w:type="dxa"/>
            <w:vAlign w:val="bottom"/>
            <w:tcBorders>
              <w:bottom w:val="single" w:sz="8" w:color="CCFFCC"/>
            </w:tcBorders>
          </w:tcPr>
          <w:p>
            <w:pPr>
              <w:spacing w:after="0"/>
              <w:rPr>
                <w:sz w:val="8"/>
                <w:szCs w:val="8"/>
                <w:color w:val="auto"/>
              </w:rPr>
            </w:pPr>
          </w:p>
        </w:tc>
        <w:tc>
          <w:tcPr>
            <w:tcW w:w="2080" w:type="dxa"/>
            <w:vAlign w:val="bottom"/>
            <w:tcBorders>
              <w:bottom w:val="single" w:sz="8" w:color="auto"/>
            </w:tcBorders>
          </w:tcPr>
          <w:p>
            <w:pPr>
              <w:ind w:left="900"/>
              <w:spacing w:after="0"/>
              <w:rPr>
                <w:sz w:val="20"/>
                <w:szCs w:val="20"/>
                <w:color w:val="auto"/>
              </w:rPr>
            </w:pPr>
            <w:r>
              <w:rPr>
                <w:rFonts w:ascii="Arial" w:cs="Arial" w:eastAsia="Arial" w:hAnsi="Arial"/>
                <w:sz w:val="8"/>
                <w:szCs w:val="8"/>
                <w:b w:val="1"/>
                <w:bCs w:val="1"/>
                <w:color w:val="auto"/>
              </w:rPr>
              <w:t>Industry</w:t>
            </w:r>
          </w:p>
        </w:tc>
        <w:tc>
          <w:tcPr>
            <w:tcW w:w="120" w:type="dxa"/>
            <w:vAlign w:val="bottom"/>
            <w:tcBorders>
              <w:bottom w:val="single" w:sz="8" w:color="CCFFCC"/>
            </w:tcBorders>
          </w:tcPr>
          <w:p>
            <w:pPr>
              <w:spacing w:after="0"/>
              <w:rPr>
                <w:sz w:val="8"/>
                <w:szCs w:val="8"/>
                <w:color w:val="auto"/>
              </w:rPr>
            </w:pPr>
          </w:p>
        </w:tc>
        <w:tc>
          <w:tcPr>
            <w:tcW w:w="2980" w:type="dxa"/>
            <w:vAlign w:val="bottom"/>
            <w:tcBorders>
              <w:bottom w:val="single" w:sz="8" w:color="auto"/>
            </w:tcBorders>
          </w:tcPr>
          <w:p>
            <w:pPr>
              <w:ind w:left="880"/>
              <w:spacing w:after="0"/>
              <w:rPr>
                <w:sz w:val="20"/>
                <w:szCs w:val="20"/>
                <w:color w:val="auto"/>
              </w:rPr>
            </w:pPr>
            <w:r>
              <w:rPr>
                <w:rFonts w:ascii="Arial" w:cs="Arial" w:eastAsia="Arial" w:hAnsi="Arial"/>
                <w:sz w:val="8"/>
                <w:szCs w:val="8"/>
                <w:b w:val="1"/>
                <w:bCs w:val="1"/>
                <w:color w:val="auto"/>
              </w:rPr>
              <w:t>Investment Interest Rate / Maturity</w:t>
            </w:r>
          </w:p>
        </w:tc>
        <w:tc>
          <w:tcPr>
            <w:tcW w:w="120" w:type="dxa"/>
            <w:vAlign w:val="bottom"/>
            <w:tcBorders>
              <w:bottom w:val="single" w:sz="8" w:color="CCFFCC"/>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20"/>
              <w:spacing w:after="0"/>
              <w:rPr>
                <w:sz w:val="20"/>
                <w:szCs w:val="20"/>
                <w:color w:val="auto"/>
              </w:rPr>
            </w:pPr>
            <w:r>
              <w:rPr>
                <w:rFonts w:ascii="Arial" w:cs="Arial" w:eastAsia="Arial" w:hAnsi="Arial"/>
                <w:sz w:val="8"/>
                <w:szCs w:val="8"/>
                <w:b w:val="1"/>
                <w:bCs w:val="1"/>
                <w:color w:val="auto"/>
              </w:rPr>
              <w:t>Amount</w:t>
            </w:r>
          </w:p>
        </w:tc>
        <w:tc>
          <w:tcPr>
            <w:tcW w:w="220" w:type="dxa"/>
            <w:vAlign w:val="bottom"/>
            <w:tcBorders>
              <w:bottom w:val="single" w:sz="8" w:color="CCFFCC"/>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80"/>
              <w:spacing w:after="0"/>
              <w:rPr>
                <w:sz w:val="20"/>
                <w:szCs w:val="20"/>
                <w:color w:val="auto"/>
              </w:rPr>
            </w:pPr>
            <w:r>
              <w:rPr>
                <w:rFonts w:ascii="Arial" w:cs="Arial" w:eastAsia="Arial" w:hAnsi="Arial"/>
                <w:sz w:val="8"/>
                <w:szCs w:val="8"/>
                <w:b w:val="1"/>
                <w:bCs w:val="1"/>
                <w:color w:val="auto"/>
              </w:rPr>
              <w:t>Cost</w:t>
            </w:r>
          </w:p>
        </w:tc>
        <w:tc>
          <w:tcPr>
            <w:tcW w:w="240" w:type="dxa"/>
            <w:vAlign w:val="bottom"/>
            <w:tcBorders>
              <w:bottom w:val="single" w:sz="8" w:color="CCFFC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60"/>
              <w:spacing w:after="0"/>
              <w:rPr>
                <w:sz w:val="20"/>
                <w:szCs w:val="20"/>
                <w:color w:val="auto"/>
              </w:rPr>
            </w:pPr>
            <w:r>
              <w:rPr>
                <w:rFonts w:ascii="Arial" w:cs="Arial" w:eastAsia="Arial" w:hAnsi="Arial"/>
                <w:sz w:val="8"/>
                <w:szCs w:val="8"/>
                <w:b w:val="1"/>
                <w:bCs w:val="1"/>
                <w:color w:val="auto"/>
              </w:rPr>
              <w:t>Value</w:t>
            </w:r>
          </w:p>
        </w:tc>
        <w:tc>
          <w:tcPr>
            <w:tcW w:w="240" w:type="dxa"/>
            <w:vAlign w:val="bottom"/>
            <w:tcBorders>
              <w:bottom w:val="single" w:sz="8" w:color="CCFFCC"/>
            </w:tcBorders>
          </w:tcPr>
          <w:p>
            <w:pPr>
              <w:spacing w:after="0"/>
              <w:rPr>
                <w:sz w:val="8"/>
                <w:szCs w:val="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83"/>
              </w:rPr>
              <w:t>Assets</w:t>
            </w:r>
          </w:p>
        </w:tc>
        <w:tc>
          <w:tcPr>
            <w:tcW w:w="120" w:type="dxa"/>
            <w:vAlign w:val="bottom"/>
            <w:tcBorders>
              <w:bottom w:val="single" w:sz="8" w:color="CCFFCC"/>
            </w:tcBorders>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60" w:type="dxa"/>
            <w:vAlign w:val="bottom"/>
            <w:shd w:val="clear" w:color="auto" w:fill="CCFFCC"/>
          </w:tcPr>
          <w:p>
            <w:pPr>
              <w:spacing w:after="0" w:line="83" w:lineRule="exact"/>
              <w:rPr>
                <w:sz w:val="20"/>
                <w:szCs w:val="20"/>
                <w:color w:val="auto"/>
              </w:rPr>
            </w:pPr>
            <w:r>
              <w:rPr>
                <w:rFonts w:ascii="Arial" w:cs="Arial" w:eastAsia="Arial" w:hAnsi="Arial"/>
                <w:sz w:val="8"/>
                <w:szCs w:val="8"/>
                <w:color w:val="auto"/>
              </w:rPr>
              <w:t>MJC Holdings, LLC</w:t>
            </w: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line="83" w:lineRule="exact"/>
              <w:rPr>
                <w:sz w:val="20"/>
                <w:szCs w:val="20"/>
                <w:color w:val="auto"/>
              </w:rPr>
            </w:pPr>
            <w:r>
              <w:rPr>
                <w:rFonts w:ascii="Arial" w:cs="Arial" w:eastAsia="Arial" w:hAnsi="Arial"/>
                <w:sz w:val="8"/>
                <w:szCs w:val="8"/>
                <w:color w:val="auto"/>
              </w:rPr>
              <w:t>Specialty Clothing</w:t>
            </w: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line="83" w:lineRule="exact"/>
              <w:rPr>
                <w:sz w:val="20"/>
                <w:szCs w:val="20"/>
                <w:color w:val="auto"/>
              </w:rPr>
            </w:pPr>
            <w:r>
              <w:rPr>
                <w:rFonts w:ascii="Arial" w:cs="Arial" w:eastAsia="Arial" w:hAnsi="Arial"/>
                <w:sz w:val="8"/>
                <w:szCs w:val="8"/>
                <w:color w:val="auto"/>
              </w:rPr>
              <w:t>Series A Preferred Units (2,000,000 units)</w:t>
            </w: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jc w:val="right"/>
              <w:spacing w:after="0" w:line="83" w:lineRule="exact"/>
              <w:rPr>
                <w:sz w:val="20"/>
                <w:szCs w:val="20"/>
                <w:color w:val="auto"/>
              </w:rPr>
            </w:pPr>
            <w:r>
              <w:rPr>
                <w:rFonts w:ascii="Arial" w:cs="Arial" w:eastAsia="Arial" w:hAnsi="Arial"/>
                <w:sz w:val="8"/>
                <w:szCs w:val="8"/>
                <w:color w:val="auto"/>
              </w:rPr>
              <w:t>—</w:t>
            </w: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3" w:lineRule="exact"/>
              <w:rPr>
                <w:sz w:val="20"/>
                <w:szCs w:val="20"/>
                <w:color w:val="auto"/>
              </w:rPr>
            </w:pPr>
            <w:r>
              <w:rPr>
                <w:rFonts w:ascii="Arial" w:cs="Arial" w:eastAsia="Arial" w:hAnsi="Arial"/>
                <w:sz w:val="8"/>
                <w:szCs w:val="8"/>
                <w:color w:val="auto"/>
              </w:rPr>
              <w:t>2,000</w:t>
            </w:r>
          </w:p>
        </w:tc>
        <w:tc>
          <w:tcPr>
            <w:tcW w:w="240" w:type="dxa"/>
            <w:vAlign w:val="bottom"/>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3" w:lineRule="exact"/>
              <w:rPr>
                <w:sz w:val="20"/>
                <w:szCs w:val="20"/>
                <w:color w:val="auto"/>
              </w:rPr>
            </w:pPr>
            <w:r>
              <w:rPr>
                <w:rFonts w:ascii="Arial" w:cs="Arial" w:eastAsia="Arial" w:hAnsi="Arial"/>
                <w:sz w:val="8"/>
                <w:szCs w:val="8"/>
                <w:color w:val="auto"/>
              </w:rPr>
              <w:t>2,762</w:t>
            </w:r>
          </w:p>
        </w:tc>
        <w:tc>
          <w:tcPr>
            <w:tcW w:w="240" w:type="dxa"/>
            <w:vAlign w:val="bottom"/>
            <w:shd w:val="clear" w:color="auto" w:fill="CCFFCC"/>
          </w:tcPr>
          <w:p>
            <w:pPr>
              <w:spacing w:after="0"/>
              <w:rPr>
                <w:sz w:val="7"/>
                <w:szCs w:val="7"/>
                <w:color w:val="auto"/>
              </w:rPr>
            </w:pPr>
          </w:p>
        </w:tc>
        <w:tc>
          <w:tcPr>
            <w:tcW w:w="900" w:type="dxa"/>
            <w:vAlign w:val="bottom"/>
            <w:gridSpan w:val="2"/>
            <w:shd w:val="clear" w:color="auto" w:fill="CCFFCC"/>
          </w:tcPr>
          <w:p>
            <w:pPr>
              <w:jc w:val="right"/>
              <w:spacing w:after="0" w:line="83" w:lineRule="exact"/>
              <w:rPr>
                <w:sz w:val="20"/>
                <w:szCs w:val="20"/>
                <w:color w:val="auto"/>
              </w:rPr>
            </w:pPr>
            <w:r>
              <w:rPr>
                <w:rFonts w:ascii="Arial" w:cs="Arial" w:eastAsia="Arial" w:hAnsi="Arial"/>
                <w:sz w:val="8"/>
                <w:szCs w:val="8"/>
                <w:color w:val="auto"/>
              </w:rPr>
              <w:t>1.9%</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9,571</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10,333</w:t>
            </w:r>
          </w:p>
        </w:tc>
        <w:tc>
          <w:tcPr>
            <w:tcW w:w="240" w:type="dxa"/>
            <w:vAlign w:val="bottom"/>
            <w:vMerge w:val="continue"/>
          </w:tcPr>
          <w:p>
            <w:pPr>
              <w:spacing w:after="0"/>
              <w:rPr>
                <w:sz w:val="7"/>
                <w:szCs w:val="7"/>
                <w:color w:val="auto"/>
              </w:rPr>
            </w:pPr>
          </w:p>
        </w:tc>
        <w:tc>
          <w:tcPr>
            <w:tcW w:w="900" w:type="dxa"/>
            <w:vAlign w:val="bottom"/>
            <w:gridSpan w:val="2"/>
          </w:tcPr>
          <w:p>
            <w:pPr>
              <w:jc w:val="right"/>
              <w:spacing w:after="0" w:line="82" w:lineRule="exact"/>
              <w:rPr>
                <w:sz w:val="20"/>
                <w:szCs w:val="20"/>
                <w:color w:val="auto"/>
              </w:rPr>
            </w:pPr>
            <w:r>
              <w:rPr>
                <w:rFonts w:ascii="Arial" w:cs="Arial" w:eastAsia="Arial" w:hAnsi="Arial"/>
                <w:sz w:val="8"/>
                <w:szCs w:val="8"/>
                <w:color w:val="auto"/>
              </w:rPr>
              <w:t>7.3%</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MMI Holdings, LLC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Medical Device Distributor</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(6% Cash, Due 8/15/15)</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200</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200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200</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spacing w:after="0" w:line="82" w:lineRule="exact"/>
              <w:rPr>
                <w:sz w:val="20"/>
                <w:szCs w:val="20"/>
                <w:color w:val="auto"/>
              </w:rPr>
            </w:pPr>
            <w:r>
              <w:rPr>
                <w:rFonts w:ascii="Arial" w:cs="Arial" w:eastAsia="Arial" w:hAnsi="Arial"/>
                <w:sz w:val="8"/>
                <w:szCs w:val="8"/>
                <w:color w:val="auto"/>
              </w:rPr>
              <w:t>0.1%</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MMI Holdings,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Medical Device Distributor</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Senior Secured Debt (12% Cash, Due 10/17/14)</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2,600</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2,600</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2,600</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1.9%</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MMI Holdings,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Medical Device Distributor</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Preferred Units (500 units)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500</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575</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0.4%</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MMI Holdings,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Medical Device Distributor</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Common Units (45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187</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0.1%</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3,300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3,562</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spacing w:after="0" w:line="82" w:lineRule="exact"/>
              <w:rPr>
                <w:sz w:val="20"/>
                <w:szCs w:val="20"/>
                <w:color w:val="auto"/>
              </w:rPr>
            </w:pPr>
            <w:r>
              <w:rPr>
                <w:rFonts w:ascii="Arial" w:cs="Arial" w:eastAsia="Arial" w:hAnsi="Arial"/>
                <w:sz w:val="8"/>
                <w:szCs w:val="8"/>
                <w:color w:val="auto"/>
              </w:rPr>
              <w:t>2.5%</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line="113" w:lineRule="exact"/>
              <w:rPr>
                <w:sz w:val="20"/>
                <w:szCs w:val="20"/>
                <w:color w:val="auto"/>
              </w:rPr>
            </w:pPr>
            <w:r>
              <w:rPr>
                <w:rFonts w:ascii="Arial" w:cs="Arial" w:eastAsia="Arial" w:hAnsi="Arial"/>
                <w:sz w:val="8"/>
                <w:szCs w:val="8"/>
                <w:color w:val="auto"/>
              </w:rPr>
              <w:t xml:space="preserve">Pickaway Plains Ambulance Services, Inc. </w:t>
            </w:r>
            <w:r>
              <w:rPr>
                <w:rFonts w:ascii="Arial" w:cs="Arial" w:eastAsia="Arial" w:hAnsi="Arial"/>
                <w:sz w:val="13"/>
                <w:szCs w:val="13"/>
                <w:color w:val="auto"/>
                <w:vertAlign w:val="superscript"/>
              </w:rPr>
              <w:t>(1, 2)</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Medical Transportation Services</w:t>
            </w:r>
          </w:p>
        </w:tc>
        <w:tc>
          <w:tcPr>
            <w:tcW w:w="3220" w:type="dxa"/>
            <w:vAlign w:val="bottom"/>
            <w:gridSpan w:val="3"/>
            <w:vMerge w:val="restart"/>
          </w:tcPr>
          <w:p>
            <w:pPr>
              <w:ind w:left="120"/>
              <w:spacing w:after="0"/>
              <w:rPr>
                <w:sz w:val="20"/>
                <w:szCs w:val="20"/>
                <w:color w:val="auto"/>
              </w:rPr>
            </w:pPr>
            <w:r>
              <w:rPr>
                <w:rFonts w:ascii="Arial" w:cs="Arial" w:eastAsia="Arial" w:hAnsi="Arial"/>
                <w:sz w:val="8"/>
                <w:szCs w:val="8"/>
                <w:color w:val="auto"/>
              </w:rPr>
              <w:t>Senior Secured Term Debt (13.0% Cash, Due 12/31/15)</w:t>
            </w: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60" w:type="dxa"/>
            <w:vAlign w:val="bottom"/>
            <w:vMerge w:val="continue"/>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32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8"/>
                <w:szCs w:val="8"/>
                <w:color w:val="auto"/>
              </w:rPr>
              <w:t>1,248</w:t>
            </w:r>
          </w:p>
        </w:tc>
        <w:tc>
          <w:tcPr>
            <w:tcW w:w="180" w:type="dxa"/>
            <w:vAlign w:val="bottom"/>
          </w:tcPr>
          <w:p>
            <w:pPr>
              <w:spacing w:after="0"/>
              <w:rPr>
                <w:sz w:val="8"/>
                <w:szCs w:val="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8"/>
                <w:szCs w:val="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900" w:type="dxa"/>
            <w:vAlign w:val="bottom"/>
            <w:gridSpan w:val="2"/>
          </w:tcPr>
          <w:p>
            <w:pPr>
              <w:jc w:val="right"/>
              <w:spacing w:after="0"/>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Pickaway Plains Ambulance Services,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Medical Transportation Services</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Warrants (5% fully diluted)</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w:t>
            </w:r>
          </w:p>
        </w:tc>
        <w:tc>
          <w:tcPr>
            <w:tcW w:w="240" w:type="dxa"/>
            <w:vAlign w:val="bottom"/>
            <w:vMerge w:val="continue"/>
          </w:tcPr>
          <w:p>
            <w:pPr>
              <w:spacing w:after="0"/>
              <w:rPr>
                <w:sz w:val="7"/>
                <w:szCs w:val="7"/>
                <w:color w:val="auto"/>
              </w:rPr>
            </w:pPr>
          </w:p>
        </w:tc>
        <w:tc>
          <w:tcPr>
            <w:tcW w:w="900" w:type="dxa"/>
            <w:vAlign w:val="bottom"/>
            <w:gridSpan w:val="2"/>
          </w:tcPr>
          <w:p>
            <w:pPr>
              <w:jc w:val="right"/>
              <w:spacing w:after="0" w:line="82"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Source Capital ABUTEC, LLC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Oil &amp; Gas Services</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Senior Secured Debt (10% Cash, Due 12/28/17)</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1,000</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1,000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1,000</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spacing w:after="0" w:line="82" w:lineRule="exact"/>
              <w:rPr>
                <w:sz w:val="20"/>
                <w:szCs w:val="20"/>
                <w:color w:val="auto"/>
              </w:rPr>
            </w:pPr>
            <w:r>
              <w:rPr>
                <w:rFonts w:ascii="Arial" w:cs="Arial" w:eastAsia="Arial" w:hAnsi="Arial"/>
                <w:sz w:val="8"/>
                <w:szCs w:val="8"/>
                <w:color w:val="auto"/>
              </w:rPr>
              <w:t>0.7%</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Source Capital ABUTEC,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Oil &amp; Gas Services</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Subordinated Debt (12% Cash, 3% PIK, Due 12/28/17)</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4,000</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4,000</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4,000</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2.8%</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Source Capital ABUTEC,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Oil &amp; Gas Services</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Preferred Membership Units (15.5% ownership)</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1,240</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1,240</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0.9%</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6,240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6,240</w:t>
            </w:r>
          </w:p>
        </w:tc>
        <w:tc>
          <w:tcPr>
            <w:tcW w:w="240" w:type="dxa"/>
            <w:vAlign w:val="bottom"/>
            <w:vMerge w:val="continue"/>
          </w:tcPr>
          <w:p>
            <w:pPr>
              <w:spacing w:after="0"/>
              <w:rPr>
                <w:sz w:val="7"/>
                <w:szCs w:val="7"/>
                <w:color w:val="auto"/>
              </w:rPr>
            </w:pPr>
          </w:p>
        </w:tc>
        <w:tc>
          <w:tcPr>
            <w:tcW w:w="900" w:type="dxa"/>
            <w:vAlign w:val="bottom"/>
            <w:gridSpan w:val="2"/>
          </w:tcPr>
          <w:p>
            <w:pPr>
              <w:jc w:val="right"/>
              <w:spacing w:after="0" w:line="82" w:lineRule="exact"/>
              <w:rPr>
                <w:sz w:val="20"/>
                <w:szCs w:val="20"/>
                <w:color w:val="auto"/>
              </w:rPr>
            </w:pPr>
            <w:r>
              <w:rPr>
                <w:rFonts w:ascii="Arial" w:cs="Arial" w:eastAsia="Arial" w:hAnsi="Arial"/>
                <w:sz w:val="8"/>
                <w:szCs w:val="8"/>
                <w:color w:val="auto"/>
              </w:rPr>
              <w:t>4.4%</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Source Capital Penray, LLC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Automotive Chemicals &amp; Lubricants</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(13% Cash, Due 2/17/17)</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2,500</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2,500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2,447</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spacing w:after="0" w:line="82" w:lineRule="exact"/>
              <w:rPr>
                <w:sz w:val="20"/>
                <w:szCs w:val="20"/>
                <w:color w:val="auto"/>
              </w:rPr>
            </w:pPr>
            <w:r>
              <w:rPr>
                <w:rFonts w:ascii="Arial" w:cs="Arial" w:eastAsia="Arial" w:hAnsi="Arial"/>
                <w:sz w:val="8"/>
                <w:szCs w:val="8"/>
                <w:color w:val="auto"/>
              </w:rPr>
              <w:t>1.7%</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Source Capital Penray,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Automotive Chemicals &amp; Lubricants</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Membership Units (136.12 units)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750</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539</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0.4%</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Source Capital Penray,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Automotive Chemicals &amp; Lubricants</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Warrants (6.65% fully diluted)</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297</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0.2%</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3,250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3,283</w:t>
            </w:r>
          </w:p>
        </w:tc>
        <w:tc>
          <w:tcPr>
            <w:tcW w:w="240" w:type="dxa"/>
            <w:vAlign w:val="bottom"/>
            <w:vMerge w:val="continue"/>
          </w:tcPr>
          <w:p>
            <w:pPr>
              <w:spacing w:after="0"/>
              <w:rPr>
                <w:sz w:val="7"/>
                <w:szCs w:val="7"/>
                <w:color w:val="auto"/>
              </w:rPr>
            </w:pPr>
          </w:p>
        </w:tc>
        <w:tc>
          <w:tcPr>
            <w:tcW w:w="900" w:type="dxa"/>
            <w:vAlign w:val="bottom"/>
            <w:gridSpan w:val="2"/>
          </w:tcPr>
          <w:p>
            <w:pPr>
              <w:jc w:val="right"/>
              <w:spacing w:after="0" w:line="82" w:lineRule="exact"/>
              <w:rPr>
                <w:sz w:val="20"/>
                <w:szCs w:val="20"/>
                <w:color w:val="auto"/>
              </w:rPr>
            </w:pPr>
            <w:r>
              <w:rPr>
                <w:rFonts w:ascii="Arial" w:cs="Arial" w:eastAsia="Arial" w:hAnsi="Arial"/>
                <w:sz w:val="8"/>
                <w:szCs w:val="8"/>
                <w:color w:val="auto"/>
              </w:rPr>
              <w:t>2.3%</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Source Capital SSCR, LLC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Suntan Lotion Manufacturer</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Senior Secured Term Debt (12% Cash, Due 7/6/17)</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12,000</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12,000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12,000</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spacing w:after="0" w:line="82" w:lineRule="exact"/>
              <w:rPr>
                <w:sz w:val="20"/>
                <w:szCs w:val="20"/>
                <w:color w:val="auto"/>
              </w:rPr>
            </w:pPr>
            <w:r>
              <w:rPr>
                <w:rFonts w:ascii="Arial" w:cs="Arial" w:eastAsia="Arial" w:hAnsi="Arial"/>
                <w:sz w:val="8"/>
                <w:szCs w:val="8"/>
                <w:color w:val="auto"/>
              </w:rPr>
              <w:t>8.5%</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Source Capital SSCR,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Suntan Lotion Manufacturer</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Preferred Membership Units (14.91% fully diluted)</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1,425</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893</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0.6%</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Source Capital SSCR,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Suntan Lotion Manufacturer</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Membership Unit Warrants (1.0% fully diluted)</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13,425</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12,893</w:t>
            </w:r>
          </w:p>
        </w:tc>
        <w:tc>
          <w:tcPr>
            <w:tcW w:w="240" w:type="dxa"/>
            <w:vAlign w:val="bottom"/>
            <w:vMerge w:val="continue"/>
          </w:tcPr>
          <w:p>
            <w:pPr>
              <w:spacing w:after="0"/>
              <w:rPr>
                <w:sz w:val="7"/>
                <w:szCs w:val="7"/>
                <w:color w:val="auto"/>
              </w:rPr>
            </w:pPr>
          </w:p>
        </w:tc>
        <w:tc>
          <w:tcPr>
            <w:tcW w:w="900" w:type="dxa"/>
            <w:vAlign w:val="bottom"/>
            <w:gridSpan w:val="2"/>
          </w:tcPr>
          <w:p>
            <w:pPr>
              <w:jc w:val="right"/>
              <w:spacing w:after="0" w:line="82" w:lineRule="exact"/>
              <w:rPr>
                <w:sz w:val="20"/>
                <w:szCs w:val="20"/>
                <w:color w:val="auto"/>
              </w:rPr>
            </w:pPr>
            <w:r>
              <w:rPr>
                <w:rFonts w:ascii="Arial" w:cs="Arial" w:eastAsia="Arial" w:hAnsi="Arial"/>
                <w:sz w:val="8"/>
                <w:szCs w:val="8"/>
                <w:color w:val="auto"/>
              </w:rPr>
              <w:t>9.1%</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Source Recycling, LLC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Metal Recycler</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(13% Cash, Due 9/2/16)</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4,900</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4,900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2,931</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spacing w:after="0" w:line="82" w:lineRule="exact"/>
              <w:rPr>
                <w:sz w:val="20"/>
                <w:szCs w:val="20"/>
                <w:color w:val="auto"/>
              </w:rPr>
            </w:pPr>
            <w:r>
              <w:rPr>
                <w:rFonts w:ascii="Arial" w:cs="Arial" w:eastAsia="Arial" w:hAnsi="Arial"/>
                <w:sz w:val="8"/>
                <w:szCs w:val="8"/>
                <w:color w:val="auto"/>
              </w:rPr>
              <w:t>2.1%</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Source Recycling,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Metal Recycler</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Membership Units (68,658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1,391</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Source Recycling,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Metal Recycler</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Common Unit Warrants (1.0% fully diluted)</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6,291</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2,931</w:t>
            </w:r>
          </w:p>
        </w:tc>
        <w:tc>
          <w:tcPr>
            <w:tcW w:w="240" w:type="dxa"/>
            <w:vAlign w:val="bottom"/>
            <w:vMerge w:val="continue"/>
          </w:tcPr>
          <w:p>
            <w:pPr>
              <w:spacing w:after="0"/>
              <w:rPr>
                <w:sz w:val="7"/>
                <w:szCs w:val="7"/>
                <w:color w:val="auto"/>
              </w:rPr>
            </w:pPr>
          </w:p>
        </w:tc>
        <w:tc>
          <w:tcPr>
            <w:tcW w:w="900" w:type="dxa"/>
            <w:vAlign w:val="bottom"/>
            <w:gridSpan w:val="2"/>
          </w:tcPr>
          <w:p>
            <w:pPr>
              <w:jc w:val="right"/>
              <w:spacing w:after="0" w:line="82" w:lineRule="exact"/>
              <w:rPr>
                <w:sz w:val="20"/>
                <w:szCs w:val="20"/>
                <w:color w:val="auto"/>
              </w:rPr>
            </w:pPr>
            <w:r>
              <w:rPr>
                <w:rFonts w:ascii="Arial" w:cs="Arial" w:eastAsia="Arial" w:hAnsi="Arial"/>
                <w:sz w:val="8"/>
                <w:szCs w:val="8"/>
                <w:color w:val="auto"/>
              </w:rPr>
              <w:t>2.1%</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Sparus Holdings</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Energy Services</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(12% Cash, Due 3/18/14)</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7,000</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7,000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7,000</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spacing w:after="0" w:line="82" w:lineRule="exact"/>
              <w:rPr>
                <w:sz w:val="20"/>
                <w:szCs w:val="20"/>
                <w:color w:val="auto"/>
              </w:rPr>
            </w:pPr>
            <w:r>
              <w:rPr>
                <w:rFonts w:ascii="Arial" w:cs="Arial" w:eastAsia="Arial" w:hAnsi="Arial"/>
                <w:sz w:val="8"/>
                <w:szCs w:val="8"/>
                <w:color w:val="auto"/>
              </w:rPr>
              <w:t>4.9%</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Sparus Holdings</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Energy Services</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Series B Preferred Stock (2,852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500</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287</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0.2%</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Sparus Holdings</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Energy Services</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Warrants (3,491 shares)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7,500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7,287</w:t>
            </w:r>
          </w:p>
        </w:tc>
        <w:tc>
          <w:tcPr>
            <w:tcW w:w="240" w:type="dxa"/>
            <w:vAlign w:val="bottom"/>
            <w:vMerge w:val="continue"/>
          </w:tcPr>
          <w:p>
            <w:pPr>
              <w:spacing w:after="0"/>
              <w:rPr>
                <w:sz w:val="7"/>
                <w:szCs w:val="7"/>
                <w:color w:val="auto"/>
              </w:rPr>
            </w:pPr>
          </w:p>
        </w:tc>
        <w:tc>
          <w:tcPr>
            <w:tcW w:w="900" w:type="dxa"/>
            <w:vAlign w:val="bottom"/>
            <w:gridSpan w:val="2"/>
          </w:tcPr>
          <w:p>
            <w:pPr>
              <w:jc w:val="right"/>
              <w:spacing w:after="0" w:line="82" w:lineRule="exact"/>
              <w:rPr>
                <w:sz w:val="20"/>
                <w:szCs w:val="20"/>
                <w:color w:val="auto"/>
              </w:rPr>
            </w:pPr>
            <w:r>
              <w:rPr>
                <w:rFonts w:ascii="Arial" w:cs="Arial" w:eastAsia="Arial" w:hAnsi="Arial"/>
                <w:sz w:val="8"/>
                <w:szCs w:val="8"/>
                <w:color w:val="auto"/>
              </w:rPr>
              <w:t>5.1%</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STX Healthcare Management Services, Inc.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Dentistry Services</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(14% Cash, Due 7/31/15)</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6,625</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6,593</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6,625</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spacing w:after="0" w:line="82" w:lineRule="exact"/>
              <w:rPr>
                <w:sz w:val="20"/>
                <w:szCs w:val="20"/>
                <w:color w:val="auto"/>
              </w:rPr>
            </w:pPr>
            <w:r>
              <w:rPr>
                <w:rFonts w:ascii="Arial" w:cs="Arial" w:eastAsia="Arial" w:hAnsi="Arial"/>
                <w:sz w:val="8"/>
                <w:szCs w:val="8"/>
                <w:color w:val="auto"/>
              </w:rPr>
              <w:t>4.6%</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STX Healthcare Management Services,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Dentistry Services</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Common Stock (1,200,000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1,200</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680</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0.5%</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STX Healthcare Management Services,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Dentistry Services</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Warrants (845,784 shares)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218</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680</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0.5%</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8,011</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7,984</w:t>
            </w:r>
          </w:p>
        </w:tc>
        <w:tc>
          <w:tcPr>
            <w:tcW w:w="240" w:type="dxa"/>
            <w:vAlign w:val="bottom"/>
            <w:vMerge w:val="continue"/>
          </w:tcPr>
          <w:p>
            <w:pPr>
              <w:spacing w:after="0"/>
              <w:rPr>
                <w:sz w:val="7"/>
                <w:szCs w:val="7"/>
                <w:color w:val="auto"/>
              </w:rPr>
            </w:pPr>
          </w:p>
        </w:tc>
        <w:tc>
          <w:tcPr>
            <w:tcW w:w="900" w:type="dxa"/>
            <w:vAlign w:val="bottom"/>
            <w:gridSpan w:val="2"/>
          </w:tcPr>
          <w:p>
            <w:pPr>
              <w:jc w:val="right"/>
              <w:spacing w:after="0" w:line="82" w:lineRule="exact"/>
              <w:rPr>
                <w:sz w:val="20"/>
                <w:szCs w:val="20"/>
                <w:color w:val="auto"/>
              </w:rPr>
            </w:pPr>
            <w:r>
              <w:rPr>
                <w:rFonts w:ascii="Arial" w:cs="Arial" w:eastAsia="Arial" w:hAnsi="Arial"/>
                <w:sz w:val="8"/>
                <w:szCs w:val="8"/>
                <w:color w:val="auto"/>
              </w:rPr>
              <w:t>5.6%</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Take 5 Oil Change, LLC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Quick Lube Services</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Senior Secured Debt (10% Cash, Due 11/28/16)</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12,000</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12,000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12,000</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spacing w:after="0" w:line="82" w:lineRule="exact"/>
              <w:rPr>
                <w:sz w:val="20"/>
                <w:szCs w:val="20"/>
                <w:color w:val="auto"/>
              </w:rPr>
            </w:pPr>
            <w:r>
              <w:rPr>
                <w:rFonts w:ascii="Arial" w:cs="Arial" w:eastAsia="Arial" w:hAnsi="Arial"/>
                <w:sz w:val="8"/>
                <w:szCs w:val="8"/>
                <w:color w:val="auto"/>
              </w:rPr>
              <w:t>8.4%</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Take 5 Oil Change,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Quick Lube Services</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Common Stock (10,692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1,069</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1,248</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0.9%</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13,069</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13,248</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spacing w:after="0" w:line="82" w:lineRule="exact"/>
              <w:rPr>
                <w:sz w:val="20"/>
                <w:szCs w:val="20"/>
                <w:color w:val="auto"/>
              </w:rPr>
            </w:pPr>
            <w:r>
              <w:rPr>
                <w:rFonts w:ascii="Arial" w:cs="Arial" w:eastAsia="Arial" w:hAnsi="Arial"/>
                <w:sz w:val="8"/>
                <w:szCs w:val="8"/>
                <w:color w:val="auto"/>
              </w:rPr>
              <w:t>9.3%</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color w:val="auto"/>
              </w:rPr>
              <w:t>V12 Holdings</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Data Processing &amp; Digital Marketing</w:t>
            </w:r>
          </w:p>
        </w:tc>
        <w:tc>
          <w:tcPr>
            <w:tcW w:w="3220" w:type="dxa"/>
            <w:vAlign w:val="bottom"/>
            <w:gridSpan w:val="3"/>
            <w:vMerge w:val="restart"/>
          </w:tcPr>
          <w:p>
            <w:pPr>
              <w:ind w:left="120"/>
              <w:spacing w:after="0"/>
              <w:rPr>
                <w:sz w:val="20"/>
                <w:szCs w:val="20"/>
                <w:color w:val="auto"/>
              </w:rPr>
            </w:pPr>
            <w:r>
              <w:rPr>
                <w:rFonts w:ascii="Arial" w:cs="Arial" w:eastAsia="Arial" w:hAnsi="Arial"/>
                <w:sz w:val="8"/>
                <w:szCs w:val="8"/>
                <w:color w:val="auto"/>
              </w:rPr>
              <w:t>Bridge Note (0% Cash, Due 12/31/14)</w:t>
            </w:r>
          </w:p>
        </w:tc>
        <w:tc>
          <w:tcPr>
            <w:tcW w:w="140" w:type="dxa"/>
            <w:vAlign w:val="bottom"/>
          </w:tcPr>
          <w:p>
            <w:pPr>
              <w:spacing w:after="0" w:line="20" w:lineRule="exact"/>
              <w:rPr>
                <w:sz w:val="1"/>
                <w:szCs w:val="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280</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32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280</w:t>
            </w:r>
          </w:p>
        </w:tc>
        <w:tc>
          <w:tcPr>
            <w:tcW w:w="240" w:type="dxa"/>
            <w:vAlign w:val="bottom"/>
            <w:vMerge w:val="continue"/>
          </w:tcPr>
          <w:p>
            <w:pPr>
              <w:spacing w:after="0"/>
              <w:rPr>
                <w:sz w:val="7"/>
                <w:szCs w:val="7"/>
                <w:color w:val="auto"/>
              </w:rPr>
            </w:pPr>
          </w:p>
        </w:tc>
        <w:tc>
          <w:tcPr>
            <w:tcW w:w="900" w:type="dxa"/>
            <w:vAlign w:val="bottom"/>
            <w:gridSpan w:val="2"/>
          </w:tcPr>
          <w:p>
            <w:pPr>
              <w:jc w:val="right"/>
              <w:spacing w:after="0" w:line="82" w:lineRule="exact"/>
              <w:rPr>
                <w:sz w:val="20"/>
                <w:szCs w:val="20"/>
                <w:color w:val="auto"/>
              </w:rPr>
            </w:pPr>
            <w:r>
              <w:rPr>
                <w:rFonts w:ascii="Arial" w:cs="Arial" w:eastAsia="Arial" w:hAnsi="Arial"/>
                <w:sz w:val="8"/>
                <w:szCs w:val="8"/>
                <w:color w:val="auto"/>
              </w:rPr>
              <w:t>0.2%</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V12 Holdings</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Data Processing &amp; Digital Marketing</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Tier 2 Note (0% Cash, Due 12/31/14)</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34</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34</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V12 Holdings</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Data Processing &amp; Digital Marketing</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Senior Subordinated Note (0% Cash, Due 12/31/14)</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2,200</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V12 Holdings</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Data Processing &amp; Digital Marketing</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Tier 3 Note (0% Cash, Due 12/31/14)</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380</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297</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0.2%</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V12 Holdings</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Data Processing &amp; Digital Marketing</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Jr. Subordinated Note (0% Cash, Due 12/31/14)</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33</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26</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V12 Holdings</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Data Processing &amp; Digital Marketing</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Tier 4 Note (0% Cash, Due 12/31/14)</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194</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V12 Holdings</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Data Processing &amp; Digital Marketing</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Series A-1 Preferred Stock (11,025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V12 Holdings</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Data Processing &amp; Digital Marketing</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Series A-3 Preferred Stock (204,082 shares)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V12 Holdings</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Data Processing &amp; Digital Marketing</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Series A-5 Preferred Stock (8,409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V12 Holdings</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Data Processing &amp; Digital Marketing</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Warrants (880,541 shares)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637</w:t>
            </w:r>
          </w:p>
        </w:tc>
        <w:tc>
          <w:tcPr>
            <w:tcW w:w="240" w:type="dxa"/>
            <w:vAlign w:val="bottom"/>
            <w:vMerge w:val="continue"/>
          </w:tcPr>
          <w:p>
            <w:pPr>
              <w:spacing w:after="0"/>
              <w:rPr>
                <w:sz w:val="7"/>
                <w:szCs w:val="7"/>
                <w:color w:val="auto"/>
              </w:rPr>
            </w:pPr>
          </w:p>
        </w:tc>
        <w:tc>
          <w:tcPr>
            <w:tcW w:w="900" w:type="dxa"/>
            <w:vAlign w:val="bottom"/>
            <w:gridSpan w:val="2"/>
          </w:tcPr>
          <w:p>
            <w:pPr>
              <w:jc w:val="right"/>
              <w:spacing w:after="0" w:line="82" w:lineRule="exact"/>
              <w:rPr>
                <w:sz w:val="20"/>
                <w:szCs w:val="20"/>
                <w:color w:val="auto"/>
              </w:rPr>
            </w:pPr>
            <w:r>
              <w:rPr>
                <w:rFonts w:ascii="Arial" w:cs="Arial" w:eastAsia="Arial" w:hAnsi="Arial"/>
                <w:sz w:val="8"/>
                <w:szCs w:val="8"/>
                <w:color w:val="auto"/>
              </w:rPr>
              <w:t>0.4%</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b w:val="1"/>
                <w:bCs w:val="1"/>
                <w:color w:val="auto"/>
              </w:rPr>
              <w:t>Sub Total Affiliate investments</w:t>
            </w: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jc w:val="right"/>
              <w:ind w:right="114"/>
              <w:spacing w:after="0"/>
              <w:rPr>
                <w:sz w:val="20"/>
                <w:szCs w:val="20"/>
                <w:color w:val="auto"/>
              </w:rPr>
            </w:pPr>
            <w:r>
              <w:rPr>
                <w:rFonts w:ascii="Arial" w:cs="Arial" w:eastAsia="Arial" w:hAnsi="Arial"/>
                <w:sz w:val="5"/>
                <w:szCs w:val="5"/>
                <w:color w:val="auto"/>
                <w:w w:val="70"/>
              </w:rPr>
              <w:t>$</w:t>
            </w: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122,655</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jc w:val="right"/>
              <w:ind w:right="94"/>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136,809</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spacing w:after="0" w:line="82" w:lineRule="exact"/>
              <w:rPr>
                <w:sz w:val="20"/>
                <w:szCs w:val="20"/>
                <w:color w:val="auto"/>
              </w:rPr>
            </w:pPr>
            <w:r>
              <w:rPr>
                <w:rFonts w:ascii="Arial" w:cs="Arial" w:eastAsia="Arial" w:hAnsi="Arial"/>
                <w:sz w:val="8"/>
                <w:szCs w:val="8"/>
                <w:color w:val="auto"/>
              </w:rPr>
              <w:t>96.1%</w:t>
            </w:r>
          </w:p>
        </w:tc>
        <w:tc>
          <w:tcPr>
            <w:tcW w:w="0" w:type="dxa"/>
            <w:vAlign w:val="bottom"/>
          </w:tcPr>
          <w:p>
            <w:pPr>
              <w:spacing w:after="0"/>
              <w:rPr>
                <w:sz w:val="1"/>
                <w:szCs w:val="1"/>
                <w:color w:val="auto"/>
              </w:rPr>
            </w:pPr>
          </w:p>
        </w:tc>
      </w:tr>
      <w:tr>
        <w:trPr>
          <w:trHeight w:val="81"/>
        </w:trPr>
        <w:tc>
          <w:tcPr>
            <w:tcW w:w="2060" w:type="dxa"/>
            <w:vAlign w:val="bottom"/>
          </w:tcPr>
          <w:p>
            <w:pPr>
              <w:spacing w:after="0" w:line="81" w:lineRule="exact"/>
              <w:rPr>
                <w:sz w:val="20"/>
                <w:szCs w:val="20"/>
                <w:color w:val="auto"/>
              </w:rPr>
            </w:pPr>
            <w:r>
              <w:rPr>
                <w:rFonts w:ascii="Arial" w:cs="Arial" w:eastAsia="Arial" w:hAnsi="Arial"/>
                <w:sz w:val="8"/>
                <w:szCs w:val="8"/>
                <w:b w:val="1"/>
                <w:bCs w:val="1"/>
                <w:color w:val="auto"/>
              </w:rPr>
              <w:t>Control investments - 47.9%</w:t>
            </w: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60" w:type="dxa"/>
            <w:vAlign w:val="bottom"/>
            <w:shd w:val="clear" w:color="auto" w:fill="CCFFCC"/>
          </w:tcPr>
          <w:p>
            <w:pPr>
              <w:spacing w:after="0"/>
              <w:rPr>
                <w:sz w:val="20"/>
                <w:szCs w:val="20"/>
                <w:color w:val="auto"/>
              </w:rPr>
            </w:pPr>
            <w:r>
              <w:rPr>
                <w:rFonts w:ascii="Arial" w:cs="Arial" w:eastAsia="Arial" w:hAnsi="Arial"/>
                <w:sz w:val="8"/>
                <w:szCs w:val="8"/>
                <w:color w:val="auto"/>
              </w:rPr>
              <w:t>Best In Class</w:t>
            </w:r>
          </w:p>
        </w:tc>
        <w:tc>
          <w:tcPr>
            <w:tcW w:w="2200" w:type="dxa"/>
            <w:vAlign w:val="bottom"/>
            <w:gridSpan w:val="2"/>
            <w:shd w:val="clear" w:color="auto" w:fill="CCFFCC"/>
          </w:tcPr>
          <w:p>
            <w:pPr>
              <w:ind w:left="120"/>
              <w:spacing w:after="0"/>
              <w:rPr>
                <w:sz w:val="20"/>
                <w:szCs w:val="20"/>
                <w:color w:val="auto"/>
              </w:rPr>
            </w:pPr>
            <w:r>
              <w:rPr>
                <w:rFonts w:ascii="Arial" w:cs="Arial" w:eastAsia="Arial" w:hAnsi="Arial"/>
                <w:sz w:val="8"/>
                <w:szCs w:val="8"/>
                <w:color w:val="auto"/>
              </w:rPr>
              <w:t>Corporate Fulfillment</w:t>
            </w:r>
          </w:p>
        </w:tc>
        <w:tc>
          <w:tcPr>
            <w:tcW w:w="3220" w:type="dxa"/>
            <w:vAlign w:val="bottom"/>
            <w:gridSpan w:val="3"/>
            <w:shd w:val="clear" w:color="auto" w:fill="CCFFCC"/>
          </w:tcPr>
          <w:p>
            <w:pPr>
              <w:ind w:left="120"/>
              <w:spacing w:after="0"/>
              <w:rPr>
                <w:sz w:val="20"/>
                <w:szCs w:val="20"/>
                <w:color w:val="auto"/>
              </w:rPr>
            </w:pPr>
            <w:r>
              <w:rPr>
                <w:rFonts w:ascii="Arial" w:cs="Arial" w:eastAsia="Arial" w:hAnsi="Arial"/>
                <w:sz w:val="8"/>
                <w:szCs w:val="8"/>
                <w:color w:val="auto"/>
              </w:rPr>
              <w:t>Subordinated Debt (12.5% Cash, Due 12/31/13)</w:t>
            </w:r>
          </w:p>
        </w:tc>
        <w:tc>
          <w:tcPr>
            <w:tcW w:w="140" w:type="dxa"/>
            <w:vAlign w:val="bottom"/>
            <w:shd w:val="clear" w:color="auto" w:fill="CCFFCC"/>
          </w:tcPr>
          <w:p>
            <w:pPr>
              <w:jc w:val="right"/>
              <w:ind w:right="74"/>
              <w:spacing w:after="0"/>
              <w:rPr>
                <w:sz w:val="20"/>
                <w:szCs w:val="20"/>
                <w:color w:val="auto"/>
              </w:rPr>
            </w:pPr>
            <w:r>
              <w:rPr>
                <w:rFonts w:ascii="Arial" w:cs="Arial" w:eastAsia="Arial" w:hAnsi="Arial"/>
                <w:sz w:val="5"/>
                <w:szCs w:val="5"/>
                <w:color w:val="auto"/>
                <w:w w:val="70"/>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8"/>
                <w:szCs w:val="8"/>
                <w:color w:val="auto"/>
              </w:rPr>
              <w:t>728</w:t>
            </w:r>
          </w:p>
        </w:tc>
        <w:tc>
          <w:tcPr>
            <w:tcW w:w="180" w:type="dxa"/>
            <w:vAlign w:val="bottom"/>
            <w:shd w:val="clear" w:color="auto" w:fill="CCFFCC"/>
          </w:tcPr>
          <w:p>
            <w:pPr>
              <w:jc w:val="right"/>
              <w:ind w:right="114"/>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728</w:t>
            </w:r>
          </w:p>
        </w:tc>
        <w:tc>
          <w:tcPr>
            <w:tcW w:w="160" w:type="dxa"/>
            <w:vAlign w:val="bottom"/>
            <w:shd w:val="clear" w:color="auto" w:fill="CCFFCC"/>
          </w:tcPr>
          <w:p>
            <w:pPr>
              <w:jc w:val="right"/>
              <w:ind w:right="94"/>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728</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8"/>
                <w:szCs w:val="8"/>
                <w:color w:val="auto"/>
              </w:rPr>
              <w:t>0.5%</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Best In Class</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Corporate Fulfillment</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Class A Preferred Units (89 units)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272</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381</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0.3%</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Best In Class</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Corporate Fulfillment</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Class B Preferred Units (45 units)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56</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1,000</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1,165</w:t>
            </w:r>
          </w:p>
        </w:tc>
        <w:tc>
          <w:tcPr>
            <w:tcW w:w="240" w:type="dxa"/>
            <w:vAlign w:val="bottom"/>
            <w:vMerge w:val="continue"/>
          </w:tcPr>
          <w:p>
            <w:pPr>
              <w:spacing w:after="0"/>
              <w:rPr>
                <w:sz w:val="7"/>
                <w:szCs w:val="7"/>
                <w:color w:val="auto"/>
              </w:rPr>
            </w:pPr>
          </w:p>
        </w:tc>
        <w:tc>
          <w:tcPr>
            <w:tcW w:w="900" w:type="dxa"/>
            <w:vAlign w:val="bottom"/>
            <w:gridSpan w:val="2"/>
          </w:tcPr>
          <w:p>
            <w:pPr>
              <w:jc w:val="right"/>
              <w:spacing w:after="0" w:line="82" w:lineRule="exact"/>
              <w:rPr>
                <w:sz w:val="20"/>
                <w:szCs w:val="20"/>
                <w:color w:val="auto"/>
              </w:rPr>
            </w:pPr>
            <w:r>
              <w:rPr>
                <w:rFonts w:ascii="Arial" w:cs="Arial" w:eastAsia="Arial" w:hAnsi="Arial"/>
                <w:sz w:val="8"/>
                <w:szCs w:val="8"/>
                <w:color w:val="auto"/>
              </w:rPr>
              <w:t>0.8%</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line="113" w:lineRule="exact"/>
              <w:rPr>
                <w:sz w:val="20"/>
                <w:szCs w:val="20"/>
                <w:color w:val="auto"/>
              </w:rPr>
            </w:pPr>
            <w:r>
              <w:rPr>
                <w:rFonts w:ascii="Arial" w:cs="Arial" w:eastAsia="Arial" w:hAnsi="Arial"/>
                <w:sz w:val="8"/>
                <w:szCs w:val="8"/>
                <w:color w:val="auto"/>
              </w:rPr>
              <w:t xml:space="preserve">KBP Investments, LLC </w:t>
            </w:r>
            <w:r>
              <w:rPr>
                <w:rFonts w:ascii="Arial" w:cs="Arial" w:eastAsia="Arial" w:hAnsi="Arial"/>
                <w:sz w:val="13"/>
                <w:szCs w:val="13"/>
                <w:color w:val="auto"/>
                <w:vertAlign w:val="superscript"/>
              </w:rPr>
              <w:t>(5)</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QSR Franchisee</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Class A Preferred Stock (10% scheduled dividend)</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60" w:type="dxa"/>
            <w:vAlign w:val="bottom"/>
            <w:vMerge w:val="continue"/>
            <w:shd w:val="clear" w:color="auto" w:fill="CCFFCC"/>
          </w:tcPr>
          <w:p>
            <w:pPr>
              <w:spacing w:after="0"/>
              <w:rPr>
                <w:sz w:val="8"/>
                <w:szCs w:val="8"/>
                <w:color w:val="auto"/>
              </w:rPr>
            </w:pPr>
          </w:p>
        </w:tc>
        <w:tc>
          <w:tcPr>
            <w:tcW w:w="2200" w:type="dxa"/>
            <w:vAlign w:val="bottom"/>
            <w:gridSpan w:val="2"/>
            <w:vMerge w:val="continue"/>
            <w:shd w:val="clear" w:color="auto" w:fill="CCFFCC"/>
          </w:tcPr>
          <w:p>
            <w:pPr>
              <w:spacing w:after="0"/>
              <w:rPr>
                <w:sz w:val="8"/>
                <w:szCs w:val="8"/>
                <w:color w:val="auto"/>
              </w:rPr>
            </w:pPr>
          </w:p>
        </w:tc>
        <w:tc>
          <w:tcPr>
            <w:tcW w:w="3220" w:type="dxa"/>
            <w:vAlign w:val="bottom"/>
            <w:gridSpan w:val="3"/>
            <w:vMerge w:val="continue"/>
            <w:shd w:val="clear" w:color="auto" w:fill="CCFFCC"/>
          </w:tcPr>
          <w:p>
            <w:pPr>
              <w:spacing w:after="0"/>
              <w:rPr>
                <w:sz w:val="8"/>
                <w:szCs w:val="8"/>
                <w:color w:val="auto"/>
              </w:rPr>
            </w:pPr>
          </w:p>
        </w:tc>
        <w:tc>
          <w:tcPr>
            <w:tcW w:w="140" w:type="dxa"/>
            <w:vAlign w:val="bottom"/>
            <w:shd w:val="clear" w:color="auto" w:fill="CCFFCC"/>
          </w:tcPr>
          <w:p>
            <w:pPr>
              <w:spacing w:after="0"/>
              <w:rPr>
                <w:sz w:val="8"/>
                <w:szCs w:val="8"/>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8"/>
                <w:szCs w:val="8"/>
                <w:color w:val="auto"/>
              </w:rPr>
            </w:pPr>
          </w:p>
        </w:tc>
        <w:tc>
          <w:tcPr>
            <w:tcW w:w="84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8,269</w:t>
            </w:r>
          </w:p>
        </w:tc>
        <w:tc>
          <w:tcPr>
            <w:tcW w:w="160" w:type="dxa"/>
            <w:vAlign w:val="bottom"/>
            <w:shd w:val="clear" w:color="auto" w:fill="CCFFCC"/>
          </w:tcPr>
          <w:p>
            <w:pPr>
              <w:spacing w:after="0"/>
              <w:rPr>
                <w:sz w:val="8"/>
                <w:szCs w:val="8"/>
                <w:color w:val="auto"/>
              </w:rPr>
            </w:pPr>
          </w:p>
        </w:tc>
        <w:tc>
          <w:tcPr>
            <w:tcW w:w="86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8,269</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8"/>
                <w:szCs w:val="8"/>
                <w:color w:val="auto"/>
              </w:rPr>
              <w:t>5.8%</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KBP Investments,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QSR Franchisee</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Class A Common Stock (380,413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21,680</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15.2%</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8,269</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29,949</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spacing w:after="0" w:line="82" w:lineRule="exact"/>
              <w:rPr>
                <w:sz w:val="20"/>
                <w:szCs w:val="20"/>
                <w:color w:val="auto"/>
              </w:rPr>
            </w:pPr>
            <w:r>
              <w:rPr>
                <w:rFonts w:ascii="Arial" w:cs="Arial" w:eastAsia="Arial" w:hAnsi="Arial"/>
                <w:sz w:val="8"/>
                <w:szCs w:val="8"/>
                <w:color w:val="auto"/>
              </w:rPr>
              <w:t>21.0%</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color w:val="auto"/>
              </w:rPr>
              <w:t>Market E’s, LLC.</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Online Travel Sales &amp; Marketing</w:t>
            </w:r>
          </w:p>
        </w:tc>
        <w:tc>
          <w:tcPr>
            <w:tcW w:w="3220" w:type="dxa"/>
            <w:vAlign w:val="bottom"/>
            <w:gridSpan w:val="3"/>
            <w:vMerge w:val="restart"/>
          </w:tcPr>
          <w:p>
            <w:pPr>
              <w:ind w:left="120"/>
              <w:spacing w:after="0"/>
              <w:rPr>
                <w:sz w:val="20"/>
                <w:szCs w:val="20"/>
                <w:color w:val="auto"/>
              </w:rPr>
            </w:pPr>
            <w:r>
              <w:rPr>
                <w:rFonts w:ascii="Arial" w:cs="Arial" w:eastAsia="Arial" w:hAnsi="Arial"/>
                <w:sz w:val="8"/>
                <w:szCs w:val="8"/>
                <w:color w:val="auto"/>
              </w:rPr>
              <w:t>Senior Secured Debt (10% Cash, 9% PIK, Due 12/31/13)</w:t>
            </w:r>
          </w:p>
        </w:tc>
        <w:tc>
          <w:tcPr>
            <w:tcW w:w="140" w:type="dxa"/>
            <w:vAlign w:val="bottom"/>
          </w:tcPr>
          <w:p>
            <w:pPr>
              <w:spacing w:after="0" w:line="20" w:lineRule="exact"/>
              <w:rPr>
                <w:sz w:val="1"/>
                <w:szCs w:val="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1,178</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32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1,178</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1,178</w:t>
            </w:r>
          </w:p>
        </w:tc>
        <w:tc>
          <w:tcPr>
            <w:tcW w:w="240" w:type="dxa"/>
            <w:vAlign w:val="bottom"/>
            <w:vMerge w:val="continue"/>
          </w:tcPr>
          <w:p>
            <w:pPr>
              <w:spacing w:after="0"/>
              <w:rPr>
                <w:sz w:val="7"/>
                <w:szCs w:val="7"/>
                <w:color w:val="auto"/>
              </w:rPr>
            </w:pPr>
          </w:p>
        </w:tc>
        <w:tc>
          <w:tcPr>
            <w:tcW w:w="900" w:type="dxa"/>
            <w:vAlign w:val="bottom"/>
            <w:gridSpan w:val="2"/>
          </w:tcPr>
          <w:p>
            <w:pPr>
              <w:jc w:val="right"/>
              <w:spacing w:after="0" w:line="82" w:lineRule="exact"/>
              <w:rPr>
                <w:sz w:val="20"/>
                <w:szCs w:val="20"/>
                <w:color w:val="auto"/>
              </w:rPr>
            </w:pPr>
            <w:r>
              <w:rPr>
                <w:rFonts w:ascii="Arial" w:cs="Arial" w:eastAsia="Arial" w:hAnsi="Arial"/>
                <w:sz w:val="8"/>
                <w:szCs w:val="8"/>
                <w:color w:val="auto"/>
              </w:rPr>
              <w:t>0.8%</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Market E’s,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Online Travel Sales &amp; Marketing</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Class A Preferred Stock (240 shares)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240</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Market E’s,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Online Travel Sales &amp; Marketing</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Class B Preferred Stock (964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965</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243</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0.2%</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Market E’s,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Online Travel Sales &amp; Marketing</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Class A Common Stock (240 shares)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2,383</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1,421</w:t>
            </w:r>
          </w:p>
        </w:tc>
        <w:tc>
          <w:tcPr>
            <w:tcW w:w="240" w:type="dxa"/>
            <w:vAlign w:val="bottom"/>
            <w:vMerge w:val="continue"/>
          </w:tcPr>
          <w:p>
            <w:pPr>
              <w:spacing w:after="0"/>
              <w:rPr>
                <w:sz w:val="7"/>
                <w:szCs w:val="7"/>
                <w:color w:val="auto"/>
              </w:rPr>
            </w:pPr>
          </w:p>
        </w:tc>
        <w:tc>
          <w:tcPr>
            <w:tcW w:w="900" w:type="dxa"/>
            <w:vAlign w:val="bottom"/>
            <w:gridSpan w:val="2"/>
          </w:tcPr>
          <w:p>
            <w:pPr>
              <w:jc w:val="right"/>
              <w:spacing w:after="0" w:line="82" w:lineRule="exact"/>
              <w:rPr>
                <w:sz w:val="20"/>
                <w:szCs w:val="20"/>
                <w:color w:val="auto"/>
              </w:rPr>
            </w:pPr>
            <w:r>
              <w:rPr>
                <w:rFonts w:ascii="Arial" w:cs="Arial" w:eastAsia="Arial" w:hAnsi="Arial"/>
                <w:sz w:val="8"/>
                <w:szCs w:val="8"/>
                <w:color w:val="auto"/>
              </w:rPr>
              <w:t>1.0%</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Micro Precision, LLC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Conglomerate</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(10% Cash, Due 9/16/16)</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1,862</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1,862</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1,862</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spacing w:after="0" w:line="82" w:lineRule="exact"/>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Micro Precision, LLC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Conglomerate</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Subordinated Debt (14% Cash, 4% PIK, Due 9/16/16)</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3,427</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3,427</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3,427</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2.4%</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Micro Precision, LLC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Conglomerate</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Series A Preferred Units (47 shares)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1,629</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3,276</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2.3%</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6,918</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8,565</w:t>
            </w:r>
          </w:p>
        </w:tc>
        <w:tc>
          <w:tcPr>
            <w:tcW w:w="240" w:type="dxa"/>
            <w:vAlign w:val="bottom"/>
            <w:vMerge w:val="continue"/>
          </w:tcPr>
          <w:p>
            <w:pPr>
              <w:spacing w:after="0"/>
              <w:rPr>
                <w:sz w:val="7"/>
                <w:szCs w:val="7"/>
                <w:color w:val="auto"/>
              </w:rPr>
            </w:pPr>
          </w:p>
        </w:tc>
        <w:tc>
          <w:tcPr>
            <w:tcW w:w="900" w:type="dxa"/>
            <w:vAlign w:val="bottom"/>
            <w:gridSpan w:val="2"/>
          </w:tcPr>
          <w:p>
            <w:pPr>
              <w:jc w:val="right"/>
              <w:spacing w:after="0" w:line="82" w:lineRule="exact"/>
              <w:rPr>
                <w:sz w:val="20"/>
                <w:szCs w:val="20"/>
                <w:color w:val="auto"/>
              </w:rPr>
            </w:pPr>
            <w:r>
              <w:rPr>
                <w:rFonts w:ascii="Arial" w:cs="Arial" w:eastAsia="Arial" w:hAnsi="Arial"/>
                <w:sz w:val="8"/>
                <w:szCs w:val="8"/>
                <w:color w:val="auto"/>
              </w:rPr>
              <w:t>6.0%</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Navis Holdings, Inc.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Textile Equipment Manufacturer</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Senior Secured Term (14% Cash, 3% PIK, Due 2/1/16)</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6,602</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6,600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6,602</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spacing w:after="0" w:line="82" w:lineRule="exact"/>
              <w:rPr>
                <w:sz w:val="20"/>
                <w:szCs w:val="20"/>
                <w:color w:val="auto"/>
              </w:rPr>
            </w:pPr>
            <w:r>
              <w:rPr>
                <w:rFonts w:ascii="Arial" w:cs="Arial" w:eastAsia="Arial" w:hAnsi="Arial"/>
                <w:sz w:val="8"/>
                <w:szCs w:val="8"/>
                <w:color w:val="auto"/>
              </w:rPr>
              <w:t>4.6%</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Navis Holdings,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Textile Equipment Manufacturer</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Class A Preferred Stock (1,000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1,000</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1,101</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0.8%</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Navis Holdings,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Textile Equipment Manufacturer</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(300,000 shares)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1</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731</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0.5%</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7,601</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8,434</w:t>
            </w:r>
          </w:p>
        </w:tc>
        <w:tc>
          <w:tcPr>
            <w:tcW w:w="240" w:type="dxa"/>
            <w:vAlign w:val="bottom"/>
            <w:vMerge w:val="continue"/>
          </w:tcPr>
          <w:p>
            <w:pPr>
              <w:spacing w:after="0"/>
              <w:rPr>
                <w:sz w:val="7"/>
                <w:szCs w:val="7"/>
                <w:color w:val="auto"/>
              </w:rPr>
            </w:pPr>
          </w:p>
        </w:tc>
        <w:tc>
          <w:tcPr>
            <w:tcW w:w="900" w:type="dxa"/>
            <w:vAlign w:val="bottom"/>
            <w:gridSpan w:val="2"/>
          </w:tcPr>
          <w:p>
            <w:pPr>
              <w:jc w:val="right"/>
              <w:spacing w:after="0" w:line="82" w:lineRule="exact"/>
              <w:rPr>
                <w:sz w:val="20"/>
                <w:szCs w:val="20"/>
                <w:color w:val="auto"/>
              </w:rPr>
            </w:pPr>
            <w:r>
              <w:rPr>
                <w:rFonts w:ascii="Arial" w:cs="Arial" w:eastAsia="Arial" w:hAnsi="Arial"/>
                <w:sz w:val="8"/>
                <w:szCs w:val="8"/>
                <w:color w:val="auto"/>
              </w:rPr>
              <w:t>5.9%</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On-Site Fuel Services, Inc.</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Fuel Transportation Services</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(14% Cash, 4% PIK, Due 12/19/16)</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4,656</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4,656</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4,656</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spacing w:after="0" w:line="82" w:lineRule="exact"/>
              <w:rPr>
                <w:sz w:val="20"/>
                <w:szCs w:val="20"/>
                <w:color w:val="auto"/>
              </w:rPr>
            </w:pPr>
            <w:r>
              <w:rPr>
                <w:rFonts w:ascii="Arial" w:cs="Arial" w:eastAsia="Arial" w:hAnsi="Arial"/>
                <w:sz w:val="8"/>
                <w:szCs w:val="8"/>
                <w:color w:val="auto"/>
              </w:rPr>
              <w:t>3.3%</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On-Site Fuel Services,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Fuel Transportation Services</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Series A Preferred Stock (32,797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3,302</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2,309</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1.6%</w:t>
            </w:r>
          </w:p>
        </w:tc>
        <w:tc>
          <w:tcPr>
            <w:tcW w:w="0" w:type="dxa"/>
            <w:vAlign w:val="bottom"/>
          </w:tcPr>
          <w:p>
            <w:pPr>
              <w:spacing w:after="0"/>
              <w:rPr>
                <w:sz w:val="1"/>
                <w:szCs w:val="1"/>
                <w:color w:val="auto"/>
              </w:rPr>
            </w:pPr>
          </w:p>
        </w:tc>
      </w:tr>
      <w:tr>
        <w:trPr>
          <w:trHeight w:val="113"/>
        </w:trPr>
        <w:tc>
          <w:tcPr>
            <w:tcW w:w="2060" w:type="dxa"/>
            <w:vAlign w:val="bottom"/>
            <w:shd w:val="clear" w:color="auto" w:fill="CCFFCC"/>
          </w:tcPr>
          <w:p>
            <w:pPr>
              <w:spacing w:after="0" w:line="113" w:lineRule="exact"/>
              <w:rPr>
                <w:sz w:val="20"/>
                <w:szCs w:val="20"/>
                <w:color w:val="auto"/>
              </w:rPr>
            </w:pPr>
            <w:r>
              <w:rPr>
                <w:rFonts w:ascii="Arial" w:cs="Arial" w:eastAsia="Arial" w:hAnsi="Arial"/>
                <w:sz w:val="8"/>
                <w:szCs w:val="8"/>
                <w:color w:val="auto"/>
              </w:rPr>
              <w:t xml:space="preserve">On-Site Fuel Services, Inc. </w:t>
            </w:r>
            <w:r>
              <w:rPr>
                <w:rFonts w:ascii="Arial" w:cs="Arial" w:eastAsia="Arial" w:hAnsi="Arial"/>
                <w:sz w:val="13"/>
                <w:szCs w:val="13"/>
                <w:color w:val="auto"/>
                <w:vertAlign w:val="superscript"/>
              </w:rPr>
              <w:t>(5)</w:t>
            </w:r>
          </w:p>
        </w:tc>
        <w:tc>
          <w:tcPr>
            <w:tcW w:w="2200" w:type="dxa"/>
            <w:vAlign w:val="bottom"/>
            <w:gridSpan w:val="2"/>
            <w:shd w:val="clear" w:color="auto" w:fill="CCFFCC"/>
          </w:tcPr>
          <w:p>
            <w:pPr>
              <w:ind w:left="120"/>
              <w:spacing w:after="0"/>
              <w:rPr>
                <w:sz w:val="20"/>
                <w:szCs w:val="20"/>
                <w:color w:val="auto"/>
              </w:rPr>
            </w:pPr>
            <w:r>
              <w:rPr>
                <w:rFonts w:ascii="Arial" w:cs="Arial" w:eastAsia="Arial" w:hAnsi="Arial"/>
                <w:sz w:val="8"/>
                <w:szCs w:val="8"/>
                <w:color w:val="auto"/>
              </w:rPr>
              <w:t>Fuel Transportation Services</w:t>
            </w:r>
          </w:p>
        </w:tc>
        <w:tc>
          <w:tcPr>
            <w:tcW w:w="3220" w:type="dxa"/>
            <w:vAlign w:val="bottom"/>
            <w:gridSpan w:val="3"/>
            <w:shd w:val="clear" w:color="auto" w:fill="CCFFCC"/>
          </w:tcPr>
          <w:p>
            <w:pPr>
              <w:ind w:left="120"/>
              <w:spacing w:after="0"/>
              <w:rPr>
                <w:sz w:val="20"/>
                <w:szCs w:val="20"/>
                <w:color w:val="auto"/>
              </w:rPr>
            </w:pPr>
            <w:r>
              <w:rPr>
                <w:rFonts w:ascii="Arial" w:cs="Arial" w:eastAsia="Arial" w:hAnsi="Arial"/>
                <w:sz w:val="8"/>
                <w:szCs w:val="8"/>
                <w:color w:val="auto"/>
              </w:rPr>
              <w:t>Series B Preferred Stock (14% scheduled cash dividend, 4% PIK dividend)</w:t>
            </w:r>
          </w:p>
        </w:tc>
        <w:tc>
          <w:tcPr>
            <w:tcW w:w="140" w:type="dxa"/>
            <w:vAlign w:val="bottom"/>
            <w:shd w:val="clear" w:color="auto" w:fill="CCFFCC"/>
          </w:tcPr>
          <w:p>
            <w:pPr>
              <w:spacing w:after="0"/>
              <w:rPr>
                <w:sz w:val="9"/>
                <w:szCs w:val="9"/>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9"/>
                <w:szCs w:val="9"/>
                <w:color w:val="auto"/>
              </w:rPr>
            </w:pPr>
          </w:p>
        </w:tc>
        <w:tc>
          <w:tcPr>
            <w:tcW w:w="84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2,341</w:t>
            </w:r>
          </w:p>
        </w:tc>
        <w:tc>
          <w:tcPr>
            <w:tcW w:w="160" w:type="dxa"/>
            <w:vAlign w:val="bottom"/>
            <w:shd w:val="clear" w:color="auto" w:fill="CCFFCC"/>
          </w:tcPr>
          <w:p>
            <w:pPr>
              <w:spacing w:after="0"/>
              <w:rPr>
                <w:sz w:val="9"/>
                <w:szCs w:val="9"/>
                <w:color w:val="auto"/>
              </w:rPr>
            </w:pPr>
          </w:p>
        </w:tc>
        <w:tc>
          <w:tcPr>
            <w:tcW w:w="860" w:type="dxa"/>
            <w:vAlign w:val="bottom"/>
            <w:gridSpan w:val="2"/>
            <w:shd w:val="clear" w:color="auto" w:fill="CCFFCC"/>
          </w:tcPr>
          <w:p>
            <w:pPr>
              <w:jc w:val="right"/>
              <w:ind w:right="240"/>
              <w:spacing w:after="0"/>
              <w:rPr>
                <w:sz w:val="20"/>
                <w:szCs w:val="20"/>
                <w:color w:val="auto"/>
              </w:rPr>
            </w:pPr>
            <w:r>
              <w:rPr>
                <w:rFonts w:ascii="Arial" w:cs="Arial" w:eastAsia="Arial" w:hAnsi="Arial"/>
                <w:sz w:val="8"/>
                <w:szCs w:val="8"/>
                <w:color w:val="auto"/>
              </w:rPr>
              <w:t>587</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8"/>
                <w:szCs w:val="8"/>
                <w:color w:val="auto"/>
              </w:rPr>
              <w:t>0.4%</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On-Site Fuel Services,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Fuel Transportation Services</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Common Stock (33,107 shares)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33</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1,492</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1.1%</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10,332</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9,044</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spacing w:after="0" w:line="82" w:lineRule="exact"/>
              <w:rPr>
                <w:sz w:val="20"/>
                <w:szCs w:val="20"/>
                <w:color w:val="auto"/>
              </w:rPr>
            </w:pPr>
            <w:r>
              <w:rPr>
                <w:rFonts w:ascii="Arial" w:cs="Arial" w:eastAsia="Arial" w:hAnsi="Arial"/>
                <w:sz w:val="8"/>
                <w:szCs w:val="8"/>
                <w:color w:val="auto"/>
              </w:rPr>
              <w:t>6.4%</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color w:val="auto"/>
              </w:rPr>
              <w:t>Print Direction, Inc.</w:t>
            </w:r>
          </w:p>
        </w:tc>
        <w:tc>
          <w:tcPr>
            <w:tcW w:w="2200" w:type="dxa"/>
            <w:vAlign w:val="bottom"/>
            <w:gridSpan w:val="2"/>
            <w:vMerge w:val="restart"/>
          </w:tcPr>
          <w:p>
            <w:pPr>
              <w:ind w:left="120"/>
              <w:spacing w:after="0"/>
              <w:rPr>
                <w:sz w:val="20"/>
                <w:szCs w:val="20"/>
                <w:color w:val="auto"/>
              </w:rPr>
            </w:pPr>
            <w:r>
              <w:rPr>
                <w:rFonts w:ascii="Arial" w:cs="Arial" w:eastAsia="Arial" w:hAnsi="Arial"/>
                <w:sz w:val="8"/>
                <w:szCs w:val="8"/>
                <w:color w:val="auto"/>
              </w:rPr>
              <w:t>Printing Services</w:t>
            </w:r>
          </w:p>
        </w:tc>
        <w:tc>
          <w:tcPr>
            <w:tcW w:w="3220" w:type="dxa"/>
            <w:vAlign w:val="bottom"/>
            <w:gridSpan w:val="3"/>
            <w:vMerge w:val="restart"/>
          </w:tcPr>
          <w:p>
            <w:pPr>
              <w:ind w:left="120"/>
              <w:spacing w:after="0"/>
              <w:rPr>
                <w:sz w:val="20"/>
                <w:szCs w:val="20"/>
                <w:color w:val="auto"/>
              </w:rPr>
            </w:pPr>
            <w:r>
              <w:rPr>
                <w:rFonts w:ascii="Arial" w:cs="Arial" w:eastAsia="Arial" w:hAnsi="Arial"/>
                <w:sz w:val="8"/>
                <w:szCs w:val="8"/>
                <w:color w:val="auto"/>
              </w:rPr>
              <w:t>Subordinated Debt (12% Cash, 6% PIK, Due 9/27/13)</w:t>
            </w:r>
          </w:p>
        </w:tc>
        <w:tc>
          <w:tcPr>
            <w:tcW w:w="140" w:type="dxa"/>
            <w:vAlign w:val="bottom"/>
          </w:tcPr>
          <w:p>
            <w:pPr>
              <w:spacing w:after="0" w:line="20" w:lineRule="exact"/>
              <w:rPr>
                <w:sz w:val="1"/>
                <w:szCs w:val="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2,549</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32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2,549</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2,550</w:t>
            </w:r>
          </w:p>
        </w:tc>
        <w:tc>
          <w:tcPr>
            <w:tcW w:w="240" w:type="dxa"/>
            <w:vAlign w:val="bottom"/>
            <w:vMerge w:val="continue"/>
          </w:tcPr>
          <w:p>
            <w:pPr>
              <w:spacing w:after="0"/>
              <w:rPr>
                <w:sz w:val="7"/>
                <w:szCs w:val="7"/>
                <w:color w:val="auto"/>
              </w:rPr>
            </w:pPr>
          </w:p>
        </w:tc>
        <w:tc>
          <w:tcPr>
            <w:tcW w:w="900" w:type="dxa"/>
            <w:vAlign w:val="bottom"/>
            <w:gridSpan w:val="2"/>
          </w:tcPr>
          <w:p>
            <w:pPr>
              <w:jc w:val="right"/>
              <w:spacing w:after="0" w:line="82" w:lineRule="exact"/>
              <w:rPr>
                <w:sz w:val="20"/>
                <w:szCs w:val="20"/>
                <w:color w:val="auto"/>
              </w:rPr>
            </w:pPr>
            <w:r>
              <w:rPr>
                <w:rFonts w:ascii="Arial" w:cs="Arial" w:eastAsia="Arial" w:hAnsi="Arial"/>
                <w:sz w:val="8"/>
                <w:szCs w:val="8"/>
                <w:color w:val="auto"/>
              </w:rPr>
              <w:t>1.8%</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Print Direction,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Printing Services</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Subordinated Debt (7.75% Cash, Due 9/27/13)</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454</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454</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454</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0.3%</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Print Direction, Inc.</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Printing Services</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Subordinated Debt (12% Cash, 6% PIK, Due 9/27/13)</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763</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763</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763</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0.5%</w:t>
            </w:r>
          </w:p>
        </w:tc>
        <w:tc>
          <w:tcPr>
            <w:tcW w:w="0" w:type="dxa"/>
            <w:vAlign w:val="bottom"/>
          </w:tcPr>
          <w:p>
            <w:pPr>
              <w:spacing w:after="0"/>
              <w:rPr>
                <w:sz w:val="1"/>
                <w:szCs w:val="1"/>
                <w:color w:val="auto"/>
              </w:rPr>
            </w:pPr>
          </w:p>
        </w:tc>
      </w:tr>
      <w:tr>
        <w:trPr>
          <w:trHeight w:val="90"/>
        </w:trPr>
        <w:tc>
          <w:tcPr>
            <w:tcW w:w="2060" w:type="dxa"/>
            <w:vAlign w:val="bottom"/>
            <w:shd w:val="clear" w:color="auto" w:fill="CCFFCC"/>
          </w:tcPr>
          <w:p>
            <w:pPr>
              <w:spacing w:after="0" w:line="91" w:lineRule="exact"/>
              <w:rPr>
                <w:sz w:val="20"/>
                <w:szCs w:val="20"/>
                <w:color w:val="auto"/>
              </w:rPr>
            </w:pPr>
            <w:r>
              <w:rPr>
                <w:rFonts w:ascii="Arial" w:cs="Arial" w:eastAsia="Arial" w:hAnsi="Arial"/>
                <w:sz w:val="8"/>
                <w:szCs w:val="8"/>
                <w:color w:val="auto"/>
              </w:rPr>
              <w:t>Print Direction, Inc.</w:t>
            </w:r>
          </w:p>
        </w:tc>
        <w:tc>
          <w:tcPr>
            <w:tcW w:w="2200" w:type="dxa"/>
            <w:vAlign w:val="bottom"/>
            <w:gridSpan w:val="2"/>
            <w:shd w:val="clear" w:color="auto" w:fill="CCFFCC"/>
          </w:tcPr>
          <w:p>
            <w:pPr>
              <w:ind w:left="120"/>
              <w:spacing w:after="0" w:line="91" w:lineRule="exact"/>
              <w:rPr>
                <w:sz w:val="20"/>
                <w:szCs w:val="20"/>
                <w:color w:val="auto"/>
              </w:rPr>
            </w:pPr>
            <w:r>
              <w:rPr>
                <w:rFonts w:ascii="Arial" w:cs="Arial" w:eastAsia="Arial" w:hAnsi="Arial"/>
                <w:sz w:val="8"/>
                <w:szCs w:val="8"/>
                <w:color w:val="auto"/>
              </w:rPr>
              <w:t>Printing Services</w:t>
            </w:r>
          </w:p>
        </w:tc>
        <w:tc>
          <w:tcPr>
            <w:tcW w:w="3220" w:type="dxa"/>
            <w:vAlign w:val="bottom"/>
            <w:gridSpan w:val="3"/>
            <w:shd w:val="clear" w:color="auto" w:fill="CCFFCC"/>
          </w:tcPr>
          <w:p>
            <w:pPr>
              <w:ind w:left="120"/>
              <w:spacing w:after="0" w:line="91" w:lineRule="exact"/>
              <w:rPr>
                <w:sz w:val="20"/>
                <w:szCs w:val="20"/>
                <w:color w:val="auto"/>
              </w:rPr>
            </w:pPr>
            <w:r>
              <w:rPr>
                <w:rFonts w:ascii="Arial" w:cs="Arial" w:eastAsia="Arial" w:hAnsi="Arial"/>
                <w:sz w:val="8"/>
                <w:szCs w:val="8"/>
                <w:color w:val="auto"/>
              </w:rPr>
              <w:t>Common Stock (14,603 shares)</w:t>
            </w:r>
          </w:p>
        </w:tc>
        <w:tc>
          <w:tcPr>
            <w:tcW w:w="140" w:type="dxa"/>
            <w:vAlign w:val="bottom"/>
            <w:shd w:val="clear" w:color="auto" w:fill="CCFFCC"/>
          </w:tcPr>
          <w:p>
            <w:pPr>
              <w:spacing w:after="0"/>
              <w:rPr>
                <w:sz w:val="7"/>
                <w:szCs w:val="7"/>
                <w:color w:val="auto"/>
              </w:rPr>
            </w:pPr>
          </w:p>
        </w:tc>
        <w:tc>
          <w:tcPr>
            <w:tcW w:w="880" w:type="dxa"/>
            <w:vAlign w:val="bottom"/>
            <w:gridSpan w:val="2"/>
            <w:shd w:val="clear" w:color="auto" w:fill="CCFFCC"/>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FFCC"/>
          </w:tcPr>
          <w:p>
            <w:pPr>
              <w:spacing w:after="0"/>
              <w:rPr>
                <w:sz w:val="7"/>
                <w:szCs w:val="7"/>
                <w:color w:val="auto"/>
              </w:rPr>
            </w:pPr>
          </w:p>
        </w:tc>
        <w:tc>
          <w:tcPr>
            <w:tcW w:w="84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1,575</w:t>
            </w:r>
          </w:p>
        </w:tc>
        <w:tc>
          <w:tcPr>
            <w:tcW w:w="160" w:type="dxa"/>
            <w:vAlign w:val="bottom"/>
            <w:shd w:val="clear" w:color="auto" w:fill="CCFFCC"/>
          </w:tcPr>
          <w:p>
            <w:pPr>
              <w:spacing w:after="0"/>
              <w:rPr>
                <w:sz w:val="7"/>
                <w:szCs w:val="7"/>
                <w:color w:val="auto"/>
              </w:rPr>
            </w:pPr>
          </w:p>
        </w:tc>
        <w:tc>
          <w:tcPr>
            <w:tcW w:w="860" w:type="dxa"/>
            <w:vAlign w:val="bottom"/>
            <w:gridSpan w:val="2"/>
            <w:shd w:val="clear" w:color="auto" w:fill="CCFFCC"/>
          </w:tcPr>
          <w:p>
            <w:pPr>
              <w:jc w:val="right"/>
              <w:ind w:right="240"/>
              <w:spacing w:after="0" w:line="91" w:lineRule="exact"/>
              <w:rPr>
                <w:sz w:val="20"/>
                <w:szCs w:val="20"/>
                <w:color w:val="auto"/>
              </w:rPr>
            </w:pPr>
            <w:r>
              <w:rPr>
                <w:rFonts w:ascii="Arial" w:cs="Arial" w:eastAsia="Arial" w:hAnsi="Arial"/>
                <w:sz w:val="8"/>
                <w:szCs w:val="8"/>
                <w:color w:val="auto"/>
              </w:rPr>
              <w:t>4,418</w:t>
            </w:r>
          </w:p>
        </w:tc>
        <w:tc>
          <w:tcPr>
            <w:tcW w:w="900" w:type="dxa"/>
            <w:vAlign w:val="bottom"/>
            <w:gridSpan w:val="2"/>
            <w:shd w:val="clear" w:color="auto" w:fill="CCFFCC"/>
          </w:tcPr>
          <w:p>
            <w:pPr>
              <w:jc w:val="right"/>
              <w:spacing w:after="0" w:line="91" w:lineRule="exact"/>
              <w:rPr>
                <w:sz w:val="20"/>
                <w:szCs w:val="20"/>
                <w:color w:val="auto"/>
              </w:rPr>
            </w:pPr>
            <w:r>
              <w:rPr>
                <w:rFonts w:ascii="Arial" w:cs="Arial" w:eastAsia="Arial" w:hAnsi="Arial"/>
                <w:sz w:val="8"/>
                <w:szCs w:val="8"/>
                <w:color w:val="auto"/>
              </w:rPr>
              <w:t>3.1%</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5,341</w:t>
            </w: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8,185</w:t>
            </w:r>
          </w:p>
        </w:tc>
        <w:tc>
          <w:tcPr>
            <w:tcW w:w="240" w:type="dxa"/>
            <w:vAlign w:val="bottom"/>
            <w:vMerge w:val="continue"/>
          </w:tcPr>
          <w:p>
            <w:pPr>
              <w:spacing w:after="0"/>
              <w:rPr>
                <w:sz w:val="7"/>
                <w:szCs w:val="7"/>
                <w:color w:val="auto"/>
              </w:rPr>
            </w:pPr>
          </w:p>
        </w:tc>
        <w:tc>
          <w:tcPr>
            <w:tcW w:w="900" w:type="dxa"/>
            <w:vAlign w:val="bottom"/>
            <w:gridSpan w:val="2"/>
          </w:tcPr>
          <w:p>
            <w:pPr>
              <w:jc w:val="right"/>
              <w:spacing w:after="0" w:line="82" w:lineRule="exact"/>
              <w:rPr>
                <w:sz w:val="20"/>
                <w:szCs w:val="20"/>
                <w:color w:val="auto"/>
              </w:rPr>
            </w:pPr>
            <w:r>
              <w:rPr>
                <w:rFonts w:ascii="Arial" w:cs="Arial" w:eastAsia="Arial" w:hAnsi="Arial"/>
                <w:sz w:val="8"/>
                <w:szCs w:val="8"/>
                <w:color w:val="auto"/>
              </w:rPr>
              <w:t>5.7%</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FFCC"/>
          </w:tcPr>
          <w:p>
            <w:pPr>
              <w:spacing w:after="0"/>
              <w:rPr>
                <w:sz w:val="20"/>
                <w:szCs w:val="20"/>
                <w:color w:val="auto"/>
              </w:rPr>
            </w:pPr>
            <w:r>
              <w:rPr>
                <w:rFonts w:ascii="Arial" w:cs="Arial" w:eastAsia="Arial" w:hAnsi="Arial"/>
                <w:sz w:val="8"/>
                <w:szCs w:val="8"/>
                <w:color w:val="auto"/>
              </w:rPr>
              <w:t>Vita Nonwovens</w:t>
            </w:r>
          </w:p>
        </w:tc>
        <w:tc>
          <w:tcPr>
            <w:tcW w:w="2200" w:type="dxa"/>
            <w:vAlign w:val="bottom"/>
            <w:gridSpan w:val="2"/>
            <w:vMerge w:val="restart"/>
            <w:shd w:val="clear" w:color="auto" w:fill="CCFFCC"/>
          </w:tcPr>
          <w:p>
            <w:pPr>
              <w:ind w:left="120"/>
              <w:spacing w:after="0"/>
              <w:rPr>
                <w:sz w:val="20"/>
                <w:szCs w:val="20"/>
                <w:color w:val="auto"/>
              </w:rPr>
            </w:pPr>
            <w:r>
              <w:rPr>
                <w:rFonts w:ascii="Arial" w:cs="Arial" w:eastAsia="Arial" w:hAnsi="Arial"/>
                <w:sz w:val="8"/>
                <w:szCs w:val="8"/>
                <w:color w:val="auto"/>
              </w:rPr>
              <w:t>Textile Manufacturer</w:t>
            </w:r>
          </w:p>
        </w:tc>
        <w:tc>
          <w:tcPr>
            <w:tcW w:w="3220" w:type="dxa"/>
            <w:vAlign w:val="bottom"/>
            <w:gridSpan w:val="3"/>
            <w:vMerge w:val="restart"/>
            <w:shd w:val="clear" w:color="auto" w:fill="CCFFCC"/>
          </w:tcPr>
          <w:p>
            <w:pPr>
              <w:ind w:left="120"/>
              <w:spacing w:after="0"/>
              <w:rPr>
                <w:sz w:val="20"/>
                <w:szCs w:val="20"/>
                <w:color w:val="auto"/>
              </w:rPr>
            </w:pPr>
            <w:r>
              <w:rPr>
                <w:rFonts w:ascii="Arial" w:cs="Arial" w:eastAsia="Arial" w:hAnsi="Arial"/>
                <w:sz w:val="8"/>
                <w:szCs w:val="8"/>
                <w:color w:val="auto"/>
              </w:rPr>
              <w:t>Subordinated Debt (14% Cash, 4% PIK, Due 8/31/17)</w:t>
            </w:r>
          </w:p>
        </w:tc>
        <w:tc>
          <w:tcPr>
            <w:tcW w:w="140" w:type="dxa"/>
            <w:vAlign w:val="bottom"/>
            <w:shd w:val="clear" w:color="auto" w:fill="CCFFCC"/>
          </w:tcPr>
          <w:p>
            <w:pPr>
              <w:spacing w:after="0" w:line="20" w:lineRule="exact"/>
              <w:rPr>
                <w:sz w:val="1"/>
                <w:szCs w:val="1"/>
                <w:color w:val="auto"/>
              </w:rPr>
            </w:pPr>
          </w:p>
        </w:tc>
        <w:tc>
          <w:tcPr>
            <w:tcW w:w="8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8"/>
                <w:szCs w:val="8"/>
                <w:color w:val="auto"/>
              </w:rPr>
              <w:t>1,115</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shd w:val="clear" w:color="auto" w:fill="CCFFCC"/>
          </w:tcPr>
          <w:p>
            <w:pPr>
              <w:spacing w:after="0"/>
              <w:rPr>
                <w:sz w:val="7"/>
                <w:szCs w:val="7"/>
                <w:color w:val="auto"/>
              </w:rPr>
            </w:pPr>
          </w:p>
        </w:tc>
        <w:tc>
          <w:tcPr>
            <w:tcW w:w="2200" w:type="dxa"/>
            <w:vAlign w:val="bottom"/>
            <w:gridSpan w:val="2"/>
            <w:vMerge w:val="continue"/>
            <w:shd w:val="clear" w:color="auto" w:fill="CCFFCC"/>
          </w:tcPr>
          <w:p>
            <w:pPr>
              <w:spacing w:after="0"/>
              <w:rPr>
                <w:sz w:val="7"/>
                <w:szCs w:val="7"/>
                <w:color w:val="auto"/>
              </w:rPr>
            </w:pPr>
          </w:p>
        </w:tc>
        <w:tc>
          <w:tcPr>
            <w:tcW w:w="3220" w:type="dxa"/>
            <w:vAlign w:val="bottom"/>
            <w:gridSpan w:val="3"/>
            <w:vMerge w:val="continue"/>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880" w:type="dxa"/>
            <w:vAlign w:val="bottom"/>
            <w:gridSpan w:val="2"/>
            <w:vMerge w:val="continue"/>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1,115</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1,115</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spacing w:after="0" w:line="82" w:lineRule="exact"/>
              <w:rPr>
                <w:sz w:val="20"/>
                <w:szCs w:val="20"/>
                <w:color w:val="auto"/>
              </w:rPr>
            </w:pPr>
            <w:r>
              <w:rPr>
                <w:rFonts w:ascii="Arial" w:cs="Arial" w:eastAsia="Arial" w:hAnsi="Arial"/>
                <w:sz w:val="8"/>
                <w:szCs w:val="8"/>
                <w:color w:val="auto"/>
              </w:rPr>
              <w:t>0.8%</w:t>
            </w:r>
          </w:p>
        </w:tc>
        <w:tc>
          <w:tcPr>
            <w:tcW w:w="0" w:type="dxa"/>
            <w:vAlign w:val="bottom"/>
          </w:tcPr>
          <w:p>
            <w:pPr>
              <w:spacing w:after="0"/>
              <w:rPr>
                <w:sz w:val="1"/>
                <w:szCs w:val="1"/>
                <w:color w:val="auto"/>
              </w:rPr>
            </w:pPr>
          </w:p>
        </w:tc>
      </w:tr>
      <w:tr>
        <w:trPr>
          <w:trHeight w:val="90"/>
        </w:trPr>
        <w:tc>
          <w:tcPr>
            <w:tcW w:w="2060" w:type="dxa"/>
            <w:vAlign w:val="bottom"/>
          </w:tcPr>
          <w:p>
            <w:pPr>
              <w:spacing w:after="0" w:line="91" w:lineRule="exact"/>
              <w:rPr>
                <w:sz w:val="20"/>
                <w:szCs w:val="20"/>
                <w:color w:val="auto"/>
              </w:rPr>
            </w:pPr>
            <w:r>
              <w:rPr>
                <w:rFonts w:ascii="Arial" w:cs="Arial" w:eastAsia="Arial" w:hAnsi="Arial"/>
                <w:sz w:val="8"/>
                <w:szCs w:val="8"/>
                <w:color w:val="auto"/>
              </w:rPr>
              <w:t>Vita Nonwovens</w:t>
            </w:r>
          </w:p>
        </w:tc>
        <w:tc>
          <w:tcPr>
            <w:tcW w:w="2200" w:type="dxa"/>
            <w:vAlign w:val="bottom"/>
            <w:gridSpan w:val="2"/>
          </w:tcPr>
          <w:p>
            <w:pPr>
              <w:ind w:left="120"/>
              <w:spacing w:after="0" w:line="91" w:lineRule="exact"/>
              <w:rPr>
                <w:sz w:val="20"/>
                <w:szCs w:val="20"/>
                <w:color w:val="auto"/>
              </w:rPr>
            </w:pPr>
            <w:r>
              <w:rPr>
                <w:rFonts w:ascii="Arial" w:cs="Arial" w:eastAsia="Arial" w:hAnsi="Arial"/>
                <w:sz w:val="8"/>
                <w:szCs w:val="8"/>
                <w:color w:val="auto"/>
              </w:rPr>
              <w:t>Textile Manufacturer</w:t>
            </w:r>
          </w:p>
        </w:tc>
        <w:tc>
          <w:tcPr>
            <w:tcW w:w="3220" w:type="dxa"/>
            <w:vAlign w:val="bottom"/>
            <w:gridSpan w:val="3"/>
          </w:tcPr>
          <w:p>
            <w:pPr>
              <w:ind w:left="120"/>
              <w:spacing w:after="0" w:line="91" w:lineRule="exact"/>
              <w:rPr>
                <w:sz w:val="20"/>
                <w:szCs w:val="20"/>
                <w:color w:val="auto"/>
              </w:rPr>
            </w:pPr>
            <w:r>
              <w:rPr>
                <w:rFonts w:ascii="Arial" w:cs="Arial" w:eastAsia="Arial" w:hAnsi="Arial"/>
                <w:sz w:val="8"/>
                <w:szCs w:val="8"/>
                <w:color w:val="auto"/>
              </w:rPr>
              <w:t>Class A Preferred United (475,000 units)</w:t>
            </w:r>
          </w:p>
        </w:tc>
        <w:tc>
          <w:tcPr>
            <w:tcW w:w="140" w:type="dxa"/>
            <w:vAlign w:val="bottom"/>
          </w:tcPr>
          <w:p>
            <w:pPr>
              <w:spacing w:after="0"/>
              <w:rPr>
                <w:sz w:val="7"/>
                <w:szCs w:val="7"/>
                <w:color w:val="auto"/>
              </w:rPr>
            </w:pPr>
          </w:p>
        </w:tc>
        <w:tc>
          <w:tcPr>
            <w:tcW w:w="880" w:type="dxa"/>
            <w:vAlign w:val="bottom"/>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4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475</w:t>
            </w:r>
          </w:p>
        </w:tc>
        <w:tc>
          <w:tcPr>
            <w:tcW w:w="16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Arial" w:cs="Arial" w:eastAsia="Arial" w:hAnsi="Arial"/>
                <w:sz w:val="8"/>
                <w:szCs w:val="8"/>
                <w:color w:val="auto"/>
              </w:rPr>
              <w:t>475</w:t>
            </w:r>
          </w:p>
        </w:tc>
        <w:tc>
          <w:tcPr>
            <w:tcW w:w="900" w:type="dxa"/>
            <w:vAlign w:val="bottom"/>
            <w:gridSpan w:val="2"/>
          </w:tcPr>
          <w:p>
            <w:pPr>
              <w:jc w:val="right"/>
              <w:spacing w:after="0" w:line="91" w:lineRule="exact"/>
              <w:rPr>
                <w:sz w:val="20"/>
                <w:szCs w:val="20"/>
                <w:color w:val="auto"/>
              </w:rPr>
            </w:pPr>
            <w:r>
              <w:rPr>
                <w:rFonts w:ascii="Arial" w:cs="Arial" w:eastAsia="Arial" w:hAnsi="Arial"/>
                <w:sz w:val="8"/>
                <w:szCs w:val="8"/>
                <w:color w:val="auto"/>
              </w:rPr>
              <w:t>0.3%</w:t>
            </w:r>
          </w:p>
        </w:tc>
        <w:tc>
          <w:tcPr>
            <w:tcW w:w="0" w:type="dxa"/>
            <w:vAlign w:val="bottom"/>
          </w:tcPr>
          <w:p>
            <w:pPr>
              <w:spacing w:after="0"/>
              <w:rPr>
                <w:sz w:val="1"/>
                <w:szCs w:val="1"/>
                <w:color w:val="auto"/>
              </w:rPr>
            </w:pPr>
          </w:p>
        </w:tc>
      </w:tr>
      <w:tr>
        <w:trPr>
          <w:trHeight w:val="20"/>
        </w:trPr>
        <w:tc>
          <w:tcPr>
            <w:tcW w:w="20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0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298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14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1,590</w:t>
            </w:r>
          </w:p>
        </w:tc>
        <w:tc>
          <w:tcPr>
            <w:tcW w:w="240" w:type="dxa"/>
            <w:vAlign w:val="bottom"/>
            <w:vMerge w:val="continue"/>
            <w:shd w:val="clear" w:color="auto" w:fill="CCFFCC"/>
          </w:tcPr>
          <w:p>
            <w:pPr>
              <w:spacing w:after="0"/>
              <w:rPr>
                <w:sz w:val="7"/>
                <w:szCs w:val="7"/>
                <w:color w:val="auto"/>
              </w:rPr>
            </w:pPr>
          </w:p>
        </w:tc>
        <w:tc>
          <w:tcPr>
            <w:tcW w:w="160" w:type="dxa"/>
            <w:vAlign w:val="bottom"/>
            <w:shd w:val="clear" w:color="auto" w:fill="CCFFCC"/>
          </w:tcPr>
          <w:p>
            <w:pPr>
              <w:spacing w:after="0"/>
              <w:rPr>
                <w:sz w:val="7"/>
                <w:szCs w:val="7"/>
                <w:color w:val="auto"/>
              </w:rPr>
            </w:pPr>
          </w:p>
        </w:tc>
        <w:tc>
          <w:tcPr>
            <w:tcW w:w="620" w:type="dxa"/>
            <w:vAlign w:val="bottom"/>
            <w:shd w:val="clear" w:color="auto" w:fill="CCFFCC"/>
          </w:tcPr>
          <w:p>
            <w:pPr>
              <w:jc w:val="right"/>
              <w:spacing w:after="0" w:line="82" w:lineRule="exact"/>
              <w:rPr>
                <w:sz w:val="20"/>
                <w:szCs w:val="20"/>
                <w:color w:val="auto"/>
              </w:rPr>
            </w:pPr>
            <w:r>
              <w:rPr>
                <w:rFonts w:ascii="Arial" w:cs="Arial" w:eastAsia="Arial" w:hAnsi="Arial"/>
                <w:sz w:val="8"/>
                <w:szCs w:val="8"/>
                <w:color w:val="auto"/>
              </w:rPr>
              <w:t>1,590</w:t>
            </w:r>
          </w:p>
        </w:tc>
        <w:tc>
          <w:tcPr>
            <w:tcW w:w="240" w:type="dxa"/>
            <w:vAlign w:val="bottom"/>
            <w:vMerge w:val="continue"/>
            <w:shd w:val="clear" w:color="auto" w:fill="CCFFCC"/>
          </w:tcPr>
          <w:p>
            <w:pPr>
              <w:spacing w:after="0"/>
              <w:rPr>
                <w:sz w:val="7"/>
                <w:szCs w:val="7"/>
                <w:color w:val="auto"/>
              </w:rPr>
            </w:pPr>
          </w:p>
        </w:tc>
        <w:tc>
          <w:tcPr>
            <w:tcW w:w="900" w:type="dxa"/>
            <w:vAlign w:val="bottom"/>
            <w:gridSpan w:val="2"/>
            <w:shd w:val="clear" w:color="auto" w:fill="CCFFCC"/>
          </w:tcPr>
          <w:p>
            <w:pPr>
              <w:jc w:val="right"/>
              <w:spacing w:after="0" w:line="82" w:lineRule="exact"/>
              <w:rPr>
                <w:sz w:val="20"/>
                <w:szCs w:val="20"/>
                <w:color w:val="auto"/>
              </w:rPr>
            </w:pPr>
            <w:r>
              <w:rPr>
                <w:rFonts w:ascii="Arial" w:cs="Arial" w:eastAsia="Arial" w:hAnsi="Arial"/>
                <w:sz w:val="8"/>
                <w:szCs w:val="8"/>
                <w:color w:val="auto"/>
              </w:rPr>
              <w:t>1.1%</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8"/>
                <w:szCs w:val="8"/>
                <w:b w:val="1"/>
                <w:bCs w:val="1"/>
                <w:color w:val="auto"/>
              </w:rPr>
              <w:t>Sub Total Control investments</w:t>
            </w: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jc w:val="right"/>
              <w:ind w:right="114"/>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line="82" w:lineRule="exact"/>
              <w:rPr>
                <w:sz w:val="20"/>
                <w:szCs w:val="20"/>
                <w:color w:val="auto"/>
              </w:rPr>
            </w:pPr>
            <w:r>
              <w:rPr>
                <w:rFonts w:ascii="Arial" w:cs="Arial" w:eastAsia="Arial" w:hAnsi="Arial"/>
                <w:sz w:val="8"/>
                <w:szCs w:val="8"/>
                <w:color w:val="auto"/>
              </w:rPr>
              <w:t>43,434</w:t>
            </w:r>
          </w:p>
        </w:tc>
        <w:tc>
          <w:tcPr>
            <w:tcW w:w="240" w:type="dxa"/>
            <w:vAlign w:val="bottom"/>
            <w:vMerge w:val="continue"/>
          </w:tcPr>
          <w:p>
            <w:pPr>
              <w:spacing w:after="0"/>
              <w:rPr>
                <w:sz w:val="7"/>
                <w:szCs w:val="7"/>
                <w:color w:val="auto"/>
              </w:rPr>
            </w:pPr>
          </w:p>
        </w:tc>
        <w:tc>
          <w:tcPr>
            <w:tcW w:w="160" w:type="dxa"/>
            <w:vAlign w:val="bottom"/>
          </w:tcPr>
          <w:p>
            <w:pPr>
              <w:jc w:val="right"/>
              <w:ind w:right="94"/>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line="82" w:lineRule="exact"/>
              <w:rPr>
                <w:sz w:val="20"/>
                <w:szCs w:val="20"/>
                <w:color w:val="auto"/>
              </w:rPr>
            </w:pPr>
            <w:r>
              <w:rPr>
                <w:rFonts w:ascii="Arial" w:cs="Arial" w:eastAsia="Arial" w:hAnsi="Arial"/>
                <w:sz w:val="8"/>
                <w:szCs w:val="8"/>
                <w:color w:val="auto"/>
              </w:rPr>
              <w:t>68,353</w:t>
            </w:r>
          </w:p>
        </w:tc>
        <w:tc>
          <w:tcPr>
            <w:tcW w:w="240" w:type="dxa"/>
            <w:vAlign w:val="bottom"/>
            <w:vMerge w:val="continue"/>
          </w:tcPr>
          <w:p>
            <w:pPr>
              <w:spacing w:after="0"/>
              <w:rPr>
                <w:sz w:val="7"/>
                <w:szCs w:val="7"/>
                <w:color w:val="auto"/>
              </w:rPr>
            </w:pPr>
          </w:p>
        </w:tc>
        <w:tc>
          <w:tcPr>
            <w:tcW w:w="900" w:type="dxa"/>
            <w:vAlign w:val="bottom"/>
            <w:gridSpan w:val="2"/>
          </w:tcPr>
          <w:p>
            <w:pPr>
              <w:jc w:val="right"/>
              <w:spacing w:after="0" w:line="82" w:lineRule="exact"/>
              <w:rPr>
                <w:sz w:val="20"/>
                <w:szCs w:val="20"/>
                <w:color w:val="auto"/>
              </w:rPr>
            </w:pPr>
            <w:r>
              <w:rPr>
                <w:rFonts w:ascii="Arial" w:cs="Arial" w:eastAsia="Arial" w:hAnsi="Arial"/>
                <w:sz w:val="8"/>
                <w:szCs w:val="8"/>
                <w:color w:val="auto"/>
              </w:rPr>
              <w:t>47.9%</w:t>
            </w:r>
          </w:p>
        </w:tc>
        <w:tc>
          <w:tcPr>
            <w:tcW w:w="0" w:type="dxa"/>
            <w:vAlign w:val="bottom"/>
          </w:tcPr>
          <w:p>
            <w:pPr>
              <w:spacing w:after="0"/>
              <w:rPr>
                <w:sz w:val="1"/>
                <w:szCs w:val="1"/>
                <w:color w:val="auto"/>
              </w:rPr>
            </w:pPr>
          </w:p>
        </w:tc>
      </w:tr>
      <w:tr>
        <w:trPr>
          <w:trHeight w:val="82"/>
        </w:trPr>
        <w:tc>
          <w:tcPr>
            <w:tcW w:w="2060" w:type="dxa"/>
            <w:vAlign w:val="bottom"/>
            <w:tcBorders>
              <w:top w:val="single" w:sz="8" w:color="CCFFCC"/>
              <w:bottom w:val="single" w:sz="8" w:color="CCFFCC"/>
            </w:tcBorders>
            <w:shd w:val="clear" w:color="auto" w:fill="CCFFCC"/>
          </w:tcPr>
          <w:p>
            <w:pPr>
              <w:spacing w:after="0" w:line="81" w:lineRule="exact"/>
              <w:rPr>
                <w:sz w:val="20"/>
                <w:szCs w:val="20"/>
                <w:color w:val="auto"/>
              </w:rPr>
            </w:pPr>
            <w:r>
              <w:rPr>
                <w:rFonts w:ascii="Arial" w:cs="Arial" w:eastAsia="Arial" w:hAnsi="Arial"/>
                <w:sz w:val="8"/>
                <w:szCs w:val="8"/>
                <w:b w:val="1"/>
                <w:bCs w:val="1"/>
                <w:color w:val="auto"/>
              </w:rPr>
              <w:t>TOTAL INVESTMENTS - 199.3%</w:t>
            </w:r>
          </w:p>
        </w:tc>
        <w:tc>
          <w:tcPr>
            <w:tcW w:w="120" w:type="dxa"/>
            <w:vAlign w:val="bottom"/>
            <w:tcBorders>
              <w:top w:val="single" w:sz="8" w:color="CCFFCC"/>
              <w:bottom w:val="single" w:sz="8" w:color="CCFFCC"/>
            </w:tcBorders>
            <w:shd w:val="clear" w:color="auto" w:fill="CCFFCC"/>
          </w:tcPr>
          <w:p>
            <w:pPr>
              <w:spacing w:after="0"/>
              <w:rPr>
                <w:sz w:val="7"/>
                <w:szCs w:val="7"/>
                <w:color w:val="auto"/>
              </w:rPr>
            </w:pPr>
          </w:p>
        </w:tc>
        <w:tc>
          <w:tcPr>
            <w:tcW w:w="2080" w:type="dxa"/>
            <w:vAlign w:val="bottom"/>
            <w:tcBorders>
              <w:top w:val="single" w:sz="8" w:color="CCFFCC"/>
              <w:bottom w:val="single" w:sz="8" w:color="CCFFCC"/>
            </w:tcBorders>
            <w:shd w:val="clear" w:color="auto" w:fill="CCFFCC"/>
          </w:tcPr>
          <w:p>
            <w:pPr>
              <w:spacing w:after="0"/>
              <w:rPr>
                <w:sz w:val="7"/>
                <w:szCs w:val="7"/>
                <w:color w:val="auto"/>
              </w:rPr>
            </w:pPr>
          </w:p>
        </w:tc>
        <w:tc>
          <w:tcPr>
            <w:tcW w:w="120" w:type="dxa"/>
            <w:vAlign w:val="bottom"/>
            <w:tcBorders>
              <w:top w:val="single" w:sz="8" w:color="CCFFCC"/>
              <w:bottom w:val="single" w:sz="8" w:color="CCFFCC"/>
            </w:tcBorders>
            <w:shd w:val="clear" w:color="auto" w:fill="CCFFCC"/>
          </w:tcPr>
          <w:p>
            <w:pPr>
              <w:spacing w:after="0"/>
              <w:rPr>
                <w:sz w:val="7"/>
                <w:szCs w:val="7"/>
                <w:color w:val="auto"/>
              </w:rPr>
            </w:pPr>
          </w:p>
        </w:tc>
        <w:tc>
          <w:tcPr>
            <w:tcW w:w="2980" w:type="dxa"/>
            <w:vAlign w:val="bottom"/>
            <w:tcBorders>
              <w:top w:val="single" w:sz="8" w:color="CCFFCC"/>
              <w:bottom w:val="single" w:sz="8" w:color="CCFFCC"/>
            </w:tcBorders>
            <w:shd w:val="clear" w:color="auto" w:fill="CCFFCC"/>
          </w:tcPr>
          <w:p>
            <w:pPr>
              <w:spacing w:after="0"/>
              <w:rPr>
                <w:sz w:val="7"/>
                <w:szCs w:val="7"/>
                <w:color w:val="auto"/>
              </w:rPr>
            </w:pPr>
          </w:p>
        </w:tc>
        <w:tc>
          <w:tcPr>
            <w:tcW w:w="120" w:type="dxa"/>
            <w:vAlign w:val="bottom"/>
            <w:tcBorders>
              <w:top w:val="single" w:sz="8" w:color="CCFFCC"/>
              <w:bottom w:val="single" w:sz="8" w:color="CCFFCC"/>
            </w:tcBorders>
            <w:shd w:val="clear" w:color="auto" w:fill="CCFFCC"/>
          </w:tcPr>
          <w:p>
            <w:pPr>
              <w:spacing w:after="0"/>
              <w:rPr>
                <w:sz w:val="7"/>
                <w:szCs w:val="7"/>
                <w:color w:val="auto"/>
              </w:rPr>
            </w:pPr>
          </w:p>
        </w:tc>
        <w:tc>
          <w:tcPr>
            <w:tcW w:w="140" w:type="dxa"/>
            <w:vAlign w:val="bottom"/>
            <w:tcBorders>
              <w:top w:val="single" w:sz="8" w:color="CCFFCC"/>
              <w:bottom w:val="single" w:sz="8" w:color="CCFFCC"/>
            </w:tcBorders>
            <w:shd w:val="clear" w:color="auto" w:fill="CCFFCC"/>
          </w:tcPr>
          <w:p>
            <w:pPr>
              <w:spacing w:after="0"/>
              <w:rPr>
                <w:sz w:val="7"/>
                <w:szCs w:val="7"/>
                <w:color w:val="auto"/>
              </w:rPr>
            </w:pPr>
          </w:p>
        </w:tc>
        <w:tc>
          <w:tcPr>
            <w:tcW w:w="660" w:type="dxa"/>
            <w:vAlign w:val="bottom"/>
            <w:tcBorders>
              <w:top w:val="single" w:sz="8" w:color="CCFFCC"/>
              <w:bottom w:val="single" w:sz="8" w:color="CCFFCC"/>
            </w:tcBorders>
            <w:shd w:val="clear" w:color="auto" w:fill="CCFFCC"/>
          </w:tcPr>
          <w:p>
            <w:pPr>
              <w:spacing w:after="0"/>
              <w:rPr>
                <w:sz w:val="7"/>
                <w:szCs w:val="7"/>
                <w:color w:val="auto"/>
              </w:rPr>
            </w:pPr>
          </w:p>
        </w:tc>
        <w:tc>
          <w:tcPr>
            <w:tcW w:w="220" w:type="dxa"/>
            <w:vAlign w:val="bottom"/>
            <w:tcBorders>
              <w:top w:val="single" w:sz="8" w:color="CCFFCC"/>
              <w:bottom w:val="single" w:sz="8" w:color="CCFFCC"/>
            </w:tcBorders>
            <w:shd w:val="clear" w:color="auto" w:fill="CCFFCC"/>
          </w:tcPr>
          <w:p>
            <w:pPr>
              <w:spacing w:after="0"/>
              <w:rPr>
                <w:sz w:val="7"/>
                <w:szCs w:val="7"/>
                <w:color w:val="auto"/>
              </w:rPr>
            </w:pPr>
          </w:p>
        </w:tc>
        <w:tc>
          <w:tcPr>
            <w:tcW w:w="180" w:type="dxa"/>
            <w:vAlign w:val="bottom"/>
            <w:tcBorders>
              <w:top w:val="single" w:sz="8" w:color="auto"/>
              <w:bottom w:val="single" w:sz="8" w:color="auto"/>
            </w:tcBorders>
            <w:shd w:val="clear" w:color="auto" w:fill="CCFFCC"/>
          </w:tcPr>
          <w:p>
            <w:pPr>
              <w:jc w:val="right"/>
              <w:ind w:right="114"/>
              <w:spacing w:after="0"/>
              <w:rPr>
                <w:sz w:val="20"/>
                <w:szCs w:val="20"/>
                <w:color w:val="auto"/>
              </w:rPr>
            </w:pPr>
            <w:r>
              <w:rPr>
                <w:rFonts w:ascii="Arial" w:cs="Arial" w:eastAsia="Arial" w:hAnsi="Arial"/>
                <w:sz w:val="5"/>
                <w:szCs w:val="5"/>
                <w:b w:val="1"/>
                <w:bCs w:val="1"/>
                <w:color w:val="auto"/>
                <w:w w:val="70"/>
              </w:rPr>
              <w:t>$</w:t>
            </w:r>
          </w:p>
        </w:tc>
        <w:tc>
          <w:tcPr>
            <w:tcW w:w="600" w:type="dxa"/>
            <w:vAlign w:val="bottom"/>
            <w:tcBorders>
              <w:top w:val="single" w:sz="8" w:color="auto"/>
              <w:bottom w:val="single" w:sz="8" w:color="auto"/>
            </w:tcBorders>
            <w:shd w:val="clear" w:color="auto" w:fill="CCFFCC"/>
          </w:tcPr>
          <w:p>
            <w:pPr>
              <w:jc w:val="right"/>
              <w:spacing w:after="0" w:line="82" w:lineRule="exact"/>
              <w:rPr>
                <w:sz w:val="20"/>
                <w:szCs w:val="20"/>
                <w:color w:val="auto"/>
              </w:rPr>
            </w:pPr>
            <w:r>
              <w:rPr>
                <w:rFonts w:ascii="Arial" w:cs="Arial" w:eastAsia="Arial" w:hAnsi="Arial"/>
                <w:sz w:val="8"/>
                <w:szCs w:val="8"/>
                <w:b w:val="1"/>
                <w:bCs w:val="1"/>
                <w:color w:val="auto"/>
              </w:rPr>
              <w:t>227,698</w:t>
            </w:r>
          </w:p>
        </w:tc>
        <w:tc>
          <w:tcPr>
            <w:tcW w:w="240" w:type="dxa"/>
            <w:vAlign w:val="bottom"/>
            <w:tcBorders>
              <w:top w:val="single" w:sz="8" w:color="CCFFCC"/>
              <w:bottom w:val="single" w:sz="8" w:color="CCFFCC"/>
            </w:tcBorders>
            <w:shd w:val="clear" w:color="auto" w:fill="CCFFCC"/>
          </w:tcPr>
          <w:p>
            <w:pPr>
              <w:spacing w:after="0"/>
              <w:rPr>
                <w:sz w:val="7"/>
                <w:szCs w:val="7"/>
                <w:color w:val="auto"/>
              </w:rPr>
            </w:pPr>
          </w:p>
        </w:tc>
        <w:tc>
          <w:tcPr>
            <w:tcW w:w="160" w:type="dxa"/>
            <w:vAlign w:val="bottom"/>
            <w:tcBorders>
              <w:top w:val="single" w:sz="8" w:color="auto"/>
              <w:bottom w:val="single" w:sz="8" w:color="auto"/>
            </w:tcBorders>
            <w:shd w:val="clear" w:color="auto" w:fill="CCFFCC"/>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620" w:type="dxa"/>
            <w:vAlign w:val="bottom"/>
            <w:tcBorders>
              <w:top w:val="single" w:sz="8" w:color="auto"/>
              <w:bottom w:val="single" w:sz="8" w:color="auto"/>
            </w:tcBorders>
            <w:shd w:val="clear" w:color="auto" w:fill="CCFFCC"/>
          </w:tcPr>
          <w:p>
            <w:pPr>
              <w:jc w:val="right"/>
              <w:spacing w:after="0" w:line="82" w:lineRule="exact"/>
              <w:rPr>
                <w:sz w:val="20"/>
                <w:szCs w:val="20"/>
                <w:color w:val="auto"/>
              </w:rPr>
            </w:pPr>
            <w:r>
              <w:rPr>
                <w:rFonts w:ascii="Arial" w:cs="Arial" w:eastAsia="Arial" w:hAnsi="Arial"/>
                <w:sz w:val="8"/>
                <w:szCs w:val="8"/>
                <w:b w:val="1"/>
                <w:bCs w:val="1"/>
                <w:color w:val="auto"/>
              </w:rPr>
              <w:t>283,931</w:t>
            </w:r>
          </w:p>
        </w:tc>
        <w:tc>
          <w:tcPr>
            <w:tcW w:w="240" w:type="dxa"/>
            <w:vAlign w:val="bottom"/>
            <w:tcBorders>
              <w:top w:val="single" w:sz="8" w:color="CCFFCC"/>
              <w:bottom w:val="single" w:sz="8" w:color="CCFFCC"/>
            </w:tcBorders>
            <w:shd w:val="clear" w:color="auto" w:fill="CCFFCC"/>
          </w:tcPr>
          <w:p>
            <w:pPr>
              <w:spacing w:after="0"/>
              <w:rPr>
                <w:sz w:val="7"/>
                <w:szCs w:val="7"/>
                <w:color w:val="auto"/>
              </w:rPr>
            </w:pPr>
          </w:p>
        </w:tc>
        <w:tc>
          <w:tcPr>
            <w:tcW w:w="780" w:type="dxa"/>
            <w:vAlign w:val="bottom"/>
            <w:tcBorders>
              <w:top w:val="single" w:sz="8" w:color="auto"/>
              <w:bottom w:val="single" w:sz="8" w:color="auto"/>
            </w:tcBorders>
            <w:shd w:val="clear" w:color="auto" w:fill="CCFFCC"/>
          </w:tcPr>
          <w:p>
            <w:pPr>
              <w:jc w:val="right"/>
              <w:spacing w:after="0" w:line="82" w:lineRule="exact"/>
              <w:rPr>
                <w:sz w:val="20"/>
                <w:szCs w:val="20"/>
                <w:color w:val="auto"/>
              </w:rPr>
            </w:pPr>
            <w:r>
              <w:rPr>
                <w:rFonts w:ascii="Arial" w:cs="Arial" w:eastAsia="Arial" w:hAnsi="Arial"/>
                <w:sz w:val="8"/>
                <w:szCs w:val="8"/>
                <w:b w:val="1"/>
                <w:bCs w:val="1"/>
                <w:color w:val="auto"/>
              </w:rPr>
              <w:t>199.3</w:t>
            </w:r>
          </w:p>
        </w:tc>
        <w:tc>
          <w:tcPr>
            <w:tcW w:w="120" w:type="dxa"/>
            <w:vAlign w:val="bottom"/>
            <w:tcBorders>
              <w:top w:val="single" w:sz="8" w:color="CCFFCC"/>
              <w:bottom w:val="single" w:sz="8" w:color="CCFFCC"/>
            </w:tcBorders>
            <w:shd w:val="clear" w:color="auto" w:fill="CCFFCC"/>
          </w:tcPr>
          <w:p>
            <w:pPr>
              <w:jc w:val="right"/>
              <w:spacing w:after="0" w:line="82" w:lineRule="exact"/>
              <w:rPr>
                <w:sz w:val="20"/>
                <w:szCs w:val="20"/>
                <w:color w:val="auto"/>
              </w:rPr>
            </w:pPr>
            <w:r>
              <w:rPr>
                <w:rFonts w:ascii="Arial" w:cs="Arial" w:eastAsia="Arial" w:hAnsi="Arial"/>
                <w:sz w:val="8"/>
                <w:szCs w:val="8"/>
                <w:b w:val="1"/>
                <w:bCs w:val="1"/>
                <w:color w:val="auto"/>
                <w:w w:val="83"/>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370" w:hanging="370"/>
        <w:spacing w:after="0"/>
        <w:tabs>
          <w:tab w:leader="none" w:pos="370" w:val="left"/>
        </w:tabs>
        <w:numPr>
          <w:ilvl w:val="0"/>
          <w:numId w:val="54"/>
        </w:numPr>
        <w:rPr>
          <w:rFonts w:ascii="Arial" w:cs="Arial" w:eastAsia="Arial" w:hAnsi="Arial"/>
          <w:sz w:val="25"/>
          <w:szCs w:val="25"/>
          <w:color w:val="auto"/>
          <w:vertAlign w:val="superscript"/>
        </w:rPr>
      </w:pPr>
      <w:r>
        <w:rPr>
          <w:rFonts w:ascii="Arial" w:cs="Arial" w:eastAsia="Arial" w:hAnsi="Arial"/>
          <w:sz w:val="15"/>
          <w:szCs w:val="15"/>
          <w:color w:val="auto"/>
        </w:rPr>
        <w:t>The maturity date of the original investment has been extended</w:t>
      </w:r>
    </w:p>
    <w:p>
      <w:pPr>
        <w:spacing w:after="0" w:line="2" w:lineRule="exact"/>
        <w:rPr>
          <w:rFonts w:ascii="Arial" w:cs="Arial" w:eastAsia="Arial" w:hAnsi="Arial"/>
          <w:sz w:val="25"/>
          <w:szCs w:val="25"/>
          <w:color w:val="auto"/>
          <w:vertAlign w:val="superscript"/>
        </w:rPr>
      </w:pPr>
    </w:p>
    <w:p>
      <w:pPr>
        <w:ind w:left="370" w:hanging="370"/>
        <w:spacing w:after="0" w:line="186" w:lineRule="auto"/>
        <w:tabs>
          <w:tab w:leader="none" w:pos="370" w:val="left"/>
        </w:tabs>
        <w:numPr>
          <w:ilvl w:val="0"/>
          <w:numId w:val="54"/>
        </w:numPr>
        <w:rPr>
          <w:rFonts w:ascii="Arial" w:cs="Arial" w:eastAsia="Arial" w:hAnsi="Arial"/>
          <w:sz w:val="20"/>
          <w:szCs w:val="20"/>
          <w:color w:val="auto"/>
          <w:vertAlign w:val="superscript"/>
        </w:rPr>
      </w:pPr>
      <w:r>
        <w:rPr>
          <w:rFonts w:ascii="Arial" w:cs="Arial" w:eastAsia="Arial" w:hAnsi="Arial"/>
          <w:sz w:val="12"/>
          <w:szCs w:val="12"/>
          <w:color w:val="auto"/>
        </w:rPr>
        <w:t>Due to deterioration in credit quality, this investment is on non-accrual status</w:t>
      </w:r>
    </w:p>
    <w:p>
      <w:pPr>
        <w:spacing w:after="0" w:line="2" w:lineRule="exact"/>
        <w:rPr>
          <w:rFonts w:ascii="Arial" w:cs="Arial" w:eastAsia="Arial" w:hAnsi="Arial"/>
          <w:sz w:val="20"/>
          <w:szCs w:val="20"/>
          <w:color w:val="auto"/>
          <w:vertAlign w:val="superscript"/>
        </w:rPr>
      </w:pPr>
    </w:p>
    <w:p>
      <w:pPr>
        <w:ind w:left="370" w:hanging="370"/>
        <w:spacing w:after="0" w:line="186" w:lineRule="auto"/>
        <w:tabs>
          <w:tab w:leader="none" w:pos="370" w:val="left"/>
        </w:tabs>
        <w:numPr>
          <w:ilvl w:val="0"/>
          <w:numId w:val="54"/>
        </w:numPr>
        <w:rPr>
          <w:rFonts w:ascii="Arial" w:cs="Arial" w:eastAsia="Arial" w:hAnsi="Arial"/>
          <w:sz w:val="20"/>
          <w:szCs w:val="20"/>
          <w:color w:val="auto"/>
          <w:vertAlign w:val="superscript"/>
        </w:rPr>
      </w:pPr>
      <w:r>
        <w:rPr>
          <w:rFonts w:ascii="Arial" w:cs="Arial" w:eastAsia="Arial" w:hAnsi="Arial"/>
          <w:sz w:val="12"/>
          <w:szCs w:val="12"/>
          <w:color w:val="auto"/>
        </w:rPr>
        <w:t>All debt investments are income producing. Equity and warrant investments are non-income producing, unless otherwise noted.</w:t>
      </w:r>
    </w:p>
    <w:p>
      <w:pPr>
        <w:spacing w:after="0" w:line="2" w:lineRule="exact"/>
        <w:rPr>
          <w:rFonts w:ascii="Arial" w:cs="Arial" w:eastAsia="Arial" w:hAnsi="Arial"/>
          <w:sz w:val="20"/>
          <w:szCs w:val="20"/>
          <w:color w:val="auto"/>
          <w:vertAlign w:val="superscript"/>
        </w:rPr>
      </w:pPr>
    </w:p>
    <w:p>
      <w:pPr>
        <w:ind w:left="370" w:hanging="370"/>
        <w:spacing w:after="0" w:line="186" w:lineRule="auto"/>
        <w:tabs>
          <w:tab w:leader="none" w:pos="370" w:val="left"/>
        </w:tabs>
        <w:numPr>
          <w:ilvl w:val="0"/>
          <w:numId w:val="54"/>
        </w:numPr>
        <w:rPr>
          <w:rFonts w:ascii="Arial" w:cs="Arial" w:eastAsia="Arial" w:hAnsi="Arial"/>
          <w:sz w:val="20"/>
          <w:szCs w:val="20"/>
          <w:color w:val="auto"/>
          <w:vertAlign w:val="superscript"/>
        </w:rPr>
      </w:pPr>
      <w:r>
        <w:rPr>
          <w:rFonts w:ascii="Arial" w:cs="Arial" w:eastAsia="Arial" w:hAnsi="Arial"/>
          <w:sz w:val="12"/>
          <w:szCs w:val="12"/>
          <w:color w:val="auto"/>
        </w:rPr>
        <w:t>Percentages are based on net assets of $142,433 as of December 31, 2012.</w:t>
      </w:r>
    </w:p>
    <w:p>
      <w:pPr>
        <w:spacing w:after="0" w:line="2" w:lineRule="exact"/>
        <w:rPr>
          <w:rFonts w:ascii="Arial" w:cs="Arial" w:eastAsia="Arial" w:hAnsi="Arial"/>
          <w:sz w:val="20"/>
          <w:szCs w:val="20"/>
          <w:color w:val="auto"/>
          <w:vertAlign w:val="superscript"/>
        </w:rPr>
      </w:pPr>
    </w:p>
    <w:p>
      <w:pPr>
        <w:ind w:left="370" w:hanging="370"/>
        <w:spacing w:after="0" w:line="186" w:lineRule="auto"/>
        <w:tabs>
          <w:tab w:leader="none" w:pos="370" w:val="left"/>
        </w:tabs>
        <w:numPr>
          <w:ilvl w:val="0"/>
          <w:numId w:val="54"/>
        </w:numPr>
        <w:rPr>
          <w:rFonts w:ascii="Arial" w:cs="Arial" w:eastAsia="Arial" w:hAnsi="Arial"/>
          <w:sz w:val="20"/>
          <w:szCs w:val="20"/>
          <w:color w:val="auto"/>
          <w:vertAlign w:val="superscript"/>
        </w:rPr>
      </w:pPr>
      <w:r>
        <w:rPr>
          <w:rFonts w:ascii="Arial" w:cs="Arial" w:eastAsia="Arial" w:hAnsi="Arial"/>
          <w:sz w:val="12"/>
          <w:szCs w:val="12"/>
          <w:color w:val="auto"/>
        </w:rPr>
        <w:t>The equity investment is income producing.</w:t>
      </w:r>
    </w:p>
    <w:p>
      <w:pPr>
        <w:spacing w:after="0" w:line="172"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370"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6884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50"/>
          </w:cols>
          <w:pgMar w:left="230" w:top="783" w:right="219" w:bottom="1440" w:gutter="0" w:footer="0" w:header="0"/>
        </w:sectPr>
      </w:pPr>
    </w:p>
    <w:bookmarkStart w:id="79" w:name="page80"/>
    <w:bookmarkEnd w:id="79"/>
    <w:p>
      <w:pPr>
        <w:jc w:val="center"/>
        <w:ind w:right="10"/>
        <w:spacing w:after="0"/>
        <w:rPr>
          <w:sz w:val="20"/>
          <w:szCs w:val="20"/>
          <w:color w:val="auto"/>
        </w:rPr>
      </w:pPr>
      <w:r>
        <w:rPr>
          <w:rFonts w:ascii="Arial" w:cs="Arial" w:eastAsia="Arial" w:hAnsi="Arial"/>
          <w:sz w:val="15"/>
          <w:szCs w:val="15"/>
          <w:b w:val="1"/>
          <w:bCs w:val="1"/>
          <w:color w:val="auto"/>
        </w:rPr>
        <w:t>CAPITALA FINANCE CORP.</w:t>
      </w:r>
    </w:p>
    <w:p>
      <w:pPr>
        <w:spacing w:after="0" w:line="189"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89"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December 31, 2013</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Note 1. Organization</w:t>
      </w:r>
    </w:p>
    <w:p>
      <w:pPr>
        <w:spacing w:after="0" w:line="193" w:lineRule="exact"/>
        <w:rPr>
          <w:sz w:val="20"/>
          <w:szCs w:val="20"/>
          <w:color w:val="auto"/>
        </w:rPr>
      </w:pPr>
    </w:p>
    <w:p>
      <w:pPr>
        <w:ind w:left="10" w:firstLine="738"/>
        <w:spacing w:after="0" w:line="255" w:lineRule="auto"/>
        <w:rPr>
          <w:sz w:val="20"/>
          <w:szCs w:val="20"/>
          <w:color w:val="auto"/>
        </w:rPr>
      </w:pPr>
      <w:r>
        <w:rPr>
          <w:rFonts w:ascii="Arial" w:cs="Arial" w:eastAsia="Arial" w:hAnsi="Arial"/>
          <w:sz w:val="15"/>
          <w:szCs w:val="15"/>
          <w:color w:val="auto"/>
        </w:rPr>
        <w:t>Capitala Finance Corp. (the “Company”, “we”, “us”, and “our”) is a newly formed, externally managed non-diversified closed-end management investment company incorporated in Maryland that has elected to be regulated as a business development company (“BDC”) under the Investment Company Act of 1940, as amended (the “1940 Act”). We are an “emerging growth company” within the meaning of the Jumpstart Our Business Startups Act of 2012 (the “JOBS Act”), and as such, are subject to reduced public company reporting requirements. We commenced operations on May 24, 2013 and completed our initial public offering (“IPO”) on September 30, 2013. The Company is managed by Capitala Investment Advisors, LLC (the “Investment Advisor”), an investment adviser that is registered as an investment adviser under the Investment Advisers Act of 1940, as amended (the “Advisers Act”), and Capitala Advisors Corp. (the “Administrator”) provides the administrative services necessary for us to operate. In addition, for U.S. federal income tax purposes, the Company intends to elect to be treated as a regulated investment company (“RIC”) commencing with our tax year ending August 31, 2014, under Subchapter M of the Internal Revenue Code of 1986, as amended (the “Code”).</w:t>
      </w:r>
    </w:p>
    <w:p>
      <w:pPr>
        <w:spacing w:after="0" w:line="163" w:lineRule="exact"/>
        <w:rPr>
          <w:sz w:val="20"/>
          <w:szCs w:val="20"/>
          <w:color w:val="auto"/>
        </w:rPr>
      </w:pPr>
    </w:p>
    <w:p>
      <w:pPr>
        <w:ind w:left="10" w:right="180" w:firstLine="738"/>
        <w:spacing w:after="0" w:line="295" w:lineRule="auto"/>
        <w:rPr>
          <w:sz w:val="20"/>
          <w:szCs w:val="20"/>
          <w:color w:val="auto"/>
        </w:rPr>
      </w:pPr>
      <w:r>
        <w:rPr>
          <w:rFonts w:ascii="Arial" w:cs="Arial" w:eastAsia="Arial" w:hAnsi="Arial"/>
          <w:sz w:val="13"/>
          <w:szCs w:val="13"/>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w:t>
      </w:r>
    </w:p>
    <w:p>
      <w:pPr>
        <w:spacing w:after="0" w:line="1" w:lineRule="exact"/>
        <w:rPr>
          <w:sz w:val="20"/>
          <w:szCs w:val="20"/>
          <w:color w:val="auto"/>
        </w:rPr>
      </w:pPr>
    </w:p>
    <w:p>
      <w:pPr>
        <w:ind w:left="10" w:right="320" w:hanging="10"/>
        <w:spacing w:after="0" w:line="263" w:lineRule="auto"/>
        <w:tabs>
          <w:tab w:leader="none" w:pos="232" w:val="left"/>
        </w:tabs>
        <w:numPr>
          <w:ilvl w:val="0"/>
          <w:numId w:val="55"/>
        </w:numPr>
        <w:rPr>
          <w:rFonts w:ascii="Arial" w:cs="Arial" w:eastAsia="Arial" w:hAnsi="Arial"/>
          <w:sz w:val="15"/>
          <w:szCs w:val="15"/>
          <w:color w:val="auto"/>
        </w:rPr>
      </w:pPr>
      <w:r>
        <w:rPr>
          <w:rFonts w:ascii="Arial" w:cs="Arial" w:eastAsia="Arial" w:hAnsi="Arial"/>
          <w:sz w:val="15"/>
          <w:szCs w:val="15"/>
          <w:color w:val="auto"/>
        </w:rPr>
        <w:t>raising capital in the IPO and (iii) continuing and expanding the business of the Legacy Funds by making additional debt and equity investments in smaller and lower middle market companies.</w:t>
      </w:r>
    </w:p>
    <w:p>
      <w:pPr>
        <w:spacing w:after="0" w:line="156" w:lineRule="exact"/>
        <w:rPr>
          <w:sz w:val="20"/>
          <w:szCs w:val="20"/>
          <w:color w:val="auto"/>
        </w:rPr>
      </w:pPr>
    </w:p>
    <w:p>
      <w:pPr>
        <w:ind w:left="10" w:right="20" w:firstLine="738"/>
        <w:spacing w:after="0" w:line="258" w:lineRule="auto"/>
        <w:rPr>
          <w:sz w:val="20"/>
          <w:szCs w:val="20"/>
          <w:color w:val="auto"/>
        </w:rPr>
      </w:pPr>
      <w:r>
        <w:rPr>
          <w:rFonts w:ascii="Arial" w:cs="Arial" w:eastAsia="Arial" w:hAnsi="Arial"/>
          <w:sz w:val="15"/>
          <w:szCs w:val="15"/>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smaller and lower middle-market companies.</w:t>
      </w:r>
    </w:p>
    <w:p>
      <w:pPr>
        <w:spacing w:after="0" w:line="159" w:lineRule="exact"/>
        <w:rPr>
          <w:sz w:val="20"/>
          <w:szCs w:val="20"/>
          <w:color w:val="auto"/>
        </w:rPr>
      </w:pPr>
    </w:p>
    <w:p>
      <w:pPr>
        <w:ind w:left="10" w:right="20" w:firstLine="738"/>
        <w:spacing w:after="0" w:line="256" w:lineRule="auto"/>
        <w:rPr>
          <w:sz w:val="20"/>
          <w:szCs w:val="20"/>
          <w:color w:val="auto"/>
        </w:rPr>
      </w:pPr>
      <w:r>
        <w:rPr>
          <w:rFonts w:ascii="Arial" w:cs="Arial" w:eastAsia="Arial" w:hAnsi="Arial"/>
          <w:sz w:val="15"/>
          <w:szCs w:val="15"/>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wholly-owned subsidiaries. Fund II and Fund III retained their SBIC licenses, continue to hold their existing investments and continue to make new investments. The IPO consisted of the sale of 4,000,000 shares of the Company’s common stock at a price of $20.00 per share resulting in net proceeds to the Company of $74,250,000, after deducting underwriting fees and commissions totaling $5,750,000. The other costs of the IPO were borne by the limited partners of the Legacy Funds. As of December 31, 2013, the Company had 12,974,420 shares of common stock outstanding.</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Note 2. Summary of Significant Accounting Policies</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Basis of Presentation</w:t>
      </w:r>
    </w:p>
    <w:p>
      <w:pPr>
        <w:spacing w:after="0" w:line="193" w:lineRule="exact"/>
        <w:rPr>
          <w:sz w:val="20"/>
          <w:szCs w:val="20"/>
          <w:color w:val="auto"/>
        </w:rPr>
      </w:pPr>
    </w:p>
    <w:p>
      <w:pPr>
        <w:ind w:left="10" w:right="40" w:firstLine="738"/>
        <w:spacing w:after="0" w:line="255" w:lineRule="auto"/>
        <w:rPr>
          <w:sz w:val="20"/>
          <w:szCs w:val="20"/>
          <w:color w:val="auto"/>
        </w:rPr>
      </w:pPr>
      <w:r>
        <w:rPr>
          <w:rFonts w:ascii="Arial" w:cs="Arial" w:eastAsia="Arial" w:hAnsi="Arial"/>
          <w:sz w:val="15"/>
          <w:szCs w:val="15"/>
          <w:color w:val="auto"/>
        </w:rPr>
        <w:t xml:space="preserve">The accompanying financial statements have been prepared on the accrual basis of accounting in conformity with U.S. generally accepted accounting principles (“U.S. GAAP”). The financial statements of the Company include the accounts of the Company and its wholly-owned subsidiaries as described in the Formation Transactions presented in Note 1. The transactions related to Fund II, Fund III, and the Florida Sidecar constitute an exchange of shares between entities under common control and will be accounted for in accordance with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As such, the Company’s results of operations and cash flows for the year ended December 31, 2013 are presented as if the aforementioned transactions had occurred as of January 1, 2013. In addition, the results of the Company’s operations and cash flows for the years ended December 31, 2012 and December 31, 2011 and the Company’s financial position as of December 31, 2012 have been presented on a combined basis in order to provide comparative information with respect to prior periods. The Formation Transactions also included an asset acquisition of certain assets in Fund I and Fund III Parent. In accordance with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the assets acquired were recorded at fair value at the date of acquisition, September 24, 2013.</w:t>
      </w:r>
    </w:p>
    <w:p>
      <w:pPr>
        <w:spacing w:after="0" w:line="344"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6884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50"/>
          </w:cols>
          <w:pgMar w:left="230" w:top="781" w:right="219" w:bottom="1440" w:gutter="0" w:footer="0" w:header="0"/>
        </w:sectPr>
      </w:pPr>
    </w:p>
    <w:bookmarkStart w:id="80" w:name="page81"/>
    <w:bookmarkEnd w:id="80"/>
    <w:p>
      <w:pPr>
        <w:ind w:right="80" w:firstLine="738"/>
        <w:spacing w:after="0" w:line="260" w:lineRule="auto"/>
        <w:rPr>
          <w:sz w:val="20"/>
          <w:szCs w:val="20"/>
          <w:color w:val="auto"/>
        </w:rPr>
      </w:pPr>
      <w:r>
        <w:rPr>
          <w:rFonts w:ascii="Arial" w:cs="Arial" w:eastAsia="Arial" w:hAnsi="Arial"/>
          <w:sz w:val="15"/>
          <w:szCs w:val="15"/>
          <w:color w:val="auto"/>
        </w:rPr>
        <w:t>The Company’s financial position as of December 31, 2013 is presented on a consolidated basis. The effects of all intercompany transactions between the Company and its subsidiaries (Fund II, Fund III, and the Florida Sidecar) have been eliminated in consolidation. All financial data and information included in these financial statements have been presented on the basis described above. In the opinion of management, the financial statements reflect all adjustments that are necessary for the fair presentation of financial results as of and for the periods presented.</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Estimates in the Preparation of Financial Statements</w:t>
      </w:r>
    </w:p>
    <w:p>
      <w:pPr>
        <w:spacing w:after="0" w:line="193" w:lineRule="exact"/>
        <w:rPr>
          <w:sz w:val="20"/>
          <w:szCs w:val="20"/>
          <w:color w:val="auto"/>
        </w:rPr>
      </w:pPr>
    </w:p>
    <w:p>
      <w:pPr>
        <w:ind w:right="360" w:firstLine="738"/>
        <w:spacing w:after="0" w:line="276" w:lineRule="auto"/>
        <w:rPr>
          <w:sz w:val="20"/>
          <w:szCs w:val="20"/>
          <w:color w:val="auto"/>
        </w:rPr>
      </w:pPr>
      <w:r>
        <w:rPr>
          <w:rFonts w:ascii="Arial" w:cs="Arial" w:eastAsia="Arial" w:hAnsi="Arial"/>
          <w:sz w:val="15"/>
          <w:szCs w:val="15"/>
          <w:color w:val="auto"/>
        </w:rPr>
        <w:t>The preparation of the financial statements in conformity with U.S. GAAP requires management to make estimates and assumptions that affect the amounts reported in the financial statements and accompanying notes. Actual results could differ from those estimates.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Segments</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5"/>
          <w:szCs w:val="15"/>
          <w:color w:val="auto"/>
        </w:rPr>
        <w:t>In accordance with ASC Topic 280 — (</w:t>
      </w:r>
      <w:r>
        <w:rPr>
          <w:rFonts w:ascii="Arial" w:cs="Arial" w:eastAsia="Arial" w:hAnsi="Arial"/>
          <w:sz w:val="15"/>
          <w:szCs w:val="15"/>
          <w:i w:val="1"/>
          <w:iCs w:val="1"/>
          <w:color w:val="auto"/>
        </w:rPr>
        <w:t>Segment Reporting</w:t>
      </w:r>
      <w:r>
        <w:rPr>
          <w:rFonts w:ascii="Arial" w:cs="Arial" w:eastAsia="Arial" w:hAnsi="Arial"/>
          <w:sz w:val="15"/>
          <w:szCs w:val="15"/>
          <w:color w:val="auto"/>
        </w:rPr>
        <w:t>), the Company has determined that it has a single reporting segment and operating unit structure.</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and Cash Equivalents</w:t>
      </w:r>
    </w:p>
    <w:p>
      <w:pPr>
        <w:spacing w:after="0" w:line="193" w:lineRule="exact"/>
        <w:rPr>
          <w:sz w:val="20"/>
          <w:szCs w:val="20"/>
          <w:color w:val="auto"/>
        </w:rPr>
      </w:pPr>
    </w:p>
    <w:p>
      <w:pPr>
        <w:ind w:right="380" w:firstLine="738"/>
        <w:spacing w:after="0" w:line="264" w:lineRule="auto"/>
        <w:rPr>
          <w:sz w:val="20"/>
          <w:szCs w:val="20"/>
          <w:color w:val="auto"/>
        </w:rPr>
      </w:pPr>
      <w:r>
        <w:rPr>
          <w:rFonts w:ascii="Arial" w:cs="Arial" w:eastAsia="Arial" w:hAnsi="Arial"/>
          <w:sz w:val="15"/>
          <w:szCs w:val="15"/>
          <w:color w:val="auto"/>
        </w:rPr>
        <w:t>The Company considers cash equivalents to be highly liquid investments with original maturities of three months or less at the date of purchase. Cash and cash equivalents include deposits in money market accounts. The Company deposits its cash in financial institutions and, at times, such balances may be in excess of the Federal Deposit Insurance Corporation (“FDIC”) insurance limits.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Classification</w:t>
      </w:r>
    </w:p>
    <w:p>
      <w:pPr>
        <w:spacing w:after="0" w:line="193" w:lineRule="exact"/>
        <w:rPr>
          <w:sz w:val="20"/>
          <w:szCs w:val="20"/>
          <w:color w:val="auto"/>
        </w:rPr>
      </w:pPr>
    </w:p>
    <w:p>
      <w:pPr>
        <w:ind w:firstLine="738"/>
        <w:spacing w:after="0" w:line="278" w:lineRule="auto"/>
        <w:rPr>
          <w:sz w:val="20"/>
          <w:szCs w:val="20"/>
          <w:color w:val="auto"/>
        </w:rPr>
      </w:pPr>
      <w:r>
        <w:rPr>
          <w:rFonts w:ascii="Arial" w:cs="Arial" w:eastAsia="Arial" w:hAnsi="Arial"/>
          <w:sz w:val="14"/>
          <w:szCs w:val="14"/>
          <w:color w:val="auto"/>
        </w:rPr>
        <w:t>In accordance with the provisions of the 1940 Act, the Company classifies investment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Valuation of Investments</w:t>
      </w:r>
    </w:p>
    <w:p>
      <w:pPr>
        <w:spacing w:after="0" w:line="193" w:lineRule="exact"/>
        <w:rPr>
          <w:sz w:val="20"/>
          <w:szCs w:val="20"/>
          <w:color w:val="auto"/>
        </w:rPr>
      </w:pPr>
    </w:p>
    <w:p>
      <w:pPr>
        <w:ind w:right="120" w:firstLine="738"/>
        <w:spacing w:after="0" w:line="291" w:lineRule="auto"/>
        <w:rPr>
          <w:sz w:val="20"/>
          <w:szCs w:val="20"/>
          <w:color w:val="auto"/>
        </w:rPr>
      </w:pPr>
      <w:r>
        <w:rPr>
          <w:rFonts w:ascii="Arial" w:cs="Arial" w:eastAsia="Arial" w:hAnsi="Arial"/>
          <w:sz w:val="14"/>
          <w:szCs w:val="14"/>
          <w:color w:val="auto"/>
        </w:rPr>
        <w:t xml:space="preserve">The Company applies fair value accounting to all of its financial instruments in accordance with the 1940 Act and ASC Topic 820 - </w:t>
      </w:r>
      <w:r>
        <w:rPr>
          <w:rFonts w:ascii="Arial" w:cs="Arial" w:eastAsia="Arial" w:hAnsi="Arial"/>
          <w:sz w:val="14"/>
          <w:szCs w:val="14"/>
          <w:i w:val="1"/>
          <w:iCs w:val="1"/>
          <w:color w:val="auto"/>
        </w:rPr>
        <w:t>Fair Value Measurements and Disclosures</w:t>
      </w:r>
      <w:r>
        <w:rPr>
          <w:rFonts w:ascii="Arial" w:cs="Arial" w:eastAsia="Arial" w:hAnsi="Arial"/>
          <w:sz w:val="14"/>
          <w:szCs w:val="14"/>
          <w:color w:val="auto"/>
        </w:rPr>
        <w:t>.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3.</w:t>
      </w:r>
    </w:p>
    <w:p>
      <w:pPr>
        <w:spacing w:after="0" w:line="138" w:lineRule="exact"/>
        <w:rPr>
          <w:sz w:val="20"/>
          <w:szCs w:val="20"/>
          <w:color w:val="auto"/>
        </w:rPr>
      </w:pPr>
    </w:p>
    <w:p>
      <w:pPr>
        <w:ind w:right="140" w:firstLine="738"/>
        <w:spacing w:after="0" w:line="264" w:lineRule="auto"/>
        <w:rPr>
          <w:sz w:val="20"/>
          <w:szCs w:val="20"/>
          <w:color w:val="auto"/>
        </w:rPr>
      </w:pPr>
      <w:r>
        <w:rPr>
          <w:rFonts w:ascii="Arial" w:cs="Arial" w:eastAsia="Arial" w:hAnsi="Arial"/>
          <w:sz w:val="15"/>
          <w:szCs w:val="15"/>
          <w:color w:val="auto"/>
        </w:rPr>
        <w:t>In determining fair value, our Board of Directors uses various valuation approaches, and engages a third-party valuation firm, which provides an independent review of certain investments.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55" w:lineRule="exact"/>
        <w:rPr>
          <w:sz w:val="20"/>
          <w:szCs w:val="20"/>
          <w:color w:val="auto"/>
        </w:rPr>
      </w:pPr>
    </w:p>
    <w:p>
      <w:pPr>
        <w:ind w:firstLine="738"/>
        <w:spacing w:after="0" w:line="264" w:lineRule="auto"/>
        <w:rPr>
          <w:sz w:val="20"/>
          <w:szCs w:val="20"/>
          <w:color w:val="auto"/>
        </w:rPr>
      </w:pPr>
      <w:r>
        <w:rPr>
          <w:rFonts w:ascii="Arial" w:cs="Arial" w:eastAsia="Arial" w:hAnsi="Arial"/>
          <w:sz w:val="15"/>
          <w:szCs w:val="15"/>
          <w:color w:val="auto"/>
        </w:rPr>
        <w:t>Observable inputs are those that market participants would use in pricing the asset or liability based on market data obtained from sources independent of the Board of Directors. Unobservable inputs reflect the Board of Directors’ assumptions about the inputs market participants would use in pricing the asset or liability developed based upon the best information available in the circumstances</w:t>
      </w:r>
    </w:p>
    <w:p>
      <w:pPr>
        <w:spacing w:after="0" w:line="155" w:lineRule="exact"/>
        <w:rPr>
          <w:sz w:val="20"/>
          <w:szCs w:val="20"/>
          <w:color w:val="auto"/>
        </w:rPr>
      </w:pPr>
    </w:p>
    <w:p>
      <w:pPr>
        <w:ind w:right="20" w:firstLine="738"/>
        <w:spacing w:after="0" w:line="255" w:lineRule="auto"/>
        <w:rPr>
          <w:sz w:val="20"/>
          <w:szCs w:val="20"/>
          <w:color w:val="auto"/>
        </w:rPr>
      </w:pPr>
      <w:r>
        <w:rPr>
          <w:rFonts w:ascii="Arial" w:cs="Arial" w:eastAsia="Arial" w:hAnsi="Arial"/>
          <w:sz w:val="15"/>
          <w:szCs w:val="15"/>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of Directors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966" w:right="239" w:bottom="1440" w:gutter="0" w:footer="0" w:header="0"/>
        </w:sectPr>
      </w:pPr>
    </w:p>
    <w:bookmarkStart w:id="81" w:name="page82"/>
    <w:bookmarkEnd w:id="81"/>
    <w:p>
      <w:pPr>
        <w:ind w:right="120" w:firstLine="738"/>
        <w:spacing w:after="0" w:line="284" w:lineRule="auto"/>
        <w:rPr>
          <w:sz w:val="20"/>
          <w:szCs w:val="20"/>
          <w:color w:val="auto"/>
        </w:rPr>
      </w:pPr>
      <w:r>
        <w:rPr>
          <w:rFonts w:ascii="Arial" w:cs="Arial" w:eastAsia="Arial" w:hAnsi="Arial"/>
          <w:sz w:val="14"/>
          <w:szCs w:val="14"/>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Techniques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Senior and Subordinated Secured Loans</w:t>
      </w:r>
    </w:p>
    <w:p>
      <w:pPr>
        <w:spacing w:after="0" w:line="189" w:lineRule="exact"/>
        <w:rPr>
          <w:sz w:val="20"/>
          <w:szCs w:val="20"/>
          <w:color w:val="auto"/>
        </w:rPr>
      </w:pPr>
    </w:p>
    <w:p>
      <w:pPr>
        <w:ind w:firstLine="738"/>
        <w:spacing w:after="0" w:line="306" w:lineRule="auto"/>
        <w:rPr>
          <w:sz w:val="20"/>
          <w:szCs w:val="20"/>
          <w:color w:val="auto"/>
        </w:rPr>
      </w:pPr>
      <w:r>
        <w:rPr>
          <w:rFonts w:ascii="Arial" w:cs="Arial" w:eastAsia="Arial" w:hAnsi="Arial"/>
          <w:sz w:val="13"/>
          <w:szCs w:val="13"/>
          <w:color w:val="auto"/>
        </w:rPr>
        <w:t>The Company’s portfolio primarily consists of private debt instruments (“Level 3 debt”). We consider our Level 3 debt to be performing loans if the borrower is not in default, the borrower is remitting payments in a timely manner, the loan is in covenant compliance or is otherwise not deemed to be impaired. In determining the fair value of the performing Level 3 debt, the Company’s Board of Directors considers fluctuations in current interest rates, the trends in yields of debt instruments with similar credit ratings (if applicable), the financial condition of the borrower, economic conditions and other relevant factors, both qualitative and quantitative. In the event that a Level 3 debt instrument is not performing, as defined above, the Board of Directors will evaluate the value of the collateral utilizing the same framework described above for a performing loan to determine the value of the Level 3 debt instrument.</w:t>
      </w:r>
    </w:p>
    <w:p>
      <w:pPr>
        <w:spacing w:after="0" w:line="133" w:lineRule="exact"/>
        <w:rPr>
          <w:sz w:val="20"/>
          <w:szCs w:val="20"/>
          <w:color w:val="auto"/>
        </w:rPr>
      </w:pPr>
    </w:p>
    <w:p>
      <w:pPr>
        <w:ind w:right="160" w:firstLine="738"/>
        <w:spacing w:after="0" w:line="291" w:lineRule="auto"/>
        <w:rPr>
          <w:sz w:val="20"/>
          <w:szCs w:val="20"/>
          <w:color w:val="auto"/>
        </w:rPr>
      </w:pPr>
      <w:r>
        <w:rPr>
          <w:rFonts w:ascii="Arial" w:cs="Arial" w:eastAsia="Arial" w:hAnsi="Arial"/>
          <w:sz w:val="14"/>
          <w:szCs w:val="14"/>
          <w:color w:val="auto"/>
        </w:rPr>
        <w:t>This evaluation will be updated no less than quarterly for Level 3 debt instruments that are not performing, and more frequently for time periods where there are significant changes in the collateral or significant changes in the perceived performance of the underlying portfolio company. The collateral value will be analyzed on an ongoing basis using internal metrics, appraisals, third-party valuation agents and other data as may be acquired and analyzed by our management and Board of Directors.</w:t>
      </w:r>
    </w:p>
    <w:p>
      <w:pPr>
        <w:spacing w:after="0" w:line="138"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Equity Investments in Private Companies</w:t>
      </w:r>
    </w:p>
    <w:p>
      <w:pPr>
        <w:spacing w:after="0" w:line="189" w:lineRule="exact"/>
        <w:rPr>
          <w:sz w:val="20"/>
          <w:szCs w:val="20"/>
          <w:color w:val="auto"/>
        </w:rPr>
      </w:pPr>
    </w:p>
    <w:p>
      <w:pPr>
        <w:ind w:right="140" w:firstLine="738"/>
        <w:spacing w:after="0" w:line="264" w:lineRule="auto"/>
        <w:rPr>
          <w:sz w:val="20"/>
          <w:szCs w:val="20"/>
          <w:color w:val="auto"/>
        </w:rPr>
      </w:pPr>
      <w:r>
        <w:rPr>
          <w:rFonts w:ascii="Arial" w:cs="Arial" w:eastAsia="Arial" w:hAnsi="Arial"/>
          <w:sz w:val="15"/>
          <w:szCs w:val="15"/>
          <w:color w:val="auto"/>
        </w:rPr>
        <w:t>Our Board of Directors determines the fair value of its investments in private companies by incorporating valuations that consider the evaluation of financing and sale transactions with third-parties, expected cash flows and market-based information, including comparable transactions, and performance multiples, among other factors, and may use third-party valuation agents. Such non-public investments are included in Level 3 of the fair value hierarchy.</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Warrants</w:t>
      </w:r>
    </w:p>
    <w:p>
      <w:pPr>
        <w:spacing w:after="0" w:line="189" w:lineRule="exact"/>
        <w:rPr>
          <w:sz w:val="20"/>
          <w:szCs w:val="20"/>
          <w:color w:val="auto"/>
        </w:rPr>
      </w:pPr>
    </w:p>
    <w:p>
      <w:pPr>
        <w:ind w:right="280" w:firstLine="738"/>
        <w:spacing w:after="0" w:line="264" w:lineRule="auto"/>
        <w:rPr>
          <w:sz w:val="20"/>
          <w:szCs w:val="20"/>
          <w:color w:val="auto"/>
        </w:rPr>
      </w:pPr>
      <w:r>
        <w:rPr>
          <w:rFonts w:ascii="Arial" w:cs="Arial" w:eastAsia="Arial" w:hAnsi="Arial"/>
          <w:sz w:val="15"/>
          <w:szCs w:val="15"/>
          <w:color w:val="auto"/>
        </w:rPr>
        <w:t>Our Board of Directors will ascribe value to warrants based on the fair value of holdings to which they are associated that can include discounted cash flow analyses, option pricing models, comparable analyses and other techniques as deemed appropriate. Such warrants are included in Level 3 of the fair value hierarchy to the extent issued by non-public companies.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5"/>
          <w:szCs w:val="15"/>
          <w:color w:val="auto"/>
        </w:rPr>
        <w:t>The Company’s revenue recognition policies are as follows:</w:t>
      </w:r>
    </w:p>
    <w:p>
      <w:pPr>
        <w:spacing w:after="0" w:line="189" w:lineRule="exact"/>
        <w:rPr>
          <w:sz w:val="20"/>
          <w:szCs w:val="20"/>
          <w:color w:val="auto"/>
        </w:rPr>
      </w:pPr>
    </w:p>
    <w:p>
      <w:pPr>
        <w:ind w:right="60" w:firstLine="738"/>
        <w:spacing w:after="0" w:line="260" w:lineRule="auto"/>
        <w:rPr>
          <w:sz w:val="20"/>
          <w:szCs w:val="20"/>
          <w:color w:val="auto"/>
        </w:rPr>
      </w:pPr>
      <w:r>
        <w:rPr>
          <w:rFonts w:ascii="Arial" w:cs="Arial" w:eastAsia="Arial" w:hAnsi="Arial"/>
          <w:sz w:val="15"/>
          <w:szCs w:val="15"/>
          <w:i w:val="1"/>
          <w:iCs w:val="1"/>
          <w:color w:val="auto"/>
        </w:rPr>
        <w:t xml:space="preserve">Interest Income and Paid-in Kind Interest: </w:t>
      </w:r>
      <w:r>
        <w:rPr>
          <w:rFonts w:ascii="Arial" w:cs="Arial" w:eastAsia="Arial" w:hAnsi="Arial"/>
          <w:sz w:val="15"/>
          <w:szCs w:val="15"/>
          <w:color w:val="auto"/>
        </w:rPr>
        <w:t>Interest income is recorded on the accrual basis to the extent that such amounts are expected to be collected. The company has loans</w:t>
      </w:r>
      <w:r>
        <w:rPr>
          <w:rFonts w:ascii="Arial" w:cs="Arial" w:eastAsia="Arial" w:hAnsi="Arial"/>
          <w:sz w:val="15"/>
          <w:szCs w:val="15"/>
          <w:i w:val="1"/>
          <w:iCs w:val="1"/>
          <w:color w:val="auto"/>
        </w:rPr>
        <w:t xml:space="preserve"> </w:t>
      </w:r>
      <w:r>
        <w:rPr>
          <w:rFonts w:ascii="Arial" w:cs="Arial" w:eastAsia="Arial" w:hAnsi="Arial"/>
          <w:sz w:val="15"/>
          <w:szCs w:val="15"/>
          <w:color w:val="auto"/>
        </w:rPr>
        <w:t>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57" w:lineRule="exact"/>
        <w:rPr>
          <w:sz w:val="20"/>
          <w:szCs w:val="20"/>
          <w:color w:val="auto"/>
        </w:rPr>
      </w:pPr>
    </w:p>
    <w:p>
      <w:pPr>
        <w:jc w:val="both"/>
        <w:ind w:right="40" w:firstLine="738"/>
        <w:spacing w:after="0" w:line="303" w:lineRule="auto"/>
        <w:rPr>
          <w:sz w:val="20"/>
          <w:szCs w:val="20"/>
          <w:color w:val="auto"/>
        </w:rPr>
      </w:pPr>
      <w:r>
        <w:rPr>
          <w:rFonts w:ascii="Arial" w:cs="Arial" w:eastAsia="Arial" w:hAnsi="Arial"/>
          <w:sz w:val="13"/>
          <w:szCs w:val="13"/>
          <w:i w:val="1"/>
          <w:iCs w:val="1"/>
          <w:color w:val="auto"/>
        </w:rPr>
        <w:t xml:space="preserve">Non-accrual income: </w:t>
      </w:r>
      <w:r>
        <w:rPr>
          <w:rFonts w:ascii="Arial" w:cs="Arial" w:eastAsia="Arial" w:hAnsi="Arial"/>
          <w:sz w:val="13"/>
          <w:szCs w:val="13"/>
          <w:color w:val="auto"/>
        </w:rPr>
        <w:t>Generally, when interest and/or principal payments on a loan become materially past due, or if the Company otherwise does not expect the borrower to be</w:t>
      </w:r>
      <w:r>
        <w:rPr>
          <w:rFonts w:ascii="Arial" w:cs="Arial" w:eastAsia="Arial" w:hAnsi="Arial"/>
          <w:sz w:val="13"/>
          <w:szCs w:val="13"/>
          <w:i w:val="1"/>
          <w:iCs w:val="1"/>
          <w:color w:val="auto"/>
        </w:rPr>
        <w:t xml:space="preserve"> </w:t>
      </w:r>
      <w:r>
        <w:rPr>
          <w:rFonts w:ascii="Arial" w:cs="Arial" w:eastAsia="Arial" w:hAnsi="Arial"/>
          <w:sz w:val="13"/>
          <w:szCs w:val="13"/>
          <w:color w:val="auto"/>
        </w:rPr>
        <w:t>able to service its debt and other obligations, the Company will place the loan on non-accrual status, and will generally cease recognizing interest income and PIK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00"/>
          </w:cols>
          <w:pgMar w:left="240" w:top="785" w:right="259" w:bottom="1440" w:gutter="0" w:footer="0" w:header="0"/>
        </w:sectPr>
      </w:pPr>
    </w:p>
    <w:bookmarkStart w:id="82" w:name="page83"/>
    <w:bookmarkEnd w:id="82"/>
    <w:p>
      <w:pPr>
        <w:ind w:left="720"/>
        <w:spacing w:after="0"/>
        <w:rPr>
          <w:sz w:val="20"/>
          <w:szCs w:val="20"/>
          <w:color w:val="auto"/>
        </w:rPr>
      </w:pPr>
      <w:r>
        <w:rPr>
          <w:rFonts w:ascii="Arial" w:cs="Arial" w:eastAsia="Arial" w:hAnsi="Arial"/>
          <w:sz w:val="15"/>
          <w:szCs w:val="15"/>
          <w:i w:val="1"/>
          <w:iCs w:val="1"/>
          <w:color w:val="auto"/>
        </w:rPr>
        <w:t xml:space="preserve">Gains and Losses on investment sales and paydowns: </w:t>
      </w:r>
      <w:r>
        <w:rPr>
          <w:rFonts w:ascii="Arial" w:cs="Arial" w:eastAsia="Arial" w:hAnsi="Arial"/>
          <w:sz w:val="15"/>
          <w:szCs w:val="15"/>
          <w:color w:val="auto"/>
        </w:rPr>
        <w:t>Realized gains and losses on investments are recognized using the specific identification method.</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5"/>
          <w:szCs w:val="15"/>
          <w:i w:val="1"/>
          <w:iCs w:val="1"/>
          <w:color w:val="auto"/>
        </w:rPr>
        <w:t xml:space="preserve">Dividend Income: </w:t>
      </w:r>
      <w:r>
        <w:rPr>
          <w:rFonts w:ascii="Arial" w:cs="Arial" w:eastAsia="Arial" w:hAnsi="Arial"/>
          <w:sz w:val="15"/>
          <w:szCs w:val="15"/>
          <w:color w:val="auto"/>
        </w:rPr>
        <w:t>Dividend income is recognized on the date dividends are declared.</w:t>
      </w:r>
    </w:p>
    <w:p>
      <w:pPr>
        <w:spacing w:after="0" w:line="189" w:lineRule="exact"/>
        <w:rPr>
          <w:sz w:val="20"/>
          <w:szCs w:val="20"/>
          <w:color w:val="auto"/>
        </w:rPr>
      </w:pPr>
    </w:p>
    <w:p>
      <w:pPr>
        <w:ind w:right="320" w:firstLine="738"/>
        <w:spacing w:after="0" w:line="313" w:lineRule="auto"/>
        <w:rPr>
          <w:sz w:val="20"/>
          <w:szCs w:val="20"/>
          <w:color w:val="auto"/>
        </w:rPr>
      </w:pPr>
      <w:r>
        <w:rPr>
          <w:rFonts w:ascii="Arial" w:cs="Arial" w:eastAsia="Arial" w:hAnsi="Arial"/>
          <w:sz w:val="14"/>
          <w:szCs w:val="14"/>
          <w:i w:val="1"/>
          <w:iCs w:val="1"/>
          <w:color w:val="auto"/>
        </w:rPr>
        <w:t xml:space="preserve">Other Income: </w:t>
      </w:r>
      <w:r>
        <w:rPr>
          <w:rFonts w:ascii="Arial" w:cs="Arial" w:eastAsia="Arial" w:hAnsi="Arial"/>
          <w:sz w:val="14"/>
          <w:szCs w:val="14"/>
          <w:color w:val="auto"/>
        </w:rPr>
        <w:t>Origination, amendment, closing and/or commitment fees associated with investments in portfolio companies are recognized as income when the investment</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 closes. Prepayment penalties received by the Company for debt instruments repaid prior to maturity date are recorded as income upon receipt.</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 Expenses</w:t>
      </w:r>
    </w:p>
    <w:p>
      <w:pPr>
        <w:spacing w:after="0" w:line="193" w:lineRule="exact"/>
        <w:rPr>
          <w:sz w:val="20"/>
          <w:szCs w:val="20"/>
          <w:color w:val="auto"/>
        </w:rPr>
      </w:pPr>
    </w:p>
    <w:p>
      <w:pPr>
        <w:ind w:right="160" w:firstLine="738"/>
        <w:spacing w:after="0" w:line="313" w:lineRule="auto"/>
        <w:rPr>
          <w:sz w:val="20"/>
          <w:szCs w:val="20"/>
          <w:color w:val="auto"/>
        </w:rPr>
      </w:pPr>
      <w:r>
        <w:rPr>
          <w:rFonts w:ascii="Arial" w:cs="Arial" w:eastAsia="Arial" w:hAnsi="Arial"/>
          <w:sz w:val="14"/>
          <w:szCs w:val="14"/>
          <w:color w:val="auto"/>
        </w:rPr>
        <w:t>General and administrative expenses are accrued as incurred. The Company’s general and administrative expenses include personnel expenses allocable to the Company under the Administration Agreement, legal and audit fees, director fees, director and officer insurance, and other expenses payable under the Administration Agreement.</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Financing Fees</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Costs incurred to issue the SBA-guaranteed debentures payable are capitalized and are amortized over the term of the debt agreements under the effective interest method.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Commitments and Contingencies</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5"/>
          <w:szCs w:val="15"/>
          <w:color w:val="auto"/>
        </w:rPr>
        <w:t>As of December 31, 2013 and December 31, 2012, the Company had no outstanding unfunded commitments.</w:t>
      </w:r>
    </w:p>
    <w:p>
      <w:pPr>
        <w:spacing w:after="0" w:line="189" w:lineRule="exact"/>
        <w:rPr>
          <w:sz w:val="20"/>
          <w:szCs w:val="20"/>
          <w:color w:val="auto"/>
        </w:rPr>
      </w:pPr>
    </w:p>
    <w:p>
      <w:pPr>
        <w:ind w:right="40" w:firstLine="738"/>
        <w:spacing w:after="0" w:line="313" w:lineRule="auto"/>
        <w:rPr>
          <w:sz w:val="20"/>
          <w:szCs w:val="20"/>
          <w:color w:val="auto"/>
        </w:rPr>
      </w:pPr>
      <w:r>
        <w:rPr>
          <w:rFonts w:ascii="Arial" w:cs="Arial" w:eastAsia="Arial" w:hAnsi="Arial"/>
          <w:sz w:val="14"/>
          <w:szCs w:val="14"/>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w:t>
      </w:r>
    </w:p>
    <w:p>
      <w:pPr>
        <w:spacing w:after="0" w:line="123" w:lineRule="exact"/>
        <w:rPr>
          <w:sz w:val="20"/>
          <w:szCs w:val="20"/>
          <w:color w:val="auto"/>
        </w:rPr>
      </w:pPr>
    </w:p>
    <w:p>
      <w:pPr>
        <w:ind w:right="280" w:firstLine="738"/>
        <w:spacing w:after="0" w:line="276" w:lineRule="auto"/>
        <w:rPr>
          <w:sz w:val="20"/>
          <w:szCs w:val="20"/>
          <w:color w:val="auto"/>
        </w:rPr>
      </w:pPr>
      <w:r>
        <w:rPr>
          <w:rFonts w:ascii="Arial" w:cs="Arial" w:eastAsia="Arial" w:hAnsi="Arial"/>
          <w:sz w:val="15"/>
          <w:szCs w:val="15"/>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193" w:lineRule="exact"/>
        <w:rPr>
          <w:sz w:val="20"/>
          <w:szCs w:val="20"/>
          <w:color w:val="auto"/>
        </w:rPr>
      </w:pPr>
    </w:p>
    <w:p>
      <w:pPr>
        <w:ind w:right="120" w:firstLine="738"/>
        <w:spacing w:after="0" w:line="264" w:lineRule="auto"/>
        <w:rPr>
          <w:sz w:val="20"/>
          <w:szCs w:val="20"/>
          <w:color w:val="auto"/>
        </w:rPr>
      </w:pPr>
      <w:r>
        <w:rPr>
          <w:rFonts w:ascii="Arial" w:cs="Arial" w:eastAsia="Arial" w:hAnsi="Arial"/>
          <w:sz w:val="15"/>
          <w:szCs w:val="15"/>
          <w:color w:val="auto"/>
        </w:rPr>
        <w:t>The Company intends to elect to be treated for federal income tax purposes, and intends to qualify annually thereafter, as a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55" w:lineRule="exact"/>
        <w:rPr>
          <w:sz w:val="20"/>
          <w:szCs w:val="20"/>
          <w:color w:val="auto"/>
        </w:rPr>
      </w:pPr>
    </w:p>
    <w:p>
      <w:pPr>
        <w:ind w:right="140" w:firstLine="738"/>
        <w:spacing w:after="0" w:line="291" w:lineRule="auto"/>
        <w:rPr>
          <w:sz w:val="20"/>
          <w:szCs w:val="20"/>
          <w:color w:val="auto"/>
        </w:rPr>
      </w:pPr>
      <w:r>
        <w:rPr>
          <w:rFonts w:ascii="Arial" w:cs="Arial" w:eastAsia="Arial" w:hAnsi="Arial"/>
          <w:sz w:val="14"/>
          <w:szCs w:val="14"/>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38" w:lineRule="exact"/>
        <w:rPr>
          <w:sz w:val="20"/>
          <w:szCs w:val="20"/>
          <w:color w:val="auto"/>
        </w:rPr>
      </w:pPr>
    </w:p>
    <w:p>
      <w:pPr>
        <w:ind w:firstLine="738"/>
        <w:spacing w:after="0" w:line="323" w:lineRule="auto"/>
        <w:rPr>
          <w:sz w:val="20"/>
          <w:szCs w:val="20"/>
          <w:color w:val="auto"/>
        </w:rPr>
      </w:pPr>
      <w:r>
        <w:rPr>
          <w:rFonts w:ascii="Arial" w:cs="Arial" w:eastAsia="Arial" w:hAnsi="Arial"/>
          <w:sz w:val="13"/>
          <w:szCs w:val="13"/>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20" w:lineRule="exact"/>
        <w:rPr>
          <w:sz w:val="20"/>
          <w:szCs w:val="20"/>
          <w:color w:val="auto"/>
        </w:rPr>
      </w:pPr>
    </w:p>
    <w:p>
      <w:pPr>
        <w:ind w:right="40" w:firstLine="738"/>
        <w:spacing w:after="0" w:line="256" w:lineRule="auto"/>
        <w:rPr>
          <w:sz w:val="20"/>
          <w:szCs w:val="20"/>
          <w:color w:val="auto"/>
        </w:rPr>
      </w:pPr>
      <w:r>
        <w:rPr>
          <w:rFonts w:ascii="Arial" w:cs="Arial" w:eastAsia="Arial" w:hAnsi="Arial"/>
          <w:sz w:val="15"/>
          <w:szCs w:val="15"/>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85" w:right="219" w:bottom="1440" w:gutter="0" w:footer="0" w:header="0"/>
        </w:sectPr>
      </w:pPr>
    </w:p>
    <w:bookmarkStart w:id="83" w:name="page84"/>
    <w:bookmarkEnd w:id="83"/>
    <w:p>
      <w:pPr>
        <w:ind w:right="80" w:firstLine="738"/>
        <w:spacing w:after="0" w:line="258" w:lineRule="auto"/>
        <w:rPr>
          <w:sz w:val="20"/>
          <w:szCs w:val="20"/>
          <w:color w:val="auto"/>
        </w:rPr>
      </w:pPr>
      <w:r>
        <w:rPr>
          <w:rFonts w:ascii="Arial" w:cs="Arial" w:eastAsia="Arial" w:hAnsi="Arial"/>
          <w:sz w:val="15"/>
          <w:szCs w:val="15"/>
          <w:color w:val="auto"/>
        </w:rPr>
        <w:t xml:space="preserve">ASC 740, </w:t>
      </w:r>
      <w:r>
        <w:rPr>
          <w:rFonts w:ascii="Arial" w:cs="Arial" w:eastAsia="Arial" w:hAnsi="Arial"/>
          <w:sz w:val="15"/>
          <w:szCs w:val="15"/>
          <w:i w:val="1"/>
          <w:iCs w:val="1"/>
          <w:color w:val="auto"/>
        </w:rPr>
        <w:t>Income Taxes</w:t>
      </w:r>
      <w:r>
        <w:rPr>
          <w:rFonts w:ascii="Arial" w:cs="Arial" w:eastAsia="Arial" w:hAnsi="Arial"/>
          <w:sz w:val="15"/>
          <w:szCs w:val="15"/>
          <w:color w:val="auto"/>
        </w:rPr>
        <w:t>,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2013 and December 31, 2012, there were no uncertain tax positions.</w:t>
      </w:r>
    </w:p>
    <w:p>
      <w:pPr>
        <w:spacing w:after="0" w:line="159" w:lineRule="exact"/>
        <w:rPr>
          <w:sz w:val="20"/>
          <w:szCs w:val="20"/>
          <w:color w:val="auto"/>
        </w:rPr>
      </w:pPr>
    </w:p>
    <w:p>
      <w:pPr>
        <w:ind w:right="60" w:firstLine="738"/>
        <w:spacing w:after="0" w:line="260" w:lineRule="auto"/>
        <w:rPr>
          <w:sz w:val="20"/>
          <w:szCs w:val="20"/>
          <w:color w:val="auto"/>
        </w:rPr>
      </w:pPr>
      <w:r>
        <w:rPr>
          <w:rFonts w:ascii="Arial" w:cs="Arial" w:eastAsia="Arial" w:hAnsi="Arial"/>
          <w:sz w:val="15"/>
          <w:szCs w:val="15"/>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have negatively impact the Company’s net assets.</w:t>
      </w:r>
    </w:p>
    <w:p>
      <w:pPr>
        <w:spacing w:after="0" w:line="157" w:lineRule="exact"/>
        <w:rPr>
          <w:sz w:val="20"/>
          <w:szCs w:val="20"/>
          <w:color w:val="auto"/>
        </w:rPr>
      </w:pPr>
    </w:p>
    <w:p>
      <w:pPr>
        <w:ind w:right="100" w:firstLine="738"/>
        <w:spacing w:after="0" w:line="276" w:lineRule="auto"/>
        <w:rPr>
          <w:sz w:val="20"/>
          <w:szCs w:val="20"/>
          <w:color w:val="auto"/>
        </w:rPr>
      </w:pPr>
      <w:r>
        <w:rPr>
          <w:rFonts w:ascii="Arial" w:cs="Arial" w:eastAsia="Arial" w:hAnsi="Arial"/>
          <w:sz w:val="15"/>
          <w:szCs w:val="15"/>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46" w:lineRule="exact"/>
        <w:rPr>
          <w:sz w:val="20"/>
          <w:szCs w:val="20"/>
          <w:color w:val="auto"/>
        </w:rPr>
      </w:pPr>
    </w:p>
    <w:p>
      <w:pPr>
        <w:jc w:val="both"/>
        <w:ind w:right="240" w:firstLine="738"/>
        <w:spacing w:after="0" w:line="264" w:lineRule="auto"/>
        <w:rPr>
          <w:sz w:val="20"/>
          <w:szCs w:val="20"/>
          <w:color w:val="auto"/>
        </w:rPr>
      </w:pPr>
      <w:r>
        <w:rPr>
          <w:rFonts w:ascii="Arial" w:cs="Arial" w:eastAsia="Arial" w:hAnsi="Arial"/>
          <w:sz w:val="15"/>
          <w:szCs w:val="15"/>
          <w:color w:val="auto"/>
        </w:rPr>
        <w:t>The Company has concluded that it was not necessary to record a liability for any such tax positions as of December 31, 2013 or 2012.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55" w:lineRule="exact"/>
        <w:rPr>
          <w:sz w:val="20"/>
          <w:szCs w:val="20"/>
          <w:color w:val="auto"/>
        </w:rPr>
      </w:pPr>
    </w:p>
    <w:p>
      <w:pPr>
        <w:ind w:firstLine="738"/>
        <w:spacing w:after="0" w:line="264" w:lineRule="auto"/>
        <w:rPr>
          <w:sz w:val="20"/>
          <w:szCs w:val="20"/>
          <w:color w:val="auto"/>
        </w:rPr>
      </w:pPr>
      <w:r>
        <w:rPr>
          <w:rFonts w:ascii="Arial" w:cs="Arial" w:eastAsia="Arial" w:hAnsi="Arial"/>
          <w:sz w:val="15"/>
          <w:szCs w:val="15"/>
          <w:color w:val="auto"/>
        </w:rPr>
        <w:t>The Company’s activities from commencement of operations remain subject to examination by U.S. federal, state, and local tax authorities. No interest expense or penalties have been assessed as of December 31, 2013 and 2012. If the Company were required to recognize interest and penalties, if any, related to unrecognized tax benefits this would be recognized as income tax expense in the consolidated statement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193" w:lineRule="exact"/>
        <w:rPr>
          <w:sz w:val="20"/>
          <w:szCs w:val="20"/>
          <w:color w:val="auto"/>
        </w:rPr>
      </w:pPr>
    </w:p>
    <w:p>
      <w:pPr>
        <w:ind w:right="120" w:firstLine="738"/>
        <w:spacing w:after="0" w:line="276" w:lineRule="auto"/>
        <w:rPr>
          <w:sz w:val="20"/>
          <w:szCs w:val="20"/>
          <w:color w:val="auto"/>
        </w:rPr>
      </w:pPr>
      <w:r>
        <w:rPr>
          <w:rFonts w:ascii="Arial" w:cs="Arial" w:eastAsia="Arial" w:hAnsi="Arial"/>
          <w:sz w:val="15"/>
          <w:szCs w:val="15"/>
          <w:color w:val="auto"/>
        </w:rPr>
        <w:t>Dividends to common stockholders are recorded on the ex-dividend date. The amount to be paid out as a dividend is determined by the Board of Directors. Net capital gains, if any, are generally distributed at least annually, although we may decide to retain such capital gains for reinvestment.</w:t>
      </w:r>
    </w:p>
    <w:p>
      <w:pPr>
        <w:spacing w:after="0" w:line="146" w:lineRule="exact"/>
        <w:rPr>
          <w:sz w:val="20"/>
          <w:szCs w:val="20"/>
          <w:color w:val="auto"/>
        </w:rPr>
      </w:pPr>
    </w:p>
    <w:p>
      <w:pPr>
        <w:ind w:firstLine="738"/>
        <w:spacing w:after="0" w:line="291" w:lineRule="auto"/>
        <w:rPr>
          <w:sz w:val="20"/>
          <w:szCs w:val="20"/>
          <w:color w:val="auto"/>
        </w:rPr>
      </w:pPr>
      <w:r>
        <w:rPr>
          <w:rFonts w:ascii="Arial" w:cs="Arial" w:eastAsia="Arial" w:hAnsi="Arial"/>
          <w:sz w:val="14"/>
          <w:szCs w:val="14"/>
          <w:color w:val="auto"/>
        </w:rPr>
        <w:t>We have adopted an “opt out” dividend reinvestment plan for our common stockholders. As a result, if we declare a cash dividend or other distribution, each stockholder that has not “opted out” of our dividend reinvestment plan will have its dividends automatically reinvested in additional shares of our common stock rather than receiving cash dividends. Stockholders who receive distributions in the form of shares of common stock will be subject to the same federal, state and local tax consequences as if they received cash distributions.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Investment Risk, Concentration of Credit Risk, and Liquidity Risk</w:t>
      </w:r>
    </w:p>
    <w:p>
      <w:pPr>
        <w:spacing w:after="0" w:line="193" w:lineRule="exact"/>
        <w:rPr>
          <w:sz w:val="20"/>
          <w:szCs w:val="20"/>
          <w:color w:val="auto"/>
        </w:rPr>
      </w:pPr>
    </w:p>
    <w:p>
      <w:pPr>
        <w:ind w:right="60" w:firstLine="738"/>
        <w:spacing w:after="0" w:line="260" w:lineRule="auto"/>
        <w:rPr>
          <w:sz w:val="20"/>
          <w:szCs w:val="20"/>
          <w:color w:val="auto"/>
        </w:rPr>
      </w:pPr>
      <w:r>
        <w:rPr>
          <w:rFonts w:ascii="Arial" w:cs="Arial" w:eastAsia="Arial" w:hAnsi="Arial"/>
          <w:sz w:val="15"/>
          <w:szCs w:val="15"/>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57" w:lineRule="exact"/>
        <w:rPr>
          <w:sz w:val="20"/>
          <w:szCs w:val="20"/>
          <w:color w:val="auto"/>
        </w:rPr>
      </w:pPr>
    </w:p>
    <w:p>
      <w:pPr>
        <w:ind w:right="20" w:firstLine="738"/>
        <w:spacing w:after="0" w:line="260" w:lineRule="auto"/>
        <w:rPr>
          <w:sz w:val="20"/>
          <w:szCs w:val="20"/>
          <w:color w:val="auto"/>
        </w:rPr>
      </w:pPr>
      <w:r>
        <w:rPr>
          <w:rFonts w:ascii="Arial" w:cs="Arial" w:eastAsia="Arial" w:hAnsi="Arial"/>
          <w:sz w:val="15"/>
          <w:szCs w:val="15"/>
          <w:color w:val="auto"/>
        </w:rPr>
        <w:t>The value of the Company’s investments in loans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5"/>
          <w:szCs w:val="15"/>
          <w:color w:val="auto"/>
        </w:rPr>
        <w:t>The Investment Advisor may attempt to minimize this risk by maintaining low loan-to-liquidation values with each loan and the collateral underlying the loan.</w:t>
      </w:r>
    </w:p>
    <w:p>
      <w:pPr>
        <w:spacing w:after="0" w:line="189" w:lineRule="exact"/>
        <w:rPr>
          <w:sz w:val="20"/>
          <w:szCs w:val="20"/>
          <w:color w:val="auto"/>
        </w:rPr>
      </w:pPr>
    </w:p>
    <w:p>
      <w:pPr>
        <w:ind w:right="40" w:firstLine="738"/>
        <w:spacing w:after="0" w:line="264" w:lineRule="auto"/>
        <w:rPr>
          <w:sz w:val="20"/>
          <w:szCs w:val="20"/>
          <w:color w:val="auto"/>
        </w:rPr>
      </w:pPr>
      <w:r>
        <w:rPr>
          <w:rFonts w:ascii="Arial" w:cs="Arial" w:eastAsia="Arial" w:hAnsi="Arial"/>
          <w:sz w:val="15"/>
          <w:szCs w:val="15"/>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85"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94"/>
        </w:trPr>
        <w:tc>
          <w:tcPr>
            <w:tcW w:w="2980" w:type="dxa"/>
            <w:vAlign w:val="bottom"/>
            <w:gridSpan w:val="2"/>
          </w:tcPr>
          <w:p>
            <w:pPr>
              <w:spacing w:after="0"/>
              <w:rPr>
                <w:sz w:val="20"/>
                <w:szCs w:val="20"/>
                <w:color w:val="auto"/>
              </w:rPr>
            </w:pPr>
            <w:r>
              <w:rPr>
                <w:rFonts w:ascii="Arial" w:cs="Arial" w:eastAsia="Arial" w:hAnsi="Arial"/>
                <w:sz w:val="15"/>
                <w:szCs w:val="15"/>
                <w:b w:val="1"/>
                <w:bCs w:val="1"/>
                <w:color w:val="auto"/>
              </w:rPr>
              <w:t>Note 3. Investments</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260" w:type="dxa"/>
            <w:vAlign w:val="bottom"/>
          </w:tcPr>
          <w:p>
            <w:pPr>
              <w:spacing w:after="0"/>
              <w:rPr>
                <w:sz w:val="24"/>
                <w:szCs w:val="24"/>
                <w:color w:val="auto"/>
              </w:rPr>
            </w:pPr>
          </w:p>
        </w:tc>
        <w:tc>
          <w:tcPr>
            <w:tcW w:w="8820" w:type="dxa"/>
            <w:vAlign w:val="bottom"/>
            <w:gridSpan w:val="11"/>
          </w:tcPr>
          <w:p>
            <w:pPr>
              <w:ind w:left="460"/>
              <w:spacing w:after="0"/>
              <w:rPr>
                <w:sz w:val="20"/>
                <w:szCs w:val="20"/>
                <w:color w:val="auto"/>
              </w:rPr>
            </w:pPr>
            <w:r>
              <w:rPr>
                <w:rFonts w:ascii="Arial" w:cs="Arial" w:eastAsia="Arial" w:hAnsi="Arial"/>
                <w:sz w:val="15"/>
                <w:szCs w:val="15"/>
                <w:color w:val="auto"/>
                <w:w w:val="94"/>
              </w:rPr>
              <w:t>The composition of our investments as of December 31, 2013, at amortized cost and fair value were as follows (dollars in thousands):</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105"/>
              <w:spacing w:after="0"/>
              <w:rPr>
                <w:sz w:val="20"/>
                <w:szCs w:val="20"/>
                <w:color w:val="auto"/>
              </w:rPr>
            </w:pPr>
            <w:r>
              <w:rPr>
                <w:rFonts w:ascii="Arial" w:cs="Arial" w:eastAsia="Arial" w:hAnsi="Arial"/>
                <w:sz w:val="15"/>
                <w:szCs w:val="15"/>
                <w:b w:val="1"/>
                <w:bCs w:val="1"/>
                <w:color w:val="auto"/>
                <w:w w:val="91"/>
              </w:rPr>
              <w:t>Amortized Cost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1"/>
              </w:rPr>
              <w:t>Fair Value</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ind w:left="80"/>
              <w:spacing w:after="0"/>
              <w:rPr>
                <w:sz w:val="20"/>
                <w:szCs w:val="20"/>
                <w:color w:val="auto"/>
              </w:rPr>
            </w:pPr>
            <w:r>
              <w:rPr>
                <w:rFonts w:ascii="Arial" w:cs="Arial" w:eastAsia="Arial" w:hAnsi="Arial"/>
                <w:sz w:val="15"/>
                <w:szCs w:val="15"/>
                <w:b w:val="1"/>
                <w:bCs w:val="1"/>
                <w:color w:val="auto"/>
              </w:rPr>
              <w:t>Investments at</w:t>
            </w:r>
          </w:p>
        </w:tc>
        <w:tc>
          <w:tcPr>
            <w:tcW w:w="1520" w:type="dxa"/>
            <w:vAlign w:val="bottom"/>
            <w:gridSpan w:val="2"/>
          </w:tcPr>
          <w:p>
            <w:pPr>
              <w:jc w:val="center"/>
              <w:ind w:right="125"/>
              <w:spacing w:after="0"/>
              <w:rPr>
                <w:sz w:val="20"/>
                <w:szCs w:val="20"/>
                <w:color w:val="auto"/>
              </w:rPr>
            </w:pPr>
            <w:r>
              <w:rPr>
                <w:rFonts w:ascii="Arial" w:cs="Arial" w:eastAsia="Arial" w:hAnsi="Arial"/>
                <w:sz w:val="15"/>
                <w:szCs w:val="15"/>
                <w:b w:val="1"/>
                <w:bCs w:val="1"/>
                <w:color w:val="auto"/>
                <w:w w:val="88"/>
              </w:rPr>
              <w:t>Percentage of</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3"/>
              </w:rPr>
              <w:t>Investments at</w:t>
            </w:r>
          </w:p>
        </w:tc>
        <w:tc>
          <w:tcPr>
            <w:tcW w:w="148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86"/>
              </w:rPr>
              <w:t>Percentage of</w:t>
            </w: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2720" w:type="dxa"/>
            <w:vAlign w:val="bottom"/>
            <w:tcBorders>
              <w:bottom w:val="single" w:sz="8" w:color="CCFFCC"/>
            </w:tcBorders>
          </w:tcPr>
          <w:p>
            <w:pPr>
              <w:spacing w:after="0"/>
              <w:rPr>
                <w:sz w:val="16"/>
                <w:szCs w:val="16"/>
                <w:color w:val="auto"/>
              </w:rPr>
            </w:pPr>
          </w:p>
        </w:tc>
        <w:tc>
          <w:tcPr>
            <w:tcW w:w="1460" w:type="dxa"/>
            <w:vAlign w:val="bottom"/>
            <w:tcBorders>
              <w:bottom w:val="single" w:sz="8" w:color="CCFFC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93"/>
              </w:rPr>
              <w:t>Amortized Cost</w:t>
            </w:r>
          </w:p>
        </w:tc>
        <w:tc>
          <w:tcPr>
            <w:tcW w:w="200" w:type="dxa"/>
            <w:vAlign w:val="bottom"/>
            <w:tcBorders>
              <w:bottom w:val="single" w:sz="8" w:color="CCFFCC"/>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Total Portfolio</w:t>
            </w:r>
          </w:p>
        </w:tc>
        <w:tc>
          <w:tcPr>
            <w:tcW w:w="200" w:type="dxa"/>
            <w:vAlign w:val="bottom"/>
            <w:tcBorders>
              <w:bottom w:val="single" w:sz="8" w:color="CCFFCC"/>
            </w:tcBorders>
          </w:tcPr>
          <w:p>
            <w:pPr>
              <w:spacing w:after="0"/>
              <w:rPr>
                <w:sz w:val="16"/>
                <w:szCs w:val="16"/>
                <w:color w:val="auto"/>
              </w:rPr>
            </w:pPr>
          </w:p>
        </w:tc>
        <w:tc>
          <w:tcPr>
            <w:tcW w:w="40" w:type="dxa"/>
            <w:vAlign w:val="bottom"/>
            <w:tcBorders>
              <w:bottom w:val="single" w:sz="8" w:color="CCFFC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Fair Value</w:t>
            </w:r>
          </w:p>
        </w:tc>
        <w:tc>
          <w:tcPr>
            <w:tcW w:w="200" w:type="dxa"/>
            <w:vAlign w:val="bottom"/>
            <w:tcBorders>
              <w:bottom w:val="single" w:sz="8" w:color="CCFFCC"/>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Total Portfolio</w:t>
            </w:r>
          </w:p>
        </w:tc>
        <w:tc>
          <w:tcPr>
            <w:tcW w:w="140" w:type="dxa"/>
            <w:vAlign w:val="bottom"/>
            <w:tcBorders>
              <w:bottom w:val="single" w:sz="8" w:color="CCFFCC"/>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2720" w:type="dxa"/>
            <w:vAlign w:val="bottom"/>
            <w:shd w:val="clear" w:color="auto" w:fill="CCFFCC"/>
          </w:tcPr>
          <w:p>
            <w:pPr>
              <w:spacing w:after="0"/>
              <w:rPr>
                <w:sz w:val="20"/>
                <w:szCs w:val="20"/>
                <w:color w:val="auto"/>
              </w:rPr>
            </w:pPr>
            <w:r>
              <w:rPr>
                <w:rFonts w:ascii="Arial" w:cs="Arial" w:eastAsia="Arial" w:hAnsi="Arial"/>
                <w:sz w:val="15"/>
                <w:szCs w:val="15"/>
                <w:color w:val="auto"/>
              </w:rPr>
              <w:t>Senior Secured Debt</w:t>
            </w:r>
          </w:p>
        </w:tc>
        <w:tc>
          <w:tcPr>
            <w:tcW w:w="1460" w:type="dxa"/>
            <w:vAlign w:val="bottom"/>
            <w:shd w:val="clear" w:color="auto" w:fill="CCFFCC"/>
          </w:tcPr>
          <w:p>
            <w:pPr>
              <w:spacing w:after="0"/>
              <w:rPr>
                <w:sz w:val="15"/>
                <w:szCs w:val="15"/>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103,457</w:t>
            </w:r>
          </w:p>
        </w:tc>
        <w:tc>
          <w:tcPr>
            <w:tcW w:w="200" w:type="dxa"/>
            <w:vAlign w:val="bottom"/>
            <w:shd w:val="clear" w:color="auto" w:fill="CCFFCC"/>
          </w:tcPr>
          <w:p>
            <w:pPr>
              <w:spacing w:after="0"/>
              <w:rPr>
                <w:sz w:val="15"/>
                <w:szCs w:val="15"/>
                <w:color w:val="auto"/>
              </w:rPr>
            </w:pPr>
          </w:p>
        </w:tc>
        <w:tc>
          <w:tcPr>
            <w:tcW w:w="1520" w:type="dxa"/>
            <w:vAlign w:val="bottom"/>
            <w:gridSpan w:val="2"/>
            <w:shd w:val="clear" w:color="auto" w:fill="CCFFCC"/>
          </w:tcPr>
          <w:p>
            <w:pPr>
              <w:ind w:left="1060"/>
              <w:spacing w:after="0"/>
              <w:rPr>
                <w:sz w:val="20"/>
                <w:szCs w:val="20"/>
                <w:color w:val="auto"/>
              </w:rPr>
            </w:pPr>
            <w:r>
              <w:rPr>
                <w:rFonts w:ascii="Arial" w:cs="Arial" w:eastAsia="Arial" w:hAnsi="Arial"/>
                <w:sz w:val="15"/>
                <w:szCs w:val="15"/>
                <w:color w:val="auto"/>
              </w:rPr>
              <w:t>34.3%</w:t>
            </w:r>
          </w:p>
        </w:tc>
        <w:tc>
          <w:tcPr>
            <w:tcW w:w="40" w:type="dxa"/>
            <w:vAlign w:val="bottom"/>
            <w:shd w:val="clear" w:color="auto" w:fill="CCFFCC"/>
          </w:tcPr>
          <w:p>
            <w:pPr>
              <w:spacing w:after="0"/>
              <w:rPr>
                <w:sz w:val="15"/>
                <w:szCs w:val="15"/>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102,071</w:t>
            </w:r>
          </w:p>
        </w:tc>
        <w:tc>
          <w:tcPr>
            <w:tcW w:w="200" w:type="dxa"/>
            <w:vAlign w:val="bottom"/>
            <w:shd w:val="clear" w:color="auto" w:fill="CCFFCC"/>
          </w:tcPr>
          <w:p>
            <w:pPr>
              <w:spacing w:after="0"/>
              <w:rPr>
                <w:sz w:val="15"/>
                <w:szCs w:val="15"/>
                <w:color w:val="auto"/>
              </w:rPr>
            </w:pPr>
          </w:p>
        </w:tc>
        <w:tc>
          <w:tcPr>
            <w:tcW w:w="1480" w:type="dxa"/>
            <w:vAlign w:val="bottom"/>
            <w:gridSpan w:val="3"/>
            <w:shd w:val="clear" w:color="auto" w:fill="CCFFCC"/>
          </w:tcPr>
          <w:p>
            <w:pPr>
              <w:jc w:val="right"/>
              <w:ind w:right="20"/>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2720" w:type="dxa"/>
            <w:vAlign w:val="bottom"/>
          </w:tcPr>
          <w:p>
            <w:pPr>
              <w:spacing w:after="0"/>
              <w:rPr>
                <w:sz w:val="20"/>
                <w:szCs w:val="20"/>
                <w:color w:val="auto"/>
              </w:rPr>
            </w:pPr>
            <w:r>
              <w:rPr>
                <w:rFonts w:ascii="Arial" w:cs="Arial" w:eastAsia="Arial" w:hAnsi="Arial"/>
                <w:sz w:val="15"/>
                <w:szCs w:val="15"/>
                <w:color w:val="auto"/>
              </w:rPr>
              <w:t>Subordinated Debt</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136,638</w:t>
            </w:r>
          </w:p>
        </w:tc>
        <w:tc>
          <w:tcPr>
            <w:tcW w:w="1520" w:type="dxa"/>
            <w:vAlign w:val="bottom"/>
            <w:gridSpan w:val="2"/>
          </w:tcPr>
          <w:p>
            <w:pPr>
              <w:ind w:left="1060"/>
              <w:spacing w:after="0"/>
              <w:rPr>
                <w:sz w:val="20"/>
                <w:szCs w:val="20"/>
                <w:color w:val="auto"/>
              </w:rPr>
            </w:pPr>
            <w:r>
              <w:rPr>
                <w:rFonts w:ascii="Arial" w:cs="Arial" w:eastAsia="Arial" w:hAnsi="Arial"/>
                <w:sz w:val="15"/>
                <w:szCs w:val="15"/>
                <w:color w:val="auto"/>
              </w:rPr>
              <w:t>45.4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133,710</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36.7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2720" w:type="dxa"/>
            <w:vAlign w:val="bottom"/>
            <w:shd w:val="clear" w:color="auto" w:fill="CCFFCC"/>
          </w:tcPr>
          <w:p>
            <w:pPr>
              <w:spacing w:after="0"/>
              <w:rPr>
                <w:sz w:val="20"/>
                <w:szCs w:val="20"/>
                <w:color w:val="auto"/>
              </w:rPr>
            </w:pPr>
            <w:r>
              <w:rPr>
                <w:rFonts w:ascii="Arial" w:cs="Arial" w:eastAsia="Arial" w:hAnsi="Arial"/>
                <w:sz w:val="15"/>
                <w:szCs w:val="15"/>
                <w:color w:val="auto"/>
              </w:rPr>
              <w:t>Equity and Warrants</w:t>
            </w:r>
          </w:p>
        </w:tc>
        <w:tc>
          <w:tcPr>
            <w:tcW w:w="14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61,204</w:t>
            </w:r>
          </w:p>
        </w:tc>
        <w:tc>
          <w:tcPr>
            <w:tcW w:w="200" w:type="dxa"/>
            <w:vAlign w:val="bottom"/>
            <w:shd w:val="clear" w:color="auto" w:fill="CCFFCC"/>
          </w:tcPr>
          <w:p>
            <w:pPr>
              <w:spacing w:after="0"/>
              <w:rPr>
                <w:sz w:val="16"/>
                <w:szCs w:val="16"/>
                <w:color w:val="auto"/>
              </w:rPr>
            </w:pPr>
          </w:p>
        </w:tc>
        <w:tc>
          <w:tcPr>
            <w:tcW w:w="1520" w:type="dxa"/>
            <w:vAlign w:val="bottom"/>
            <w:gridSpan w:val="2"/>
            <w:shd w:val="clear" w:color="auto" w:fill="CCFFCC"/>
          </w:tcPr>
          <w:p>
            <w:pPr>
              <w:ind w:left="1060"/>
              <w:spacing w:after="0"/>
              <w:rPr>
                <w:sz w:val="20"/>
                <w:szCs w:val="20"/>
                <w:color w:val="auto"/>
              </w:rPr>
            </w:pPr>
            <w:r>
              <w:rPr>
                <w:rFonts w:ascii="Arial" w:cs="Arial" w:eastAsia="Arial" w:hAnsi="Arial"/>
                <w:sz w:val="15"/>
                <w:szCs w:val="15"/>
                <w:color w:val="auto"/>
              </w:rPr>
              <w:t>20.3</w:t>
            </w:r>
          </w:p>
        </w:tc>
        <w:tc>
          <w:tcPr>
            <w:tcW w:w="4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128,938</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rPr>
              <w:t>35.3</w:t>
            </w: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720" w:type="dxa"/>
            <w:vAlign w:val="bottom"/>
            <w:vMerge w:val="restart"/>
          </w:tcPr>
          <w:p>
            <w:pPr>
              <w:spacing w:after="0"/>
              <w:rPr>
                <w:sz w:val="20"/>
                <w:szCs w:val="20"/>
                <w:color w:val="auto"/>
              </w:rPr>
            </w:pPr>
            <w:r>
              <w:rPr>
                <w:rFonts w:ascii="Arial" w:cs="Arial" w:eastAsia="Arial" w:hAnsi="Arial"/>
                <w:sz w:val="15"/>
                <w:szCs w:val="15"/>
                <w:color w:val="auto"/>
              </w:rPr>
              <w:t>Total</w:t>
            </w: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w w:val="89"/>
              </w:rPr>
              <w:t>%</w:t>
            </w: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720" w:type="dxa"/>
            <w:vAlign w:val="bottom"/>
            <w:vMerge w:val="continue"/>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301,299</w:t>
            </w:r>
          </w:p>
        </w:tc>
        <w:tc>
          <w:tcPr>
            <w:tcW w:w="1320" w:type="dxa"/>
            <w:vAlign w:val="bottom"/>
          </w:tcPr>
          <w:p>
            <w:pPr>
              <w:jc w:val="right"/>
              <w:spacing w:after="0"/>
              <w:rPr>
                <w:sz w:val="20"/>
                <w:szCs w:val="20"/>
                <w:color w:val="auto"/>
              </w:rPr>
            </w:pPr>
            <w:r>
              <w:rPr>
                <w:rFonts w:ascii="Arial" w:cs="Arial" w:eastAsia="Arial" w:hAnsi="Arial"/>
                <w:sz w:val="15"/>
                <w:szCs w:val="15"/>
                <w:color w:val="auto"/>
              </w:rPr>
              <w:t>100.0</w:t>
            </w:r>
          </w:p>
        </w:tc>
        <w:tc>
          <w:tcPr>
            <w:tcW w:w="200" w:type="dxa"/>
            <w:vAlign w:val="bottom"/>
            <w:vMerge w:val="continue"/>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364,719</w:t>
            </w:r>
          </w:p>
        </w:tc>
        <w:tc>
          <w:tcPr>
            <w:tcW w:w="1340" w:type="dxa"/>
            <w:vAlign w:val="bottom"/>
          </w:tcPr>
          <w:p>
            <w:pPr>
              <w:jc w:val="right"/>
              <w:spacing w:after="0"/>
              <w:rPr>
                <w:sz w:val="20"/>
                <w:szCs w:val="20"/>
                <w:color w:val="auto"/>
              </w:rPr>
            </w:pPr>
            <w:r>
              <w:rPr>
                <w:rFonts w:ascii="Arial" w:cs="Arial" w:eastAsia="Arial" w:hAnsi="Arial"/>
                <w:sz w:val="15"/>
                <w:szCs w:val="15"/>
                <w:color w:val="auto"/>
              </w:rPr>
              <w:t>100.0</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720"/>
        <w:spacing w:after="0"/>
        <w:rPr>
          <w:sz w:val="20"/>
          <w:szCs w:val="20"/>
          <w:color w:val="auto"/>
        </w:rPr>
      </w:pPr>
      <w:r>
        <w:rPr>
          <w:rFonts w:ascii="Arial" w:cs="Arial" w:eastAsia="Arial" w:hAnsi="Arial"/>
          <w:sz w:val="15"/>
          <w:szCs w:val="15"/>
          <w:color w:val="auto"/>
        </w:rPr>
        <w:t>The composition of our investments as of December 31, 2012, at amortized cost and fair value were as follows (dollars in thousands):</w:t>
      </w:r>
    </w:p>
    <w:p>
      <w:pPr>
        <w:spacing w:after="0" w:line="185" w:lineRule="exact"/>
        <w:rPr>
          <w:sz w:val="20"/>
          <w:szCs w:val="20"/>
          <w:color w:val="auto"/>
        </w:rPr>
      </w:pPr>
    </w:p>
    <w:tbl>
      <w:tblPr>
        <w:tblLayout w:type="fixed"/>
        <w:tblInd w:w="260" w:type="dxa"/>
        <w:tblCellMar>
          <w:top w:w="0" w:type="dxa"/>
          <w:left w:w="0" w:type="dxa"/>
          <w:bottom w:w="0" w:type="dxa"/>
          <w:right w:w="0" w:type="dxa"/>
        </w:tblCellMar>
      </w:tblPr>
      <w:tr>
        <w:trPr>
          <w:trHeight w:val="181"/>
        </w:trPr>
        <w:tc>
          <w:tcPr>
            <w:tcW w:w="27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105"/>
              <w:spacing w:after="0"/>
              <w:rPr>
                <w:sz w:val="20"/>
                <w:szCs w:val="20"/>
                <w:color w:val="auto"/>
              </w:rPr>
            </w:pPr>
            <w:r>
              <w:rPr>
                <w:rFonts w:ascii="Arial" w:cs="Arial" w:eastAsia="Arial" w:hAnsi="Arial"/>
                <w:sz w:val="15"/>
                <w:szCs w:val="15"/>
                <w:b w:val="1"/>
                <w:bCs w:val="1"/>
                <w:color w:val="auto"/>
                <w:w w:val="91"/>
              </w:rPr>
              <w:t>Amortized Cost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1"/>
              </w:rPr>
              <w:t>Fair Value</w:t>
            </w:r>
          </w:p>
        </w:tc>
        <w:tc>
          <w:tcPr>
            <w:tcW w:w="0" w:type="dxa"/>
            <w:vAlign w:val="bottom"/>
          </w:tcPr>
          <w:p>
            <w:pPr>
              <w:spacing w:after="0"/>
              <w:rPr>
                <w:sz w:val="1"/>
                <w:szCs w:val="1"/>
                <w:color w:val="auto"/>
              </w:rPr>
            </w:pPr>
          </w:p>
        </w:tc>
      </w:tr>
      <w:tr>
        <w:trPr>
          <w:trHeight w:val="181"/>
        </w:trPr>
        <w:tc>
          <w:tcPr>
            <w:tcW w:w="27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ind w:left="80"/>
              <w:spacing w:after="0"/>
              <w:rPr>
                <w:sz w:val="20"/>
                <w:szCs w:val="20"/>
                <w:color w:val="auto"/>
              </w:rPr>
            </w:pPr>
            <w:r>
              <w:rPr>
                <w:rFonts w:ascii="Arial" w:cs="Arial" w:eastAsia="Arial" w:hAnsi="Arial"/>
                <w:sz w:val="15"/>
                <w:szCs w:val="15"/>
                <w:b w:val="1"/>
                <w:bCs w:val="1"/>
                <w:color w:val="auto"/>
              </w:rPr>
              <w:t>Investments at</w:t>
            </w:r>
          </w:p>
        </w:tc>
        <w:tc>
          <w:tcPr>
            <w:tcW w:w="1520" w:type="dxa"/>
            <w:vAlign w:val="bottom"/>
            <w:gridSpan w:val="2"/>
          </w:tcPr>
          <w:p>
            <w:pPr>
              <w:jc w:val="center"/>
              <w:ind w:right="125"/>
              <w:spacing w:after="0"/>
              <w:rPr>
                <w:sz w:val="20"/>
                <w:szCs w:val="20"/>
                <w:color w:val="auto"/>
              </w:rPr>
            </w:pPr>
            <w:r>
              <w:rPr>
                <w:rFonts w:ascii="Arial" w:cs="Arial" w:eastAsia="Arial" w:hAnsi="Arial"/>
                <w:sz w:val="15"/>
                <w:szCs w:val="15"/>
                <w:b w:val="1"/>
                <w:bCs w:val="1"/>
                <w:color w:val="auto"/>
                <w:w w:val="88"/>
              </w:rPr>
              <w:t>Percentage of</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3"/>
              </w:rPr>
              <w:t>Investments at</w:t>
            </w:r>
          </w:p>
        </w:tc>
        <w:tc>
          <w:tcPr>
            <w:tcW w:w="148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86"/>
              </w:rPr>
              <w:t>Percentage of</w:t>
            </w:r>
          </w:p>
        </w:tc>
        <w:tc>
          <w:tcPr>
            <w:tcW w:w="0" w:type="dxa"/>
            <w:vAlign w:val="bottom"/>
          </w:tcPr>
          <w:p>
            <w:pPr>
              <w:spacing w:after="0"/>
              <w:rPr>
                <w:sz w:val="1"/>
                <w:szCs w:val="1"/>
                <w:color w:val="auto"/>
              </w:rPr>
            </w:pPr>
          </w:p>
        </w:tc>
      </w:tr>
      <w:tr>
        <w:trPr>
          <w:trHeight w:val="195"/>
        </w:trPr>
        <w:tc>
          <w:tcPr>
            <w:tcW w:w="2720" w:type="dxa"/>
            <w:vAlign w:val="bottom"/>
            <w:tcBorders>
              <w:bottom w:val="single" w:sz="8" w:color="CCFFCC"/>
            </w:tcBorders>
          </w:tcPr>
          <w:p>
            <w:pPr>
              <w:spacing w:after="0"/>
              <w:rPr>
                <w:sz w:val="16"/>
                <w:szCs w:val="16"/>
                <w:color w:val="auto"/>
              </w:rPr>
            </w:pPr>
          </w:p>
        </w:tc>
        <w:tc>
          <w:tcPr>
            <w:tcW w:w="1460" w:type="dxa"/>
            <w:vAlign w:val="bottom"/>
            <w:tcBorders>
              <w:bottom w:val="single" w:sz="8" w:color="CCFFC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93"/>
              </w:rPr>
              <w:t>Amortized Cost</w:t>
            </w:r>
          </w:p>
        </w:tc>
        <w:tc>
          <w:tcPr>
            <w:tcW w:w="200" w:type="dxa"/>
            <w:vAlign w:val="bottom"/>
            <w:tcBorders>
              <w:bottom w:val="single" w:sz="8" w:color="CCFFCC"/>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Total Portfolio</w:t>
            </w:r>
          </w:p>
        </w:tc>
        <w:tc>
          <w:tcPr>
            <w:tcW w:w="200" w:type="dxa"/>
            <w:vAlign w:val="bottom"/>
            <w:tcBorders>
              <w:bottom w:val="single" w:sz="8" w:color="CCFFCC"/>
            </w:tcBorders>
          </w:tcPr>
          <w:p>
            <w:pPr>
              <w:spacing w:after="0"/>
              <w:rPr>
                <w:sz w:val="16"/>
                <w:szCs w:val="16"/>
                <w:color w:val="auto"/>
              </w:rPr>
            </w:pPr>
          </w:p>
        </w:tc>
        <w:tc>
          <w:tcPr>
            <w:tcW w:w="40" w:type="dxa"/>
            <w:vAlign w:val="bottom"/>
            <w:tcBorders>
              <w:bottom w:val="single" w:sz="8" w:color="CCFFC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Fair Value</w:t>
            </w:r>
          </w:p>
        </w:tc>
        <w:tc>
          <w:tcPr>
            <w:tcW w:w="200" w:type="dxa"/>
            <w:vAlign w:val="bottom"/>
            <w:tcBorders>
              <w:bottom w:val="single" w:sz="8" w:color="CCFFCC"/>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Total Portfolio</w:t>
            </w:r>
          </w:p>
        </w:tc>
        <w:tc>
          <w:tcPr>
            <w:tcW w:w="140" w:type="dxa"/>
            <w:vAlign w:val="bottom"/>
            <w:tcBorders>
              <w:bottom w:val="single" w:sz="8" w:color="CCFFCC"/>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720" w:type="dxa"/>
            <w:vAlign w:val="bottom"/>
            <w:shd w:val="clear" w:color="auto" w:fill="CCFFCC"/>
          </w:tcPr>
          <w:p>
            <w:pPr>
              <w:spacing w:after="0"/>
              <w:rPr>
                <w:sz w:val="20"/>
                <w:szCs w:val="20"/>
                <w:color w:val="auto"/>
              </w:rPr>
            </w:pPr>
            <w:r>
              <w:rPr>
                <w:rFonts w:ascii="Arial" w:cs="Arial" w:eastAsia="Arial" w:hAnsi="Arial"/>
                <w:sz w:val="15"/>
                <w:szCs w:val="15"/>
                <w:color w:val="auto"/>
              </w:rPr>
              <w:t>Senior Secured Debt</w:t>
            </w:r>
          </w:p>
        </w:tc>
        <w:tc>
          <w:tcPr>
            <w:tcW w:w="1460" w:type="dxa"/>
            <w:vAlign w:val="bottom"/>
            <w:shd w:val="clear" w:color="auto" w:fill="CCFFCC"/>
          </w:tcPr>
          <w:p>
            <w:pPr>
              <w:spacing w:after="0"/>
              <w:rPr>
                <w:sz w:val="15"/>
                <w:szCs w:val="15"/>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72,728</w:t>
            </w:r>
          </w:p>
        </w:tc>
        <w:tc>
          <w:tcPr>
            <w:tcW w:w="200" w:type="dxa"/>
            <w:vAlign w:val="bottom"/>
            <w:shd w:val="clear" w:color="auto" w:fill="CCFFCC"/>
          </w:tcPr>
          <w:p>
            <w:pPr>
              <w:spacing w:after="0"/>
              <w:rPr>
                <w:sz w:val="15"/>
                <w:szCs w:val="15"/>
                <w:color w:val="auto"/>
              </w:rPr>
            </w:pPr>
          </w:p>
        </w:tc>
        <w:tc>
          <w:tcPr>
            <w:tcW w:w="1520" w:type="dxa"/>
            <w:vAlign w:val="bottom"/>
            <w:gridSpan w:val="2"/>
            <w:shd w:val="clear" w:color="auto" w:fill="CCFFCC"/>
          </w:tcPr>
          <w:p>
            <w:pPr>
              <w:ind w:left="1060"/>
              <w:spacing w:after="0"/>
              <w:rPr>
                <w:sz w:val="20"/>
                <w:szCs w:val="20"/>
                <w:color w:val="auto"/>
              </w:rPr>
            </w:pPr>
            <w:r>
              <w:rPr>
                <w:rFonts w:ascii="Arial" w:cs="Arial" w:eastAsia="Arial" w:hAnsi="Arial"/>
                <w:sz w:val="15"/>
                <w:szCs w:val="15"/>
                <w:color w:val="auto"/>
              </w:rPr>
              <w:t>32.0%</w:t>
            </w:r>
          </w:p>
        </w:tc>
        <w:tc>
          <w:tcPr>
            <w:tcW w:w="40" w:type="dxa"/>
            <w:vAlign w:val="bottom"/>
            <w:shd w:val="clear" w:color="auto" w:fill="CCFFCC"/>
          </w:tcPr>
          <w:p>
            <w:pPr>
              <w:spacing w:after="0"/>
              <w:rPr>
                <w:sz w:val="15"/>
                <w:szCs w:val="15"/>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73,861</w:t>
            </w:r>
          </w:p>
        </w:tc>
        <w:tc>
          <w:tcPr>
            <w:tcW w:w="200" w:type="dxa"/>
            <w:vAlign w:val="bottom"/>
            <w:shd w:val="clear" w:color="auto" w:fill="CCFFCC"/>
          </w:tcPr>
          <w:p>
            <w:pPr>
              <w:spacing w:after="0"/>
              <w:rPr>
                <w:sz w:val="15"/>
                <w:szCs w:val="15"/>
                <w:color w:val="auto"/>
              </w:rPr>
            </w:pPr>
          </w:p>
        </w:tc>
        <w:tc>
          <w:tcPr>
            <w:tcW w:w="1480" w:type="dxa"/>
            <w:vAlign w:val="bottom"/>
            <w:gridSpan w:val="3"/>
            <w:shd w:val="clear" w:color="auto" w:fill="CCFFCC"/>
          </w:tcPr>
          <w:p>
            <w:pPr>
              <w:jc w:val="right"/>
              <w:ind w:right="20"/>
              <w:spacing w:after="0"/>
              <w:rPr>
                <w:sz w:val="20"/>
                <w:szCs w:val="20"/>
                <w:color w:val="auto"/>
              </w:rPr>
            </w:pPr>
            <w:r>
              <w:rPr>
                <w:rFonts w:ascii="Arial" w:cs="Arial" w:eastAsia="Arial" w:hAnsi="Arial"/>
                <w:sz w:val="15"/>
                <w:szCs w:val="15"/>
                <w:color w:val="auto"/>
              </w:rPr>
              <w:t>26.0%</w:t>
            </w:r>
          </w:p>
        </w:tc>
        <w:tc>
          <w:tcPr>
            <w:tcW w:w="0" w:type="dxa"/>
            <w:vAlign w:val="bottom"/>
          </w:tcPr>
          <w:p>
            <w:pPr>
              <w:spacing w:after="0"/>
              <w:rPr>
                <w:sz w:val="1"/>
                <w:szCs w:val="1"/>
                <w:color w:val="auto"/>
              </w:rPr>
            </w:pPr>
          </w:p>
        </w:tc>
      </w:tr>
      <w:tr>
        <w:trPr>
          <w:trHeight w:val="181"/>
        </w:trPr>
        <w:tc>
          <w:tcPr>
            <w:tcW w:w="2720" w:type="dxa"/>
            <w:vAlign w:val="bottom"/>
          </w:tcPr>
          <w:p>
            <w:pPr>
              <w:spacing w:after="0"/>
              <w:rPr>
                <w:sz w:val="20"/>
                <w:szCs w:val="20"/>
                <w:color w:val="auto"/>
              </w:rPr>
            </w:pPr>
            <w:r>
              <w:rPr>
                <w:rFonts w:ascii="Arial" w:cs="Arial" w:eastAsia="Arial" w:hAnsi="Arial"/>
                <w:sz w:val="15"/>
                <w:szCs w:val="15"/>
                <w:color w:val="auto"/>
              </w:rPr>
              <w:t>Subordinated Debt</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109,030</w:t>
            </w:r>
          </w:p>
        </w:tc>
        <w:tc>
          <w:tcPr>
            <w:tcW w:w="1520" w:type="dxa"/>
            <w:vAlign w:val="bottom"/>
            <w:gridSpan w:val="2"/>
          </w:tcPr>
          <w:p>
            <w:pPr>
              <w:ind w:left="1060"/>
              <w:spacing w:after="0"/>
              <w:rPr>
                <w:sz w:val="20"/>
                <w:szCs w:val="20"/>
                <w:color w:val="auto"/>
              </w:rPr>
            </w:pPr>
            <w:r>
              <w:rPr>
                <w:rFonts w:ascii="Arial" w:cs="Arial" w:eastAsia="Arial" w:hAnsi="Arial"/>
                <w:sz w:val="15"/>
                <w:szCs w:val="15"/>
                <w:color w:val="auto"/>
              </w:rPr>
              <w:t>47.9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101,659</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35.8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720" w:type="dxa"/>
            <w:vAlign w:val="bottom"/>
            <w:shd w:val="clear" w:color="auto" w:fill="CCFFCC"/>
          </w:tcPr>
          <w:p>
            <w:pPr>
              <w:spacing w:after="0"/>
              <w:rPr>
                <w:sz w:val="20"/>
                <w:szCs w:val="20"/>
                <w:color w:val="auto"/>
              </w:rPr>
            </w:pPr>
            <w:r>
              <w:rPr>
                <w:rFonts w:ascii="Arial" w:cs="Arial" w:eastAsia="Arial" w:hAnsi="Arial"/>
                <w:sz w:val="15"/>
                <w:szCs w:val="15"/>
                <w:color w:val="auto"/>
              </w:rPr>
              <w:t>Equity and Warrants</w:t>
            </w:r>
          </w:p>
        </w:tc>
        <w:tc>
          <w:tcPr>
            <w:tcW w:w="14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45,940</w:t>
            </w:r>
          </w:p>
        </w:tc>
        <w:tc>
          <w:tcPr>
            <w:tcW w:w="200" w:type="dxa"/>
            <w:vAlign w:val="bottom"/>
            <w:shd w:val="clear" w:color="auto" w:fill="CCFFCC"/>
          </w:tcPr>
          <w:p>
            <w:pPr>
              <w:spacing w:after="0"/>
              <w:rPr>
                <w:sz w:val="16"/>
                <w:szCs w:val="16"/>
                <w:color w:val="auto"/>
              </w:rPr>
            </w:pPr>
          </w:p>
        </w:tc>
        <w:tc>
          <w:tcPr>
            <w:tcW w:w="1520" w:type="dxa"/>
            <w:vAlign w:val="bottom"/>
            <w:gridSpan w:val="2"/>
            <w:shd w:val="clear" w:color="auto" w:fill="CCFFCC"/>
          </w:tcPr>
          <w:p>
            <w:pPr>
              <w:ind w:left="1060"/>
              <w:spacing w:after="0"/>
              <w:rPr>
                <w:sz w:val="20"/>
                <w:szCs w:val="20"/>
                <w:color w:val="auto"/>
              </w:rPr>
            </w:pPr>
            <w:r>
              <w:rPr>
                <w:rFonts w:ascii="Arial" w:cs="Arial" w:eastAsia="Arial" w:hAnsi="Arial"/>
                <w:sz w:val="15"/>
                <w:szCs w:val="15"/>
                <w:color w:val="auto"/>
              </w:rPr>
              <w:t>20.1</w:t>
            </w:r>
          </w:p>
        </w:tc>
        <w:tc>
          <w:tcPr>
            <w:tcW w:w="4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108,411</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rPr>
              <w:t>38.2</w:t>
            </w: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5"/>
                <w:szCs w:val="15"/>
                <w:color w:val="auto"/>
              </w:rPr>
              <w:t>Total</w:t>
            </w: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w w:val="89"/>
              </w:rPr>
              <w:t>%</w:t>
            </w: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line="20" w:lineRule="exact"/>
              <w:rPr>
                <w:sz w:val="1"/>
                <w:szCs w:val="1"/>
                <w:color w:val="auto"/>
              </w:rPr>
            </w:pPr>
          </w:p>
        </w:tc>
      </w:tr>
      <w:tr>
        <w:trPr>
          <w:trHeight w:val="183"/>
        </w:trPr>
        <w:tc>
          <w:tcPr>
            <w:tcW w:w="2720" w:type="dxa"/>
            <w:vAlign w:val="bottom"/>
            <w:vMerge w:val="continue"/>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227,698</w:t>
            </w:r>
          </w:p>
        </w:tc>
        <w:tc>
          <w:tcPr>
            <w:tcW w:w="1320" w:type="dxa"/>
            <w:vAlign w:val="bottom"/>
          </w:tcPr>
          <w:p>
            <w:pPr>
              <w:jc w:val="right"/>
              <w:spacing w:after="0"/>
              <w:rPr>
                <w:sz w:val="20"/>
                <w:szCs w:val="20"/>
                <w:color w:val="auto"/>
              </w:rPr>
            </w:pPr>
            <w:r>
              <w:rPr>
                <w:rFonts w:ascii="Arial" w:cs="Arial" w:eastAsia="Arial" w:hAnsi="Arial"/>
                <w:sz w:val="15"/>
                <w:szCs w:val="15"/>
                <w:color w:val="auto"/>
              </w:rPr>
              <w:t>100.0</w:t>
            </w:r>
          </w:p>
        </w:tc>
        <w:tc>
          <w:tcPr>
            <w:tcW w:w="200" w:type="dxa"/>
            <w:vAlign w:val="bottom"/>
            <w:vMerge w:val="continue"/>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283,931</w:t>
            </w:r>
          </w:p>
        </w:tc>
        <w:tc>
          <w:tcPr>
            <w:tcW w:w="1340" w:type="dxa"/>
            <w:vAlign w:val="bottom"/>
          </w:tcPr>
          <w:p>
            <w:pPr>
              <w:jc w:val="right"/>
              <w:spacing w:after="0"/>
              <w:rPr>
                <w:sz w:val="20"/>
                <w:szCs w:val="20"/>
                <w:color w:val="auto"/>
              </w:rPr>
            </w:pPr>
            <w:r>
              <w:rPr>
                <w:rFonts w:ascii="Arial" w:cs="Arial" w:eastAsia="Arial" w:hAnsi="Arial"/>
                <w:sz w:val="15"/>
                <w:szCs w:val="15"/>
                <w:color w:val="auto"/>
              </w:rPr>
              <w:t>100.0</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40" w:firstLine="738"/>
        <w:spacing w:after="0" w:line="264" w:lineRule="auto"/>
        <w:rPr>
          <w:sz w:val="20"/>
          <w:szCs w:val="20"/>
          <w:color w:val="auto"/>
        </w:rPr>
      </w:pPr>
      <w:r>
        <w:rPr>
          <w:rFonts w:ascii="Arial" w:cs="Arial" w:eastAsia="Arial" w:hAnsi="Arial"/>
          <w:sz w:val="15"/>
          <w:szCs w:val="15"/>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55" w:lineRule="exact"/>
        <w:rPr>
          <w:sz w:val="20"/>
          <w:szCs w:val="20"/>
          <w:color w:val="auto"/>
        </w:rPr>
      </w:pPr>
    </w:p>
    <w:p>
      <w:pPr>
        <w:ind w:right="60" w:firstLine="738"/>
        <w:spacing w:after="0" w:line="260" w:lineRule="auto"/>
        <w:rPr>
          <w:sz w:val="20"/>
          <w:szCs w:val="20"/>
          <w:color w:val="auto"/>
        </w:rPr>
      </w:pPr>
      <w:r>
        <w:rPr>
          <w:rFonts w:ascii="Arial" w:cs="Arial" w:eastAsia="Arial" w:hAnsi="Arial"/>
          <w:sz w:val="15"/>
          <w:szCs w:val="15"/>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57" w:lineRule="exact"/>
        <w:rPr>
          <w:sz w:val="20"/>
          <w:szCs w:val="20"/>
          <w:color w:val="auto"/>
        </w:rPr>
      </w:pPr>
    </w:p>
    <w:p>
      <w:pPr>
        <w:ind w:right="60" w:firstLine="738"/>
        <w:spacing w:after="0" w:line="264" w:lineRule="auto"/>
        <w:rPr>
          <w:sz w:val="20"/>
          <w:szCs w:val="20"/>
          <w:color w:val="auto"/>
        </w:rPr>
      </w:pPr>
      <w:r>
        <w:rPr>
          <w:rFonts w:ascii="Arial" w:cs="Arial" w:eastAsia="Arial" w:hAnsi="Arial"/>
          <w:sz w:val="15"/>
          <w:szCs w:val="15"/>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55" w:lineRule="exact"/>
        <w:rPr>
          <w:sz w:val="20"/>
          <w:szCs w:val="20"/>
          <w:color w:val="auto"/>
        </w:rPr>
      </w:pPr>
    </w:p>
    <w:p>
      <w:pPr>
        <w:ind w:left="1180" w:hanging="364"/>
        <w:spacing w:after="0"/>
        <w:tabs>
          <w:tab w:leader="none" w:pos="11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Level 1—Valuations based on quoted prices in active markets for identical assets or liabilities that the Company has the ability to access.</w:t>
      </w:r>
    </w:p>
    <w:p>
      <w:pPr>
        <w:spacing w:after="0" w:line="189" w:lineRule="exact"/>
        <w:rPr>
          <w:rFonts w:ascii="Arial" w:cs="Arial" w:eastAsia="Arial" w:hAnsi="Arial"/>
          <w:sz w:val="15"/>
          <w:szCs w:val="15"/>
          <w:color w:val="auto"/>
        </w:rPr>
      </w:pPr>
    </w:p>
    <w:p>
      <w:pPr>
        <w:ind w:left="1180" w:hanging="364"/>
        <w:spacing w:after="0"/>
        <w:tabs>
          <w:tab w:leader="none" w:pos="11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Level 2—Valuations based on inputs other than quoted prices in active markets, which are either directly or indirectly observable.</w:t>
      </w:r>
    </w:p>
    <w:p>
      <w:pPr>
        <w:spacing w:after="0" w:line="189" w:lineRule="exact"/>
        <w:rPr>
          <w:rFonts w:ascii="Arial" w:cs="Arial" w:eastAsia="Arial" w:hAnsi="Arial"/>
          <w:sz w:val="15"/>
          <w:szCs w:val="15"/>
          <w:color w:val="auto"/>
        </w:rPr>
      </w:pPr>
    </w:p>
    <w:p>
      <w:pPr>
        <w:ind w:left="1180" w:hanging="364"/>
        <w:spacing w:after="0"/>
        <w:tabs>
          <w:tab w:leader="none" w:pos="11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Level 3—Valuations based on inputs that are unobservable and significant to the overall fair value measurement.</w:t>
      </w:r>
    </w:p>
    <w:p>
      <w:pPr>
        <w:spacing w:after="0" w:line="189" w:lineRule="exact"/>
        <w:rPr>
          <w:sz w:val="20"/>
          <w:szCs w:val="20"/>
          <w:color w:val="auto"/>
        </w:rPr>
      </w:pPr>
    </w:p>
    <w:p>
      <w:pPr>
        <w:ind w:right="60" w:firstLine="738"/>
        <w:spacing w:after="0" w:line="264" w:lineRule="auto"/>
        <w:rPr>
          <w:sz w:val="20"/>
          <w:szCs w:val="20"/>
          <w:color w:val="auto"/>
        </w:rPr>
      </w:pPr>
      <w:r>
        <w:rPr>
          <w:rFonts w:ascii="Arial" w:cs="Arial" w:eastAsia="Arial" w:hAnsi="Arial"/>
          <w:sz w:val="15"/>
          <w:szCs w:val="15"/>
          <w:color w:val="auto"/>
        </w:rPr>
        <w:t>In addition to using the above inputs in investment valuations, the Company continues to employ the valuation policy approved by the Board of Directors that is consistent with ASC 820 (See Note 2). Consistent with our Company’s valuation policy, we evaluate the source of inputs, including any markets in which our investments are trading, in determining fair value.</w:t>
      </w:r>
    </w:p>
    <w:p>
      <w:pPr>
        <w:spacing w:after="0" w:line="155" w:lineRule="exact"/>
        <w:rPr>
          <w:sz w:val="20"/>
          <w:szCs w:val="20"/>
          <w:color w:val="auto"/>
        </w:rPr>
      </w:pPr>
    </w:p>
    <w:p>
      <w:pPr>
        <w:jc w:val="both"/>
        <w:ind w:firstLine="738"/>
        <w:spacing w:after="0" w:line="264" w:lineRule="auto"/>
        <w:rPr>
          <w:sz w:val="20"/>
          <w:szCs w:val="20"/>
          <w:color w:val="auto"/>
        </w:rPr>
      </w:pPr>
      <w:r>
        <w:rPr>
          <w:rFonts w:ascii="Arial" w:cs="Arial" w:eastAsia="Arial" w:hAnsi="Arial"/>
          <w:sz w:val="15"/>
          <w:szCs w:val="15"/>
          <w:color w:val="auto"/>
        </w:rPr>
        <w:t>In estimating fair value of portfolio investments, the Company starts with the cost basis of the investment, which includes amortized original issue discount and payment-in-kind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85" w:name="page86"/>
    <w:bookmarkEnd w:id="85"/>
    <w:p>
      <w:pPr>
        <w:ind w:left="720"/>
        <w:spacing w:after="0"/>
        <w:rPr>
          <w:sz w:val="20"/>
          <w:szCs w:val="20"/>
          <w:color w:val="auto"/>
        </w:rPr>
      </w:pPr>
      <w:r>
        <w:rPr>
          <w:rFonts w:ascii="Arial" w:cs="Arial" w:eastAsia="Arial" w:hAnsi="Arial"/>
          <w:sz w:val="15"/>
          <w:szCs w:val="15"/>
          <w:color w:val="auto"/>
        </w:rPr>
        <w:t>The following valuation methodologies are utilized by the company in estimating fair value and are summarized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Enterprise Value Waterfall Approach</w:t>
      </w:r>
    </w:p>
    <w:p>
      <w:pPr>
        <w:spacing w:after="0" w:line="189" w:lineRule="exact"/>
        <w:rPr>
          <w:sz w:val="20"/>
          <w:szCs w:val="20"/>
          <w:color w:val="auto"/>
        </w:rPr>
      </w:pPr>
    </w:p>
    <w:p>
      <w:pPr>
        <w:ind w:right="100" w:firstLine="738"/>
        <w:spacing w:after="0" w:line="301" w:lineRule="auto"/>
        <w:rPr>
          <w:sz w:val="20"/>
          <w:szCs w:val="20"/>
          <w:color w:val="auto"/>
        </w:rPr>
      </w:pPr>
      <w:r>
        <w:rPr>
          <w:rFonts w:ascii="Arial" w:cs="Arial" w:eastAsia="Arial" w:hAnsi="Arial"/>
          <w:sz w:val="13"/>
          <w:szCs w:val="13"/>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When available, the Company may assign a pricing multiple or value its equity investments based on the value of recent investment transactions in the subject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Income Approach</w:t>
      </w:r>
    </w:p>
    <w:p>
      <w:pPr>
        <w:spacing w:after="0" w:line="189" w:lineRule="exact"/>
        <w:rPr>
          <w:sz w:val="20"/>
          <w:szCs w:val="20"/>
          <w:color w:val="auto"/>
        </w:rPr>
      </w:pPr>
    </w:p>
    <w:p>
      <w:pPr>
        <w:jc w:val="both"/>
        <w:ind w:right="300" w:firstLine="738"/>
        <w:spacing w:after="0" w:line="356" w:lineRule="auto"/>
        <w:rPr>
          <w:sz w:val="20"/>
          <w:szCs w:val="20"/>
          <w:color w:val="auto"/>
        </w:rPr>
      </w:pPr>
      <w:r>
        <w:rPr>
          <w:rFonts w:ascii="Arial" w:cs="Arial" w:eastAsia="Arial" w:hAnsi="Arial"/>
          <w:sz w:val="13"/>
          <w:szCs w:val="13"/>
          <w:color w:val="auto"/>
        </w:rPr>
        <w:t>The income approach utilizes a discounted cash flow methodology in which the Company estimates fair value based on the present value of a stream of expected cash flows discounted at a market rate of interest. The determination of a discount rate, or required rate of return, takes into account the portfolio company’s fundamentals and perceived credit risk.</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Asset Approach</w:t>
      </w:r>
    </w:p>
    <w:p>
      <w:pPr>
        <w:spacing w:after="0" w:line="189" w:lineRule="exact"/>
        <w:rPr>
          <w:sz w:val="20"/>
          <w:szCs w:val="20"/>
          <w:color w:val="auto"/>
        </w:rPr>
      </w:pPr>
    </w:p>
    <w:p>
      <w:pPr>
        <w:ind w:right="120" w:firstLine="738"/>
        <w:spacing w:after="0" w:line="264" w:lineRule="auto"/>
        <w:rPr>
          <w:sz w:val="20"/>
          <w:szCs w:val="20"/>
          <w:color w:val="auto"/>
        </w:rPr>
      </w:pPr>
      <w:r>
        <w:rPr>
          <w:rFonts w:ascii="Arial" w:cs="Arial" w:eastAsia="Arial" w:hAnsi="Arial"/>
          <w:sz w:val="15"/>
          <w:szCs w:val="15"/>
          <w:color w:val="auto"/>
        </w:rPr>
        <w:t>The asset approach values an investment based on the greater of the enterprise value or the underlying collateral securing the investment. See discussion of determining enterprise value above. This approach is used when the debt is not performing in accordance with its contractual terms or when the Company has reason to believe that it will not collect all principal and interest in accordance with the contractual terms of the debt agreement.</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The following table presents fair value measurements of investments, by major class, as of December 31, 2013 (dollars in thousands), according to the fair value hierarchy:</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ind w:left="620"/>
              <w:spacing w:after="0"/>
              <w:rPr>
                <w:sz w:val="20"/>
                <w:szCs w:val="20"/>
                <w:color w:val="auto"/>
              </w:rPr>
            </w:pPr>
            <w:r>
              <w:rPr>
                <w:rFonts w:ascii="Arial" w:cs="Arial" w:eastAsia="Arial" w:hAnsi="Arial"/>
                <w:sz w:val="15"/>
                <w:szCs w:val="15"/>
                <w:b w:val="1"/>
                <w:bCs w:val="1"/>
                <w:color w:val="auto"/>
              </w:rPr>
              <w:t>Fair Value Measurements</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2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jc w:val="right"/>
              <w:ind w:right="65"/>
              <w:spacing w:after="0"/>
              <w:rPr>
                <w:sz w:val="20"/>
                <w:szCs w:val="20"/>
                <w:color w:val="auto"/>
              </w:rPr>
            </w:pPr>
            <w:r>
              <w:rPr>
                <w:rFonts w:ascii="Arial" w:cs="Arial" w:eastAsia="Arial" w:hAnsi="Arial"/>
                <w:sz w:val="15"/>
                <w:szCs w:val="15"/>
                <w:b w:val="1"/>
                <w:bCs w:val="1"/>
                <w:color w:val="auto"/>
              </w:rPr>
              <w:t>Level 1</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65"/>
              <w:spacing w:after="0"/>
              <w:rPr>
                <w:sz w:val="20"/>
                <w:szCs w:val="20"/>
                <w:color w:val="auto"/>
              </w:rPr>
            </w:pPr>
            <w:r>
              <w:rPr>
                <w:rFonts w:ascii="Arial" w:cs="Arial" w:eastAsia="Arial" w:hAnsi="Arial"/>
                <w:sz w:val="15"/>
                <w:szCs w:val="15"/>
                <w:b w:val="1"/>
                <w:bCs w:val="1"/>
                <w:color w:val="auto"/>
              </w:rPr>
              <w:t>Level 2</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5"/>
                <w:szCs w:val="15"/>
                <w:b w:val="1"/>
                <w:bCs w:val="1"/>
                <w:color w:val="auto"/>
              </w:rPr>
              <w:t>Level 3</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25"/>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6"/>
                <w:szCs w:val="16"/>
                <w:color w:val="auto"/>
              </w:rPr>
            </w:pPr>
          </w:p>
        </w:tc>
      </w:tr>
      <w:tr>
        <w:trPr>
          <w:trHeight w:val="172"/>
        </w:trPr>
        <w:tc>
          <w:tcPr>
            <w:tcW w:w="2740" w:type="dxa"/>
            <w:vAlign w:val="bottom"/>
            <w:tcBorders>
              <w:top w:val="single" w:sz="8" w:color="CCFFCC"/>
            </w:tcBorders>
            <w:shd w:val="clear" w:color="auto" w:fill="CCFFCC"/>
          </w:tcPr>
          <w:p>
            <w:pPr>
              <w:spacing w:after="0" w:line="172" w:lineRule="exact"/>
              <w:rPr>
                <w:sz w:val="20"/>
                <w:szCs w:val="20"/>
                <w:color w:val="auto"/>
              </w:rPr>
            </w:pPr>
            <w:r>
              <w:rPr>
                <w:rFonts w:ascii="Arial" w:cs="Arial" w:eastAsia="Arial" w:hAnsi="Arial"/>
                <w:sz w:val="15"/>
                <w:szCs w:val="15"/>
                <w:color w:val="auto"/>
              </w:rPr>
              <w:t>Senior Secured Debt</w:t>
            </w:r>
          </w:p>
        </w:tc>
        <w:tc>
          <w:tcPr>
            <w:tcW w:w="1500" w:type="dxa"/>
            <w:vAlign w:val="bottom"/>
            <w:tcBorders>
              <w:top w:val="single" w:sz="8" w:color="CCFFCC"/>
            </w:tcBorders>
            <w:shd w:val="clear" w:color="auto" w:fill="CCFFCC"/>
          </w:tcPr>
          <w:p>
            <w:pPr>
              <w:spacing w:after="0"/>
              <w:rPr>
                <w:sz w:val="14"/>
                <w:szCs w:val="14"/>
                <w:color w:val="auto"/>
              </w:rPr>
            </w:pPr>
          </w:p>
        </w:tc>
        <w:tc>
          <w:tcPr>
            <w:tcW w:w="1040" w:type="dxa"/>
            <w:vAlign w:val="bottom"/>
            <w:tcBorders>
              <w:top w:val="single" w:sz="8" w:color="auto"/>
            </w:tcBorders>
            <w:shd w:val="clear" w:color="auto" w:fill="CCFFCC"/>
          </w:tcPr>
          <w:p>
            <w:pPr>
              <w:jc w:val="right"/>
              <w:ind w:right="88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FFCC"/>
          </w:tcPr>
          <w:p>
            <w:pPr>
              <w:ind w:left="140"/>
              <w:spacing w:after="0"/>
              <w:rPr>
                <w:sz w:val="20"/>
                <w:szCs w:val="20"/>
                <w:color w:val="auto"/>
              </w:rPr>
            </w:pPr>
            <w:r>
              <w:rPr>
                <w:rFonts w:ascii="Arial" w:cs="Arial" w:eastAsia="Arial" w:hAnsi="Arial"/>
                <w:sz w:val="15"/>
                <w:szCs w:val="15"/>
                <w:color w:val="auto"/>
                <w:w w:val="93"/>
              </w:rPr>
              <w:t>—</w:t>
            </w:r>
          </w:p>
        </w:tc>
        <w:tc>
          <w:tcPr>
            <w:tcW w:w="200" w:type="dxa"/>
            <w:vAlign w:val="bottom"/>
            <w:tcBorders>
              <w:top w:val="single" w:sz="8" w:color="CCFFCC"/>
            </w:tcBorders>
            <w:shd w:val="clear" w:color="auto" w:fill="CCFFCC"/>
          </w:tcPr>
          <w:p>
            <w:pPr>
              <w:spacing w:after="0"/>
              <w:rPr>
                <w:sz w:val="14"/>
                <w:szCs w:val="14"/>
                <w:color w:val="auto"/>
              </w:rPr>
            </w:pPr>
          </w:p>
        </w:tc>
        <w:tc>
          <w:tcPr>
            <w:tcW w:w="1040" w:type="dxa"/>
            <w:vAlign w:val="bottom"/>
            <w:tcBorders>
              <w:top w:val="single" w:sz="8" w:color="auto"/>
            </w:tcBorders>
            <w:shd w:val="clear" w:color="auto" w:fill="CCFFCC"/>
          </w:tcPr>
          <w:p>
            <w:pPr>
              <w:jc w:val="right"/>
              <w:ind w:right="88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FFCC"/>
          </w:tcPr>
          <w:p>
            <w:pPr>
              <w:ind w:left="140"/>
              <w:spacing w:after="0"/>
              <w:rPr>
                <w:sz w:val="20"/>
                <w:szCs w:val="20"/>
                <w:color w:val="auto"/>
              </w:rPr>
            </w:pPr>
            <w:r>
              <w:rPr>
                <w:rFonts w:ascii="Arial" w:cs="Arial" w:eastAsia="Arial" w:hAnsi="Arial"/>
                <w:sz w:val="15"/>
                <w:szCs w:val="15"/>
                <w:color w:val="auto"/>
                <w:w w:val="93"/>
              </w:rPr>
              <w:t>—</w:t>
            </w:r>
          </w:p>
        </w:tc>
        <w:tc>
          <w:tcPr>
            <w:tcW w:w="200" w:type="dxa"/>
            <w:vAlign w:val="bottom"/>
            <w:tcBorders>
              <w:top w:val="single" w:sz="8" w:color="CCFFCC"/>
            </w:tcBorders>
            <w:shd w:val="clear" w:color="auto" w:fill="CCFFCC"/>
          </w:tcPr>
          <w:p>
            <w:pPr>
              <w:spacing w:after="0"/>
              <w:rPr>
                <w:sz w:val="14"/>
                <w:szCs w:val="14"/>
                <w:color w:val="auto"/>
              </w:rPr>
            </w:pPr>
          </w:p>
        </w:tc>
        <w:tc>
          <w:tcPr>
            <w:tcW w:w="260" w:type="dxa"/>
            <w:vAlign w:val="bottom"/>
            <w:tcBorders>
              <w:top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102,071</w:t>
            </w:r>
          </w:p>
        </w:tc>
        <w:tc>
          <w:tcPr>
            <w:tcW w:w="200" w:type="dxa"/>
            <w:vAlign w:val="bottom"/>
            <w:tcBorders>
              <w:top w:val="single" w:sz="8" w:color="CCFFCC"/>
            </w:tcBorders>
            <w:shd w:val="clear" w:color="auto" w:fill="CCFFCC"/>
          </w:tcPr>
          <w:p>
            <w:pPr>
              <w:spacing w:after="0"/>
              <w:rPr>
                <w:sz w:val="14"/>
                <w:szCs w:val="14"/>
                <w:color w:val="auto"/>
              </w:rPr>
            </w:pPr>
          </w:p>
        </w:tc>
        <w:tc>
          <w:tcPr>
            <w:tcW w:w="20" w:type="dxa"/>
            <w:vAlign w:val="bottom"/>
            <w:tcBorders>
              <w:top w:val="single" w:sz="8" w:color="CCFFCC"/>
            </w:tcBorders>
            <w:shd w:val="clear" w:color="auto" w:fill="CCFFCC"/>
          </w:tcPr>
          <w:p>
            <w:pPr>
              <w:spacing w:after="0"/>
              <w:rPr>
                <w:sz w:val="14"/>
                <w:szCs w:val="14"/>
                <w:color w:val="auto"/>
              </w:rPr>
            </w:pPr>
          </w:p>
        </w:tc>
        <w:tc>
          <w:tcPr>
            <w:tcW w:w="260" w:type="dxa"/>
            <w:vAlign w:val="bottom"/>
            <w:tcBorders>
              <w:top w:val="single" w:sz="8" w:color="auto"/>
            </w:tcBorders>
            <w:shd w:val="clear" w:color="auto" w:fill="CCFFCC"/>
          </w:tcPr>
          <w:p>
            <w:pPr>
              <w:jc w:val="right"/>
              <w:ind w:right="15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102,071</w:t>
            </w:r>
          </w:p>
        </w:tc>
        <w:tc>
          <w:tcPr>
            <w:tcW w:w="100" w:type="dxa"/>
            <w:vAlign w:val="bottom"/>
            <w:tcBorders>
              <w:top w:val="single" w:sz="8" w:color="CCFFCC"/>
            </w:tcBorders>
            <w:shd w:val="clear" w:color="auto" w:fill="CCFFCC"/>
          </w:tcPr>
          <w:p>
            <w:pPr>
              <w:spacing w:after="0"/>
              <w:rPr>
                <w:sz w:val="14"/>
                <w:szCs w:val="14"/>
                <w:color w:val="auto"/>
              </w:rPr>
            </w:pPr>
          </w:p>
        </w:tc>
      </w:tr>
      <w:tr>
        <w:trPr>
          <w:trHeight w:val="181"/>
        </w:trPr>
        <w:tc>
          <w:tcPr>
            <w:tcW w:w="2740" w:type="dxa"/>
            <w:vAlign w:val="bottom"/>
          </w:tcPr>
          <w:p>
            <w:pPr>
              <w:spacing w:after="0"/>
              <w:rPr>
                <w:sz w:val="20"/>
                <w:szCs w:val="20"/>
                <w:color w:val="auto"/>
              </w:rPr>
            </w:pPr>
            <w:r>
              <w:rPr>
                <w:rFonts w:ascii="Arial" w:cs="Arial" w:eastAsia="Arial" w:hAnsi="Arial"/>
                <w:sz w:val="15"/>
                <w:szCs w:val="15"/>
                <w:color w:val="auto"/>
              </w:rPr>
              <w:t>Subordinated Debt</w:t>
            </w: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ind w:left="140"/>
              <w:spacing w:after="0"/>
              <w:rPr>
                <w:sz w:val="20"/>
                <w:szCs w:val="20"/>
                <w:color w:val="auto"/>
              </w:rPr>
            </w:pPr>
            <w:r>
              <w:rPr>
                <w:rFonts w:ascii="Arial" w:cs="Arial" w:eastAsia="Arial" w:hAnsi="Arial"/>
                <w:sz w:val="15"/>
                <w:szCs w:val="15"/>
                <w:color w:val="auto"/>
                <w:w w:val="93"/>
              </w:rPr>
              <w:t>—</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133,710</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133,710</w:t>
            </w:r>
          </w:p>
        </w:tc>
        <w:tc>
          <w:tcPr>
            <w:tcW w:w="100" w:type="dxa"/>
            <w:vAlign w:val="bottom"/>
          </w:tcPr>
          <w:p>
            <w:pPr>
              <w:spacing w:after="0"/>
              <w:rPr>
                <w:sz w:val="15"/>
                <w:szCs w:val="15"/>
                <w:color w:val="auto"/>
              </w:rPr>
            </w:pPr>
          </w:p>
        </w:tc>
      </w:tr>
      <w:tr>
        <w:trPr>
          <w:trHeight w:val="192"/>
        </w:trPr>
        <w:tc>
          <w:tcPr>
            <w:tcW w:w="2740" w:type="dxa"/>
            <w:vAlign w:val="bottom"/>
            <w:shd w:val="clear" w:color="auto" w:fill="CCFFCC"/>
          </w:tcPr>
          <w:p>
            <w:pPr>
              <w:spacing w:after="0"/>
              <w:rPr>
                <w:sz w:val="20"/>
                <w:szCs w:val="20"/>
                <w:color w:val="auto"/>
              </w:rPr>
            </w:pPr>
            <w:r>
              <w:rPr>
                <w:rFonts w:ascii="Arial" w:cs="Arial" w:eastAsia="Arial" w:hAnsi="Arial"/>
                <w:sz w:val="15"/>
                <w:szCs w:val="15"/>
                <w:color w:val="auto"/>
              </w:rPr>
              <w:t>Equity and Warrants</w:t>
            </w:r>
          </w:p>
        </w:tc>
        <w:tc>
          <w:tcPr>
            <w:tcW w:w="1500" w:type="dxa"/>
            <w:vAlign w:val="bottom"/>
            <w:shd w:val="clear" w:color="auto" w:fill="CCFFCC"/>
          </w:tcPr>
          <w:p>
            <w:pPr>
              <w:spacing w:after="0"/>
              <w:rPr>
                <w:sz w:val="16"/>
                <w:szCs w:val="16"/>
                <w:color w:val="auto"/>
              </w:rPr>
            </w:pPr>
          </w:p>
        </w:tc>
        <w:tc>
          <w:tcPr>
            <w:tcW w:w="1040" w:type="dxa"/>
            <w:vAlign w:val="bottom"/>
            <w:tcBorders>
              <w:bottom w:val="single" w:sz="8" w:color="auto"/>
            </w:tcBorders>
            <w:shd w:val="clear" w:color="auto" w:fill="CCFFCC"/>
          </w:tcPr>
          <w:p>
            <w:pPr>
              <w:spacing w:after="0"/>
              <w:rPr>
                <w:sz w:val="16"/>
                <w:szCs w:val="16"/>
                <w:color w:val="auto"/>
              </w:rPr>
            </w:pPr>
          </w:p>
        </w:tc>
        <w:tc>
          <w:tcPr>
            <w:tcW w:w="300" w:type="dxa"/>
            <w:vAlign w:val="bottom"/>
            <w:tcBorders>
              <w:bottom w:val="single" w:sz="8" w:color="auto"/>
            </w:tcBorders>
            <w:shd w:val="clear" w:color="auto" w:fill="CCFFCC"/>
          </w:tcPr>
          <w:p>
            <w:pPr>
              <w:ind w:left="140"/>
              <w:spacing w:after="0"/>
              <w:rPr>
                <w:sz w:val="20"/>
                <w:szCs w:val="20"/>
                <w:color w:val="auto"/>
              </w:rPr>
            </w:pPr>
            <w:r>
              <w:rPr>
                <w:rFonts w:ascii="Arial" w:cs="Arial" w:eastAsia="Arial" w:hAnsi="Arial"/>
                <w:sz w:val="15"/>
                <w:szCs w:val="15"/>
                <w:color w:val="auto"/>
                <w:w w:val="93"/>
              </w:rPr>
              <w:t>—</w:t>
            </w:r>
          </w:p>
        </w:tc>
        <w:tc>
          <w:tcPr>
            <w:tcW w:w="200" w:type="dxa"/>
            <w:vAlign w:val="bottom"/>
            <w:shd w:val="clear" w:color="auto" w:fill="CCFFCC"/>
          </w:tcPr>
          <w:p>
            <w:pPr>
              <w:spacing w:after="0"/>
              <w:rPr>
                <w:sz w:val="16"/>
                <w:szCs w:val="16"/>
                <w:color w:val="auto"/>
              </w:rPr>
            </w:pPr>
          </w:p>
        </w:tc>
        <w:tc>
          <w:tcPr>
            <w:tcW w:w="1040" w:type="dxa"/>
            <w:vAlign w:val="bottom"/>
            <w:tcBorders>
              <w:bottom w:val="single" w:sz="8" w:color="auto"/>
            </w:tcBorders>
            <w:shd w:val="clear" w:color="auto" w:fill="CCFFCC"/>
          </w:tcPr>
          <w:p>
            <w:pPr>
              <w:spacing w:after="0"/>
              <w:rPr>
                <w:sz w:val="16"/>
                <w:szCs w:val="16"/>
                <w:color w:val="auto"/>
              </w:rPr>
            </w:pPr>
          </w:p>
        </w:tc>
        <w:tc>
          <w:tcPr>
            <w:tcW w:w="300" w:type="dxa"/>
            <w:vAlign w:val="bottom"/>
            <w:tcBorders>
              <w:bottom w:val="single" w:sz="8" w:color="auto"/>
            </w:tcBorders>
            <w:shd w:val="clear" w:color="auto" w:fill="CCFFCC"/>
          </w:tcPr>
          <w:p>
            <w:pPr>
              <w:ind w:left="140"/>
              <w:spacing w:after="0"/>
              <w:rPr>
                <w:sz w:val="20"/>
                <w:szCs w:val="20"/>
                <w:color w:val="auto"/>
              </w:rPr>
            </w:pPr>
            <w:r>
              <w:rPr>
                <w:rFonts w:ascii="Arial" w:cs="Arial" w:eastAsia="Arial" w:hAnsi="Arial"/>
                <w:sz w:val="15"/>
                <w:szCs w:val="15"/>
                <w:color w:val="auto"/>
                <w:w w:val="93"/>
              </w:rPr>
              <w:t>—</w:t>
            </w:r>
          </w:p>
        </w:tc>
        <w:tc>
          <w:tcPr>
            <w:tcW w:w="200" w:type="dxa"/>
            <w:vAlign w:val="bottom"/>
            <w:shd w:val="clear" w:color="auto" w:fill="CCFFCC"/>
          </w:tcPr>
          <w:p>
            <w:pPr>
              <w:spacing w:after="0"/>
              <w:rPr>
                <w:sz w:val="16"/>
                <w:szCs w:val="16"/>
                <w:color w:val="auto"/>
              </w:rPr>
            </w:pPr>
          </w:p>
        </w:tc>
        <w:tc>
          <w:tcPr>
            <w:tcW w:w="260" w:type="dxa"/>
            <w:vAlign w:val="bottom"/>
            <w:tcBorders>
              <w:bottom w:val="single" w:sz="8" w:color="auto"/>
            </w:tcBorders>
            <w:shd w:val="clear" w:color="auto" w:fill="CCFFCC"/>
          </w:tcPr>
          <w:p>
            <w:pPr>
              <w:spacing w:after="0"/>
              <w:rPr>
                <w:sz w:val="16"/>
                <w:szCs w:val="16"/>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128,938</w:t>
            </w:r>
          </w:p>
        </w:tc>
        <w:tc>
          <w:tcPr>
            <w:tcW w:w="200" w:type="dxa"/>
            <w:vAlign w:val="bottom"/>
            <w:shd w:val="clear" w:color="auto" w:fill="CCFFCC"/>
          </w:tcPr>
          <w:p>
            <w:pPr>
              <w:spacing w:after="0"/>
              <w:rPr>
                <w:sz w:val="16"/>
                <w:szCs w:val="16"/>
                <w:color w:val="auto"/>
              </w:rPr>
            </w:pPr>
          </w:p>
        </w:tc>
        <w:tc>
          <w:tcPr>
            <w:tcW w:w="20" w:type="dxa"/>
            <w:vAlign w:val="bottom"/>
            <w:shd w:val="clear" w:color="auto" w:fill="CCFFCC"/>
          </w:tcPr>
          <w:p>
            <w:pPr>
              <w:spacing w:after="0"/>
              <w:rPr>
                <w:sz w:val="16"/>
                <w:szCs w:val="16"/>
                <w:color w:val="auto"/>
              </w:rPr>
            </w:pPr>
          </w:p>
        </w:tc>
        <w:tc>
          <w:tcPr>
            <w:tcW w:w="260" w:type="dxa"/>
            <w:vAlign w:val="bottom"/>
            <w:tcBorders>
              <w:bottom w:val="single" w:sz="8" w:color="auto"/>
            </w:tcBorders>
            <w:shd w:val="clear" w:color="auto" w:fill="CCFFCC"/>
          </w:tcPr>
          <w:p>
            <w:pPr>
              <w:spacing w:after="0"/>
              <w:rPr>
                <w:sz w:val="16"/>
                <w:szCs w:val="16"/>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128,938</w:t>
            </w:r>
          </w:p>
        </w:tc>
        <w:tc>
          <w:tcPr>
            <w:tcW w:w="100" w:type="dxa"/>
            <w:vAlign w:val="bottom"/>
            <w:shd w:val="clear" w:color="auto" w:fill="CCFFCC"/>
          </w:tcPr>
          <w:p>
            <w:pPr>
              <w:spacing w:after="0"/>
              <w:rPr>
                <w:sz w:val="16"/>
                <w:szCs w:val="16"/>
                <w:color w:val="auto"/>
              </w:rPr>
            </w:pPr>
          </w:p>
        </w:tc>
      </w:tr>
      <w:tr>
        <w:trPr>
          <w:trHeight w:val="183"/>
        </w:trPr>
        <w:tc>
          <w:tcPr>
            <w:tcW w:w="2740" w:type="dxa"/>
            <w:vAlign w:val="bottom"/>
          </w:tcPr>
          <w:p>
            <w:pPr>
              <w:spacing w:after="0" w:line="171" w:lineRule="exact"/>
              <w:rPr>
                <w:sz w:val="20"/>
                <w:szCs w:val="20"/>
                <w:color w:val="auto"/>
              </w:rPr>
            </w:pPr>
            <w:r>
              <w:rPr>
                <w:rFonts w:ascii="Arial" w:cs="Arial" w:eastAsia="Arial" w:hAnsi="Arial"/>
                <w:sz w:val="15"/>
                <w:szCs w:val="15"/>
                <w:color w:val="auto"/>
              </w:rPr>
              <w:t>Total</w:t>
            </w:r>
          </w:p>
        </w:tc>
        <w:tc>
          <w:tcPr>
            <w:tcW w:w="2540" w:type="dxa"/>
            <w:vAlign w:val="bottom"/>
            <w:gridSpan w:val="2"/>
          </w:tcPr>
          <w:p>
            <w:pPr>
              <w:jc w:val="right"/>
              <w:ind w:right="885"/>
              <w:spacing w:after="0"/>
              <w:rPr>
                <w:sz w:val="20"/>
                <w:szCs w:val="20"/>
                <w:color w:val="auto"/>
              </w:rPr>
            </w:pPr>
            <w:r>
              <w:rPr>
                <w:rFonts w:ascii="Arial" w:cs="Arial" w:eastAsia="Arial" w:hAnsi="Arial"/>
                <w:sz w:val="15"/>
                <w:szCs w:val="15"/>
                <w:color w:val="auto"/>
              </w:rPr>
              <w:t>$</w:t>
            </w:r>
          </w:p>
        </w:tc>
        <w:tc>
          <w:tcPr>
            <w:tcW w:w="300" w:type="dxa"/>
            <w:vAlign w:val="bottom"/>
          </w:tcPr>
          <w:p>
            <w:pPr>
              <w:ind w:left="140"/>
              <w:spacing w:after="0"/>
              <w:rPr>
                <w:sz w:val="20"/>
                <w:szCs w:val="20"/>
                <w:color w:val="auto"/>
              </w:rPr>
            </w:pPr>
            <w:r>
              <w:rPr>
                <w:rFonts w:ascii="Arial" w:cs="Arial" w:eastAsia="Arial" w:hAnsi="Arial"/>
                <w:sz w:val="15"/>
                <w:szCs w:val="15"/>
                <w:color w:val="auto"/>
                <w:w w:val="93"/>
              </w:rPr>
              <w:t>—</w:t>
            </w:r>
          </w:p>
        </w:tc>
        <w:tc>
          <w:tcPr>
            <w:tcW w:w="1240" w:type="dxa"/>
            <w:vAlign w:val="bottom"/>
            <w:gridSpan w:val="2"/>
          </w:tcPr>
          <w:p>
            <w:pPr>
              <w:jc w:val="right"/>
              <w:ind w:right="885"/>
              <w:spacing w:after="0"/>
              <w:rPr>
                <w:sz w:val="20"/>
                <w:szCs w:val="20"/>
                <w:color w:val="auto"/>
              </w:rPr>
            </w:pPr>
            <w:r>
              <w:rPr>
                <w:rFonts w:ascii="Arial" w:cs="Arial" w:eastAsia="Arial" w:hAnsi="Arial"/>
                <w:sz w:val="15"/>
                <w:szCs w:val="15"/>
                <w:color w:val="auto"/>
              </w:rPr>
              <w:t>$</w:t>
            </w:r>
          </w:p>
        </w:tc>
        <w:tc>
          <w:tcPr>
            <w:tcW w:w="50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364,719</w:t>
            </w:r>
          </w:p>
        </w:tc>
        <w:tc>
          <w:tcPr>
            <w:tcW w:w="280" w:type="dxa"/>
            <w:vAlign w:val="bottom"/>
            <w:gridSpan w:val="2"/>
          </w:tcPr>
          <w:p>
            <w:pPr>
              <w:jc w:val="right"/>
              <w:ind w:right="152"/>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364,719</w:t>
            </w:r>
          </w:p>
        </w:tc>
        <w:tc>
          <w:tcPr>
            <w:tcW w:w="100" w:type="dxa"/>
            <w:vAlign w:val="bottom"/>
          </w:tcPr>
          <w:p>
            <w:pPr>
              <w:spacing w:after="0"/>
              <w:rPr>
                <w:sz w:val="15"/>
                <w:szCs w:val="15"/>
                <w:color w:val="auto"/>
              </w:rPr>
            </w:pPr>
          </w:p>
        </w:tc>
      </w:tr>
      <w:tr>
        <w:trPr>
          <w:trHeight w:val="20"/>
        </w:trPr>
        <w:tc>
          <w:tcPr>
            <w:tcW w:w="2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1"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The following table presents fair value measurements of investments, by major class, as of December 31, 2012 (dollars in thousands), according to the fair value hierarchy: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ind w:left="620"/>
              <w:spacing w:after="0"/>
              <w:rPr>
                <w:sz w:val="20"/>
                <w:szCs w:val="20"/>
                <w:color w:val="auto"/>
              </w:rPr>
            </w:pPr>
            <w:r>
              <w:rPr>
                <w:rFonts w:ascii="Arial" w:cs="Arial" w:eastAsia="Arial" w:hAnsi="Arial"/>
                <w:sz w:val="15"/>
                <w:szCs w:val="15"/>
                <w:b w:val="1"/>
                <w:bCs w:val="1"/>
                <w:color w:val="auto"/>
              </w:rPr>
              <w:t>Fair Value Measurements</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4"/>
        </w:trPr>
        <w:tc>
          <w:tcPr>
            <w:tcW w:w="2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jc w:val="right"/>
              <w:ind w:right="5"/>
              <w:spacing w:after="0"/>
              <w:rPr>
                <w:sz w:val="20"/>
                <w:szCs w:val="20"/>
                <w:color w:val="auto"/>
              </w:rPr>
            </w:pPr>
            <w:r>
              <w:rPr>
                <w:rFonts w:ascii="Arial" w:cs="Arial" w:eastAsia="Arial" w:hAnsi="Arial"/>
                <w:sz w:val="15"/>
                <w:szCs w:val="15"/>
                <w:b w:val="1"/>
                <w:bCs w:val="1"/>
                <w:color w:val="auto"/>
              </w:rPr>
              <w:t>Level 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65"/>
              <w:spacing w:after="0"/>
              <w:rPr>
                <w:sz w:val="20"/>
                <w:szCs w:val="20"/>
                <w:color w:val="auto"/>
              </w:rPr>
            </w:pPr>
            <w:r>
              <w:rPr>
                <w:rFonts w:ascii="Arial" w:cs="Arial" w:eastAsia="Arial" w:hAnsi="Arial"/>
                <w:sz w:val="15"/>
                <w:szCs w:val="15"/>
                <w:b w:val="1"/>
                <w:bCs w:val="1"/>
                <w:color w:val="auto"/>
              </w:rPr>
              <w:t>Level 2</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5"/>
                <w:szCs w:val="15"/>
                <w:b w:val="1"/>
                <w:bCs w:val="1"/>
                <w:color w:val="auto"/>
              </w:rPr>
              <w:t>Level 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25"/>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2"/>
        </w:trPr>
        <w:tc>
          <w:tcPr>
            <w:tcW w:w="260" w:type="dxa"/>
            <w:vAlign w:val="bottom"/>
          </w:tcPr>
          <w:p>
            <w:pPr>
              <w:spacing w:after="0"/>
              <w:rPr>
                <w:sz w:val="14"/>
                <w:szCs w:val="14"/>
                <w:color w:val="auto"/>
              </w:rPr>
            </w:pPr>
          </w:p>
        </w:tc>
        <w:tc>
          <w:tcPr>
            <w:tcW w:w="2740" w:type="dxa"/>
            <w:vAlign w:val="bottom"/>
            <w:tcBorders>
              <w:top w:val="single" w:sz="8" w:color="CCFFCC"/>
            </w:tcBorders>
            <w:shd w:val="clear" w:color="auto" w:fill="CCFFCC"/>
          </w:tcPr>
          <w:p>
            <w:pPr>
              <w:spacing w:after="0" w:line="172" w:lineRule="exact"/>
              <w:rPr>
                <w:sz w:val="20"/>
                <w:szCs w:val="20"/>
                <w:color w:val="auto"/>
              </w:rPr>
            </w:pPr>
            <w:r>
              <w:rPr>
                <w:rFonts w:ascii="Arial" w:cs="Arial" w:eastAsia="Arial" w:hAnsi="Arial"/>
                <w:sz w:val="15"/>
                <w:szCs w:val="15"/>
                <w:color w:val="auto"/>
              </w:rPr>
              <w:t>Senior Secured Debt</w:t>
            </w:r>
          </w:p>
        </w:tc>
        <w:tc>
          <w:tcPr>
            <w:tcW w:w="1500" w:type="dxa"/>
            <w:vAlign w:val="bottom"/>
            <w:tcBorders>
              <w:top w:val="single" w:sz="8" w:color="CCFFCC"/>
            </w:tcBorders>
            <w:shd w:val="clear" w:color="auto" w:fill="CCFFCC"/>
          </w:tcPr>
          <w:p>
            <w:pPr>
              <w:spacing w:after="0"/>
              <w:rPr>
                <w:sz w:val="14"/>
                <w:szCs w:val="14"/>
                <w:color w:val="auto"/>
              </w:rPr>
            </w:pPr>
          </w:p>
        </w:tc>
        <w:tc>
          <w:tcPr>
            <w:tcW w:w="980" w:type="dxa"/>
            <w:vAlign w:val="bottom"/>
            <w:tcBorders>
              <w:top w:val="single" w:sz="8" w:color="auto"/>
            </w:tcBorders>
            <w:shd w:val="clear" w:color="auto" w:fill="CCFFCC"/>
          </w:tcPr>
          <w:p>
            <w:pPr>
              <w:jc w:val="right"/>
              <w:ind w:right="8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FFCC"/>
          </w:tcPr>
          <w:p>
            <w:pPr>
              <w:ind w:left="200"/>
              <w:spacing w:after="0"/>
              <w:rPr>
                <w:sz w:val="20"/>
                <w:szCs w:val="20"/>
                <w:color w:val="auto"/>
              </w:rPr>
            </w:pPr>
            <w:r>
              <w:rPr>
                <w:rFonts w:ascii="Arial" w:cs="Arial" w:eastAsia="Arial" w:hAnsi="Arial"/>
                <w:sz w:val="15"/>
                <w:szCs w:val="15"/>
                <w:color w:val="auto"/>
                <w:w w:val="93"/>
              </w:rPr>
              <w:t>—</w:t>
            </w:r>
          </w:p>
        </w:tc>
        <w:tc>
          <w:tcPr>
            <w:tcW w:w="10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1040" w:type="dxa"/>
            <w:vAlign w:val="bottom"/>
            <w:tcBorders>
              <w:top w:val="single" w:sz="8" w:color="auto"/>
            </w:tcBorders>
            <w:shd w:val="clear" w:color="auto" w:fill="CCFFCC"/>
          </w:tcPr>
          <w:p>
            <w:pPr>
              <w:jc w:val="right"/>
              <w:ind w:right="88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FFCC"/>
          </w:tcPr>
          <w:p>
            <w:pPr>
              <w:ind w:left="140"/>
              <w:spacing w:after="0"/>
              <w:rPr>
                <w:sz w:val="20"/>
                <w:szCs w:val="20"/>
                <w:color w:val="auto"/>
              </w:rPr>
            </w:pPr>
            <w:r>
              <w:rPr>
                <w:rFonts w:ascii="Arial" w:cs="Arial" w:eastAsia="Arial" w:hAnsi="Arial"/>
                <w:sz w:val="15"/>
                <w:szCs w:val="15"/>
                <w:color w:val="auto"/>
                <w:w w:val="93"/>
              </w:rPr>
              <w:t>—</w:t>
            </w:r>
          </w:p>
        </w:tc>
        <w:tc>
          <w:tcPr>
            <w:tcW w:w="200" w:type="dxa"/>
            <w:vAlign w:val="bottom"/>
            <w:tcBorders>
              <w:top w:val="single" w:sz="8" w:color="CCFFCC"/>
            </w:tcBorders>
            <w:shd w:val="clear" w:color="auto" w:fill="CCFFCC"/>
          </w:tcPr>
          <w:p>
            <w:pPr>
              <w:spacing w:after="0"/>
              <w:rPr>
                <w:sz w:val="14"/>
                <w:szCs w:val="14"/>
                <w:color w:val="auto"/>
              </w:rPr>
            </w:pPr>
          </w:p>
        </w:tc>
        <w:tc>
          <w:tcPr>
            <w:tcW w:w="260" w:type="dxa"/>
            <w:vAlign w:val="bottom"/>
            <w:tcBorders>
              <w:top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73,861</w:t>
            </w:r>
          </w:p>
        </w:tc>
        <w:tc>
          <w:tcPr>
            <w:tcW w:w="10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280" w:type="dxa"/>
            <w:vAlign w:val="bottom"/>
            <w:tcBorders>
              <w:top w:val="single" w:sz="8" w:color="auto"/>
            </w:tcBorders>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73,861</w:t>
            </w:r>
          </w:p>
        </w:tc>
        <w:tc>
          <w:tcPr>
            <w:tcW w:w="100" w:type="dxa"/>
            <w:vAlign w:val="bottom"/>
            <w:tcBorders>
              <w:top w:val="single" w:sz="8" w:color="CCFFCC"/>
            </w:tcBorders>
            <w:shd w:val="clear" w:color="auto" w:fill="CCFFCC"/>
          </w:tcPr>
          <w:p>
            <w:pPr>
              <w:spacing w:after="0"/>
              <w:rPr>
                <w:sz w:val="14"/>
                <w:szCs w:val="14"/>
                <w:color w:val="auto"/>
              </w:rPr>
            </w:pPr>
          </w:p>
        </w:tc>
        <w:tc>
          <w:tcPr>
            <w:tcW w:w="880" w:type="dxa"/>
            <w:vAlign w:val="bottom"/>
          </w:tcPr>
          <w:p>
            <w:pPr>
              <w:spacing w:after="0"/>
              <w:rPr>
                <w:sz w:val="14"/>
                <w:szCs w:val="14"/>
                <w:color w:val="auto"/>
              </w:rPr>
            </w:pPr>
          </w:p>
        </w:tc>
      </w:tr>
      <w:tr>
        <w:trPr>
          <w:trHeight w:val="181"/>
        </w:trPr>
        <w:tc>
          <w:tcPr>
            <w:tcW w:w="26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5"/>
                <w:szCs w:val="15"/>
                <w:color w:val="auto"/>
              </w:rPr>
              <w:t>Subordinated Debt</w:t>
            </w:r>
          </w:p>
        </w:tc>
        <w:tc>
          <w:tcPr>
            <w:tcW w:w="1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gridSpan w:val="2"/>
          </w:tcPr>
          <w:p>
            <w:pPr>
              <w:ind w:lef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101,659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101,659</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2"/>
        </w:trPr>
        <w:tc>
          <w:tcPr>
            <w:tcW w:w="260" w:type="dxa"/>
            <w:vAlign w:val="bottom"/>
          </w:tcPr>
          <w:p>
            <w:pPr>
              <w:spacing w:after="0"/>
              <w:rPr>
                <w:sz w:val="16"/>
                <w:szCs w:val="16"/>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5"/>
                <w:szCs w:val="15"/>
                <w:color w:val="auto"/>
              </w:rPr>
              <w:t>Equity and Warrants</w:t>
            </w:r>
          </w:p>
        </w:tc>
        <w:tc>
          <w:tcPr>
            <w:tcW w:w="1500" w:type="dxa"/>
            <w:vAlign w:val="bottom"/>
            <w:shd w:val="clear" w:color="auto" w:fill="CCFFCC"/>
          </w:tcPr>
          <w:p>
            <w:pPr>
              <w:spacing w:after="0"/>
              <w:rPr>
                <w:sz w:val="16"/>
                <w:szCs w:val="16"/>
                <w:color w:val="auto"/>
              </w:rPr>
            </w:pPr>
          </w:p>
        </w:tc>
        <w:tc>
          <w:tcPr>
            <w:tcW w:w="980" w:type="dxa"/>
            <w:vAlign w:val="bottom"/>
            <w:tcBorders>
              <w:bottom w:val="single" w:sz="8" w:color="auto"/>
            </w:tcBorders>
            <w:shd w:val="clear" w:color="auto" w:fill="CCFFCC"/>
          </w:tcPr>
          <w:p>
            <w:pPr>
              <w:spacing w:after="0"/>
              <w:rPr>
                <w:sz w:val="16"/>
                <w:szCs w:val="16"/>
                <w:color w:val="auto"/>
              </w:rPr>
            </w:pPr>
          </w:p>
        </w:tc>
        <w:tc>
          <w:tcPr>
            <w:tcW w:w="360" w:type="dxa"/>
            <w:vAlign w:val="bottom"/>
            <w:tcBorders>
              <w:bottom w:val="single" w:sz="8" w:color="auto"/>
            </w:tcBorders>
            <w:shd w:val="clear" w:color="auto" w:fill="CCFFCC"/>
          </w:tcPr>
          <w:p>
            <w:pPr>
              <w:ind w:left="200"/>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040" w:type="dxa"/>
            <w:vAlign w:val="bottom"/>
            <w:tcBorders>
              <w:bottom w:val="single" w:sz="8" w:color="auto"/>
            </w:tcBorders>
            <w:shd w:val="clear" w:color="auto" w:fill="CCFFCC"/>
          </w:tcPr>
          <w:p>
            <w:pPr>
              <w:spacing w:after="0"/>
              <w:rPr>
                <w:sz w:val="16"/>
                <w:szCs w:val="16"/>
                <w:color w:val="auto"/>
              </w:rPr>
            </w:pPr>
          </w:p>
        </w:tc>
        <w:tc>
          <w:tcPr>
            <w:tcW w:w="300" w:type="dxa"/>
            <w:vAlign w:val="bottom"/>
            <w:tcBorders>
              <w:bottom w:val="single" w:sz="8" w:color="auto"/>
            </w:tcBorders>
            <w:shd w:val="clear" w:color="auto" w:fill="CCFFCC"/>
          </w:tcPr>
          <w:p>
            <w:pPr>
              <w:ind w:left="140"/>
              <w:spacing w:after="0"/>
              <w:rPr>
                <w:sz w:val="20"/>
                <w:szCs w:val="20"/>
                <w:color w:val="auto"/>
              </w:rPr>
            </w:pPr>
            <w:r>
              <w:rPr>
                <w:rFonts w:ascii="Arial" w:cs="Arial" w:eastAsia="Arial" w:hAnsi="Arial"/>
                <w:sz w:val="15"/>
                <w:szCs w:val="15"/>
                <w:color w:val="auto"/>
                <w:w w:val="93"/>
              </w:rPr>
              <w:t>—</w:t>
            </w:r>
          </w:p>
        </w:tc>
        <w:tc>
          <w:tcPr>
            <w:tcW w:w="200" w:type="dxa"/>
            <w:vAlign w:val="bottom"/>
            <w:shd w:val="clear" w:color="auto" w:fill="CCFFCC"/>
          </w:tcPr>
          <w:p>
            <w:pPr>
              <w:spacing w:after="0"/>
              <w:rPr>
                <w:sz w:val="16"/>
                <w:szCs w:val="16"/>
                <w:color w:val="auto"/>
              </w:rPr>
            </w:pPr>
          </w:p>
        </w:tc>
        <w:tc>
          <w:tcPr>
            <w:tcW w:w="260" w:type="dxa"/>
            <w:vAlign w:val="bottom"/>
            <w:tcBorders>
              <w:bottom w:val="single" w:sz="8" w:color="auto"/>
            </w:tcBorders>
            <w:shd w:val="clear" w:color="auto" w:fill="CCFFCC"/>
          </w:tcPr>
          <w:p>
            <w:pPr>
              <w:spacing w:after="0"/>
              <w:rPr>
                <w:sz w:val="16"/>
                <w:szCs w:val="16"/>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108,411</w:t>
            </w:r>
          </w:p>
        </w:tc>
        <w:tc>
          <w:tcPr>
            <w:tcW w:w="1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80" w:type="dxa"/>
            <w:vAlign w:val="bottom"/>
            <w:tcBorders>
              <w:bottom w:val="single" w:sz="8" w:color="auto"/>
            </w:tcBorders>
            <w:shd w:val="clear" w:color="auto" w:fill="CCFFCC"/>
          </w:tcPr>
          <w:p>
            <w:pPr>
              <w:spacing w:after="0"/>
              <w:rPr>
                <w:sz w:val="16"/>
                <w:szCs w:val="16"/>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108,411</w:t>
            </w:r>
          </w:p>
        </w:tc>
        <w:tc>
          <w:tcPr>
            <w:tcW w:w="100" w:type="dxa"/>
            <w:vAlign w:val="bottom"/>
            <w:shd w:val="clear" w:color="auto" w:fill="CCFFCC"/>
          </w:tcPr>
          <w:p>
            <w:pPr>
              <w:spacing w:after="0"/>
              <w:rPr>
                <w:sz w:val="16"/>
                <w:szCs w:val="16"/>
                <w:color w:val="auto"/>
              </w:rPr>
            </w:pPr>
          </w:p>
        </w:tc>
        <w:tc>
          <w:tcPr>
            <w:tcW w:w="880" w:type="dxa"/>
            <w:vAlign w:val="bottom"/>
          </w:tcPr>
          <w:p>
            <w:pPr>
              <w:spacing w:after="0"/>
              <w:rPr>
                <w:sz w:val="16"/>
                <w:szCs w:val="16"/>
                <w:color w:val="auto"/>
              </w:rPr>
            </w:pPr>
          </w:p>
        </w:tc>
      </w:tr>
      <w:tr>
        <w:trPr>
          <w:trHeight w:val="183"/>
        </w:trPr>
        <w:tc>
          <w:tcPr>
            <w:tcW w:w="260" w:type="dxa"/>
            <w:vAlign w:val="bottom"/>
          </w:tcPr>
          <w:p>
            <w:pPr>
              <w:spacing w:after="0"/>
              <w:rPr>
                <w:sz w:val="15"/>
                <w:szCs w:val="15"/>
                <w:color w:val="auto"/>
              </w:rPr>
            </w:pPr>
          </w:p>
        </w:tc>
        <w:tc>
          <w:tcPr>
            <w:tcW w:w="2740" w:type="dxa"/>
            <w:vAlign w:val="bottom"/>
          </w:tcPr>
          <w:p>
            <w:pPr>
              <w:spacing w:after="0" w:line="171" w:lineRule="exact"/>
              <w:rPr>
                <w:sz w:val="20"/>
                <w:szCs w:val="20"/>
                <w:color w:val="auto"/>
              </w:rPr>
            </w:pPr>
            <w:r>
              <w:rPr>
                <w:rFonts w:ascii="Arial" w:cs="Arial" w:eastAsia="Arial" w:hAnsi="Arial"/>
                <w:sz w:val="15"/>
                <w:szCs w:val="15"/>
                <w:color w:val="auto"/>
              </w:rPr>
              <w:t>Total</w:t>
            </w:r>
          </w:p>
        </w:tc>
        <w:tc>
          <w:tcPr>
            <w:tcW w:w="2480" w:type="dxa"/>
            <w:vAlign w:val="bottom"/>
            <w:gridSpan w:val="2"/>
          </w:tcPr>
          <w:p>
            <w:pPr>
              <w:jc w:val="right"/>
              <w:ind w:right="825"/>
              <w:spacing w:after="0"/>
              <w:rPr>
                <w:sz w:val="20"/>
                <w:szCs w:val="20"/>
                <w:color w:val="auto"/>
              </w:rPr>
            </w:pPr>
            <w:r>
              <w:rPr>
                <w:rFonts w:ascii="Arial" w:cs="Arial" w:eastAsia="Arial" w:hAnsi="Arial"/>
                <w:sz w:val="15"/>
                <w:szCs w:val="15"/>
                <w:color w:val="auto"/>
              </w:rPr>
              <w:t>$</w:t>
            </w:r>
          </w:p>
        </w:tc>
        <w:tc>
          <w:tcPr>
            <w:tcW w:w="460" w:type="dxa"/>
            <w:vAlign w:val="bottom"/>
            <w:gridSpan w:val="2"/>
          </w:tcPr>
          <w:p>
            <w:pPr>
              <w:ind w:left="20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885"/>
              <w:spacing w:after="0"/>
              <w:rPr>
                <w:sz w:val="20"/>
                <w:szCs w:val="20"/>
                <w:color w:val="auto"/>
              </w:rPr>
            </w:pPr>
            <w:r>
              <w:rPr>
                <w:rFonts w:ascii="Arial" w:cs="Arial" w:eastAsia="Arial" w:hAnsi="Arial"/>
                <w:sz w:val="15"/>
                <w:szCs w:val="15"/>
                <w:color w:val="auto"/>
              </w:rPr>
              <w:t>$</w:t>
            </w:r>
          </w:p>
        </w:tc>
        <w:tc>
          <w:tcPr>
            <w:tcW w:w="50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283,931</w:t>
            </w:r>
          </w:p>
        </w:tc>
        <w:tc>
          <w:tcPr>
            <w:tcW w:w="380" w:type="dxa"/>
            <w:vAlign w:val="bottom"/>
            <w:gridSpan w:val="2"/>
          </w:tcPr>
          <w:p>
            <w:pPr>
              <w:jc w:val="right"/>
              <w:ind w:right="125"/>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283,931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517"/>
        </w:trPr>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color w:val="auto"/>
              </w:rPr>
              <w:t>F-17</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785" w:right="219" w:bottom="1440" w:gutter="0" w:footer="0" w:header="0"/>
        </w:sectPr>
      </w:pPr>
    </w:p>
    <w:bookmarkStart w:id="86" w:name="page87"/>
    <w:bookmarkEnd w:id="86"/>
    <w:p>
      <w:pPr>
        <w:ind w:left="730"/>
        <w:spacing w:after="0"/>
        <w:rPr>
          <w:sz w:val="20"/>
          <w:szCs w:val="20"/>
          <w:color w:val="auto"/>
        </w:rPr>
      </w:pPr>
      <w:r>
        <w:rPr>
          <w:rFonts w:ascii="Arial" w:cs="Arial" w:eastAsia="Arial" w:hAnsi="Arial"/>
          <w:sz w:val="14"/>
          <w:szCs w:val="14"/>
          <w:color w:val="auto"/>
        </w:rPr>
        <w:t>The following table provides a reconciliation of the beginning and ending balances for investments that use Level 3 inputs for the year ended December 31, 2013 (dollars in</w:t>
      </w:r>
    </w:p>
    <w:p>
      <w:pPr>
        <w:spacing w:after="0" w:line="29"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thousands):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9"/>
              </w:rPr>
              <w:t>Senior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5"/>
              </w:rPr>
              <w:t>Equity</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7"/>
              </w:rPr>
              <w:t>Secured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Subordinated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9"/>
              </w:rPr>
              <w:t>and</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9"/>
              </w:rPr>
              <w:t>Debt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Debt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5"/>
              </w:rPr>
              <w:t>Warrants</w:t>
            </w:r>
          </w:p>
        </w:tc>
        <w:tc>
          <w:tcPr>
            <w:tcW w:w="260" w:type="dxa"/>
            <w:vAlign w:val="bottom"/>
          </w:tcPr>
          <w:p>
            <w:pPr>
              <w:spacing w:after="0"/>
              <w:rPr>
                <w:sz w:val="16"/>
                <w:szCs w:val="16"/>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73"/>
        </w:trPr>
        <w:tc>
          <w:tcPr>
            <w:tcW w:w="56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5"/>
                <w:szCs w:val="15"/>
                <w:color w:val="auto"/>
              </w:rPr>
              <w:t>Balance as of January 1, 2013</w:t>
            </w:r>
          </w:p>
        </w:tc>
        <w:tc>
          <w:tcPr>
            <w:tcW w:w="220" w:type="dxa"/>
            <w:vAlign w:val="bottom"/>
            <w:tcBorders>
              <w:top w:val="single" w:sz="8" w:color="auto"/>
            </w:tcBorders>
            <w:shd w:val="clear" w:color="auto" w:fill="CCFFCC"/>
          </w:tcPr>
          <w:p>
            <w:pPr>
              <w:jc w:val="right"/>
              <w:ind w:right="11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73,861</w:t>
            </w: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101,659</w:t>
            </w: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108,411</w:t>
            </w:r>
          </w:p>
        </w:tc>
        <w:tc>
          <w:tcPr>
            <w:tcW w:w="240" w:type="dxa"/>
            <w:vAlign w:val="bottom"/>
            <w:tcBorders>
              <w:top w:val="single" w:sz="8" w:color="CCFFCC"/>
              <w:right w:val="single" w:sz="8" w:color="CCFFCC"/>
            </w:tcBorders>
            <w:shd w:val="clear" w:color="auto" w:fill="CCFFCC"/>
          </w:tcPr>
          <w:p>
            <w:pPr>
              <w:spacing w:after="0"/>
              <w:rPr>
                <w:sz w:val="15"/>
                <w:szCs w:val="15"/>
                <w:color w:val="auto"/>
              </w:rPr>
            </w:pPr>
          </w:p>
        </w:tc>
        <w:tc>
          <w:tcPr>
            <w:tcW w:w="260" w:type="dxa"/>
            <w:vAlign w:val="bottom"/>
            <w:tcBorders>
              <w:top w:val="single" w:sz="8" w:color="auto"/>
            </w:tcBorders>
            <w:shd w:val="clear" w:color="auto" w:fill="CCFFCC"/>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283,931</w:t>
            </w:r>
          </w:p>
        </w:tc>
        <w:tc>
          <w:tcPr>
            <w:tcW w:w="12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20" w:type="dxa"/>
            <w:vAlign w:val="bottom"/>
          </w:tcPr>
          <w:p>
            <w:pPr>
              <w:spacing w:after="0"/>
              <w:rPr>
                <w:sz w:val="20"/>
                <w:szCs w:val="20"/>
                <w:color w:val="auto"/>
              </w:rPr>
            </w:pPr>
            <w:r>
              <w:rPr>
                <w:rFonts w:ascii="Arial" w:cs="Arial" w:eastAsia="Arial" w:hAnsi="Arial"/>
                <w:sz w:val="15"/>
                <w:szCs w:val="15"/>
                <w:color w:val="auto"/>
              </w:rPr>
              <w:t>Change in classification due to restructure</w:t>
            </w:r>
          </w:p>
        </w:tc>
        <w:tc>
          <w:tcPr>
            <w:tcW w:w="22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(1,239)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1,196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5620" w:type="dxa"/>
            <w:vAlign w:val="bottom"/>
            <w:shd w:val="clear" w:color="auto" w:fill="CCFFCC"/>
          </w:tcPr>
          <w:p>
            <w:pPr>
              <w:spacing w:after="0"/>
              <w:rPr>
                <w:sz w:val="20"/>
                <w:szCs w:val="20"/>
                <w:color w:val="auto"/>
              </w:rPr>
            </w:pPr>
            <w:r>
              <w:rPr>
                <w:rFonts w:ascii="Arial" w:cs="Arial" w:eastAsia="Arial" w:hAnsi="Arial"/>
                <w:sz w:val="15"/>
                <w:szCs w:val="15"/>
                <w:color w:val="auto"/>
              </w:rPr>
              <w:t>Repayments</w:t>
            </w:r>
          </w:p>
        </w:tc>
        <w:tc>
          <w:tcPr>
            <w:tcW w:w="22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(13,325)</w:t>
            </w:r>
          </w:p>
        </w:tc>
        <w:tc>
          <w:tcPr>
            <w:tcW w:w="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5"/>
                <w:szCs w:val="15"/>
                <w:color w:val="auto"/>
              </w:rPr>
              <w:t>(32,097)</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30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(7,333)</w:t>
            </w: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color w:val="auto"/>
              </w:rPr>
              <w:t>(52,755)</w:t>
            </w:r>
          </w:p>
        </w:tc>
        <w:tc>
          <w:tcPr>
            <w:tcW w:w="0" w:type="dxa"/>
            <w:vAlign w:val="bottom"/>
          </w:tcPr>
          <w:p>
            <w:pPr>
              <w:spacing w:after="0"/>
              <w:rPr>
                <w:sz w:val="1"/>
                <w:szCs w:val="1"/>
                <w:color w:val="auto"/>
              </w:rPr>
            </w:pPr>
          </w:p>
        </w:tc>
      </w:tr>
      <w:tr>
        <w:trPr>
          <w:trHeight w:val="181"/>
        </w:trPr>
        <w:tc>
          <w:tcPr>
            <w:tcW w:w="5620" w:type="dxa"/>
            <w:vAlign w:val="bottom"/>
          </w:tcPr>
          <w:p>
            <w:pPr>
              <w:spacing w:after="0"/>
              <w:rPr>
                <w:sz w:val="20"/>
                <w:szCs w:val="20"/>
                <w:color w:val="auto"/>
              </w:rPr>
            </w:pPr>
            <w:r>
              <w:rPr>
                <w:rFonts w:ascii="Arial" w:cs="Arial" w:eastAsia="Arial" w:hAnsi="Arial"/>
                <w:sz w:val="15"/>
                <w:szCs w:val="15"/>
                <w:color w:val="auto"/>
              </w:rPr>
              <w:t>Purchases</w:t>
            </w:r>
          </w:p>
        </w:tc>
        <w:tc>
          <w:tcPr>
            <w:tcW w:w="2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42,485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54,059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14,385</w:t>
            </w:r>
          </w:p>
        </w:tc>
        <w:tc>
          <w:tcPr>
            <w:tcW w:w="26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110,929</w:t>
            </w:r>
          </w:p>
        </w:tc>
        <w:tc>
          <w:tcPr>
            <w:tcW w:w="0" w:type="dxa"/>
            <w:vAlign w:val="bottom"/>
          </w:tcPr>
          <w:p>
            <w:pPr>
              <w:spacing w:after="0"/>
              <w:rPr>
                <w:sz w:val="1"/>
                <w:szCs w:val="1"/>
                <w:color w:val="auto"/>
              </w:rPr>
            </w:pPr>
          </w:p>
        </w:tc>
      </w:tr>
      <w:tr>
        <w:trPr>
          <w:trHeight w:val="181"/>
        </w:trPr>
        <w:tc>
          <w:tcPr>
            <w:tcW w:w="5620" w:type="dxa"/>
            <w:vAlign w:val="bottom"/>
            <w:shd w:val="clear" w:color="auto" w:fill="CCFFCC"/>
          </w:tcPr>
          <w:p>
            <w:pPr>
              <w:spacing w:after="0"/>
              <w:rPr>
                <w:sz w:val="20"/>
                <w:szCs w:val="20"/>
                <w:color w:val="auto"/>
              </w:rPr>
            </w:pPr>
            <w:r>
              <w:rPr>
                <w:rFonts w:ascii="Arial" w:cs="Arial" w:eastAsia="Arial" w:hAnsi="Arial"/>
                <w:sz w:val="15"/>
                <w:szCs w:val="15"/>
                <w:color w:val="auto"/>
              </w:rPr>
              <w:t>Purchases related to asset acquisition</w:t>
            </w:r>
          </w:p>
        </w:tc>
        <w:tc>
          <w:tcPr>
            <w:tcW w:w="22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2,328</w:t>
            </w:r>
          </w:p>
        </w:tc>
        <w:tc>
          <w:tcPr>
            <w:tcW w:w="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6,041</w:t>
            </w: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5"/>
                <w:szCs w:val="15"/>
                <w:color w:val="auto"/>
              </w:rPr>
              <w:t>3,427</w:t>
            </w:r>
          </w:p>
        </w:tc>
        <w:tc>
          <w:tcPr>
            <w:tcW w:w="240" w:type="dxa"/>
            <w:vAlign w:val="bottom"/>
            <w:tcBorders>
              <w:right w:val="single" w:sz="8" w:color="CCFFCC"/>
            </w:tcBorders>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11,796</w:t>
            </w:r>
          </w:p>
        </w:tc>
        <w:tc>
          <w:tcPr>
            <w:tcW w:w="0" w:type="dxa"/>
            <w:vAlign w:val="bottom"/>
          </w:tcPr>
          <w:p>
            <w:pPr>
              <w:spacing w:after="0"/>
              <w:rPr>
                <w:sz w:val="1"/>
                <w:szCs w:val="1"/>
                <w:color w:val="auto"/>
              </w:rPr>
            </w:pPr>
          </w:p>
        </w:tc>
      </w:tr>
      <w:tr>
        <w:trPr>
          <w:trHeight w:val="181"/>
        </w:trPr>
        <w:tc>
          <w:tcPr>
            <w:tcW w:w="5620" w:type="dxa"/>
            <w:vAlign w:val="bottom"/>
          </w:tcPr>
          <w:p>
            <w:pPr>
              <w:spacing w:after="0"/>
              <w:rPr>
                <w:sz w:val="20"/>
                <w:szCs w:val="20"/>
                <w:color w:val="auto"/>
              </w:rPr>
            </w:pPr>
            <w:r>
              <w:rPr>
                <w:rFonts w:ascii="Arial" w:cs="Arial" w:eastAsia="Arial" w:hAnsi="Arial"/>
                <w:sz w:val="15"/>
                <w:szCs w:val="15"/>
                <w:color w:val="auto"/>
              </w:rPr>
              <w:t>Payment in-kind interest accrued, net of payments received</w:t>
            </w:r>
          </w:p>
        </w:tc>
        <w:tc>
          <w:tcPr>
            <w:tcW w:w="2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473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935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1,408</w:t>
            </w:r>
          </w:p>
        </w:tc>
        <w:tc>
          <w:tcPr>
            <w:tcW w:w="0" w:type="dxa"/>
            <w:vAlign w:val="bottom"/>
          </w:tcPr>
          <w:p>
            <w:pPr>
              <w:spacing w:after="0"/>
              <w:rPr>
                <w:sz w:val="1"/>
                <w:szCs w:val="1"/>
                <w:color w:val="auto"/>
              </w:rPr>
            </w:pPr>
          </w:p>
        </w:tc>
      </w:tr>
      <w:tr>
        <w:trPr>
          <w:trHeight w:val="181"/>
        </w:trPr>
        <w:tc>
          <w:tcPr>
            <w:tcW w:w="5620" w:type="dxa"/>
            <w:vAlign w:val="bottom"/>
            <w:shd w:val="clear" w:color="auto" w:fill="CCFFCC"/>
          </w:tcPr>
          <w:p>
            <w:pPr>
              <w:spacing w:after="0"/>
              <w:rPr>
                <w:sz w:val="20"/>
                <w:szCs w:val="20"/>
                <w:color w:val="auto"/>
              </w:rPr>
            </w:pPr>
            <w:r>
              <w:rPr>
                <w:rFonts w:ascii="Arial" w:cs="Arial" w:eastAsia="Arial" w:hAnsi="Arial"/>
                <w:sz w:val="15"/>
                <w:szCs w:val="15"/>
                <w:color w:val="auto"/>
              </w:rPr>
              <w:t>Accretion of original issue discount</w:t>
            </w:r>
          </w:p>
        </w:tc>
        <w:tc>
          <w:tcPr>
            <w:tcW w:w="22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5</w:t>
            </w:r>
          </w:p>
        </w:tc>
        <w:tc>
          <w:tcPr>
            <w:tcW w:w="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31</w:t>
            </w: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30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81"/>
        </w:trPr>
        <w:tc>
          <w:tcPr>
            <w:tcW w:w="5620" w:type="dxa"/>
            <w:vAlign w:val="bottom"/>
          </w:tcPr>
          <w:p>
            <w:pPr>
              <w:spacing w:after="0"/>
              <w:rPr>
                <w:sz w:val="20"/>
                <w:szCs w:val="20"/>
                <w:color w:val="auto"/>
              </w:rPr>
            </w:pPr>
            <w:r>
              <w:rPr>
                <w:rFonts w:ascii="Arial" w:cs="Arial" w:eastAsia="Arial" w:hAnsi="Arial"/>
                <w:sz w:val="15"/>
                <w:szCs w:val="15"/>
                <w:color w:val="auto"/>
              </w:rPr>
              <w:t>Gain/(loss) on sale</w:t>
            </w:r>
          </w:p>
        </w:tc>
        <w:tc>
          <w:tcPr>
            <w:tcW w:w="2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5"/>
                <w:szCs w:val="15"/>
                <w:color w:val="auto"/>
              </w:rPr>
              <w:t>(2,555)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4,742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2,187</w:t>
            </w:r>
          </w:p>
        </w:tc>
        <w:tc>
          <w:tcPr>
            <w:tcW w:w="0" w:type="dxa"/>
            <w:vAlign w:val="bottom"/>
          </w:tcPr>
          <w:p>
            <w:pPr>
              <w:spacing w:after="0"/>
              <w:rPr>
                <w:sz w:val="1"/>
                <w:szCs w:val="1"/>
                <w:color w:val="auto"/>
              </w:rPr>
            </w:pPr>
          </w:p>
        </w:tc>
      </w:tr>
      <w:tr>
        <w:trPr>
          <w:trHeight w:val="192"/>
        </w:trPr>
        <w:tc>
          <w:tcPr>
            <w:tcW w:w="5620" w:type="dxa"/>
            <w:vAlign w:val="bottom"/>
            <w:shd w:val="clear" w:color="auto" w:fill="CCFFCC"/>
          </w:tcPr>
          <w:p>
            <w:pPr>
              <w:spacing w:after="0"/>
              <w:rPr>
                <w:sz w:val="20"/>
                <w:szCs w:val="20"/>
                <w:color w:val="auto"/>
              </w:rPr>
            </w:pPr>
            <w:r>
              <w:rPr>
                <w:rFonts w:ascii="Arial" w:cs="Arial" w:eastAsia="Arial" w:hAnsi="Arial"/>
                <w:sz w:val="15"/>
                <w:szCs w:val="15"/>
                <w:color w:val="auto"/>
              </w:rPr>
              <w:t>Net unrealized appreciation (depreciation)</w:t>
            </w:r>
          </w:p>
        </w:tc>
        <w:tc>
          <w:tcPr>
            <w:tcW w:w="220" w:type="dxa"/>
            <w:vAlign w:val="bottom"/>
            <w:shd w:val="clear" w:color="auto" w:fill="CCFFCC"/>
          </w:tcPr>
          <w:p>
            <w:pPr>
              <w:spacing w:after="0"/>
              <w:rPr>
                <w:sz w:val="16"/>
                <w:szCs w:val="16"/>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(2,517)</w:t>
            </w: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4,441</w:t>
            </w:r>
          </w:p>
        </w:tc>
        <w:tc>
          <w:tcPr>
            <w:tcW w:w="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5"/>
                <w:szCs w:val="15"/>
                <w:color w:val="auto"/>
              </w:rPr>
              <w:t>5,263</w:t>
            </w:r>
          </w:p>
        </w:tc>
        <w:tc>
          <w:tcPr>
            <w:tcW w:w="240" w:type="dxa"/>
            <w:vAlign w:val="bottom"/>
            <w:tcBorders>
              <w:right w:val="single" w:sz="8" w:color="CCFFCC"/>
            </w:tcBorders>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7,187</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5"/>
                <w:szCs w:val="15"/>
                <w:color w:val="auto"/>
              </w:rPr>
              <w:t>Balance as of December 31, 2013</w:t>
            </w: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20" w:type="dxa"/>
            <w:vAlign w:val="bottom"/>
            <w:vMerge w:val="continue"/>
          </w:tcPr>
          <w:p>
            <w:pPr>
              <w:spacing w:after="0"/>
              <w:rPr>
                <w:sz w:val="15"/>
                <w:szCs w:val="15"/>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102,071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133,710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128,938</w:t>
            </w:r>
          </w:p>
        </w:tc>
        <w:tc>
          <w:tcPr>
            <w:tcW w:w="240" w:type="dxa"/>
            <w:vAlign w:val="bottom"/>
          </w:tcPr>
          <w:p>
            <w:pPr>
              <w:spacing w:after="0"/>
              <w:rPr>
                <w:sz w:val="15"/>
                <w:szCs w:val="15"/>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364,719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1440" w:type="dxa"/>
            <w:vAlign w:val="bottom"/>
            <w:gridSpan w:val="15"/>
          </w:tcPr>
          <w:p>
            <w:pPr>
              <w:ind w:left="720"/>
              <w:spacing w:after="0"/>
              <w:rPr>
                <w:sz w:val="20"/>
                <w:szCs w:val="20"/>
                <w:color w:val="auto"/>
              </w:rPr>
            </w:pPr>
            <w:r>
              <w:rPr>
                <w:rFonts w:ascii="Arial" w:cs="Arial" w:eastAsia="Arial" w:hAnsi="Arial"/>
                <w:sz w:val="15"/>
                <w:szCs w:val="15"/>
                <w:color w:val="auto"/>
                <w:w w:val="94"/>
              </w:rPr>
              <w:t>The following table provides a reconciliation of the beginning and ending balances for investments that use Level 3 inputs for the year ended December 31, 2012 (dollars in</w:t>
            </w:r>
          </w:p>
        </w:tc>
        <w:tc>
          <w:tcPr>
            <w:tcW w:w="0" w:type="dxa"/>
            <w:vAlign w:val="bottom"/>
          </w:tcPr>
          <w:p>
            <w:pPr>
              <w:spacing w:after="0"/>
              <w:rPr>
                <w:sz w:val="1"/>
                <w:szCs w:val="1"/>
                <w:color w:val="auto"/>
              </w:rPr>
            </w:pPr>
          </w:p>
        </w:tc>
      </w:tr>
      <w:tr>
        <w:trPr>
          <w:trHeight w:val="190"/>
        </w:trPr>
        <w:tc>
          <w:tcPr>
            <w:tcW w:w="5620" w:type="dxa"/>
            <w:vAlign w:val="bottom"/>
          </w:tcPr>
          <w:p>
            <w:pPr>
              <w:spacing w:after="0"/>
              <w:rPr>
                <w:sz w:val="20"/>
                <w:szCs w:val="20"/>
                <w:color w:val="auto"/>
              </w:rPr>
            </w:pPr>
            <w:r>
              <w:rPr>
                <w:rFonts w:ascii="Arial" w:cs="Arial" w:eastAsia="Arial" w:hAnsi="Arial"/>
                <w:sz w:val="15"/>
                <w:szCs w:val="15"/>
                <w:color w:val="auto"/>
              </w:rPr>
              <w:t>thousands):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9"/>
              </w:rPr>
              <w:t>Senior</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5"/>
              </w:rPr>
              <w:t>Equity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7"/>
              </w:rPr>
              <w:t>Secured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Subordinated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9"/>
              </w:rPr>
              <w:t>and</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9"/>
              </w:rPr>
              <w:t>Debt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Debt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5"/>
              </w:rPr>
              <w:t>Warrants</w:t>
            </w:r>
          </w:p>
        </w:tc>
        <w:tc>
          <w:tcPr>
            <w:tcW w:w="260" w:type="dxa"/>
            <w:vAlign w:val="bottom"/>
          </w:tcPr>
          <w:p>
            <w:pPr>
              <w:spacing w:after="0"/>
              <w:rPr>
                <w:sz w:val="16"/>
                <w:szCs w:val="16"/>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73"/>
        </w:trPr>
        <w:tc>
          <w:tcPr>
            <w:tcW w:w="56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5"/>
                <w:szCs w:val="15"/>
                <w:color w:val="auto"/>
              </w:rPr>
              <w:t>Balance as of January 1, 2012</w:t>
            </w:r>
          </w:p>
        </w:tc>
        <w:tc>
          <w:tcPr>
            <w:tcW w:w="220" w:type="dxa"/>
            <w:vAlign w:val="bottom"/>
            <w:tcBorders>
              <w:top w:val="single" w:sz="8" w:color="auto"/>
            </w:tcBorders>
            <w:shd w:val="clear" w:color="auto" w:fill="CCFFCC"/>
          </w:tcPr>
          <w:p>
            <w:pPr>
              <w:jc w:val="right"/>
              <w:ind w:right="11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40,359</w:t>
            </w: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114,517</w:t>
            </w:r>
          </w:p>
        </w:tc>
        <w:tc>
          <w:tcPr>
            <w:tcW w:w="14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57,863</w:t>
            </w:r>
          </w:p>
        </w:tc>
        <w:tc>
          <w:tcPr>
            <w:tcW w:w="240" w:type="dxa"/>
            <w:vAlign w:val="bottom"/>
            <w:tcBorders>
              <w:top w:val="single" w:sz="8" w:color="CCFFCC"/>
              <w:right w:val="single" w:sz="8" w:color="CCFFCC"/>
            </w:tcBorders>
            <w:shd w:val="clear" w:color="auto" w:fill="CCFFCC"/>
          </w:tcPr>
          <w:p>
            <w:pPr>
              <w:spacing w:after="0"/>
              <w:rPr>
                <w:sz w:val="15"/>
                <w:szCs w:val="15"/>
                <w:color w:val="auto"/>
              </w:rPr>
            </w:pPr>
          </w:p>
        </w:tc>
        <w:tc>
          <w:tcPr>
            <w:tcW w:w="260" w:type="dxa"/>
            <w:vAlign w:val="bottom"/>
            <w:tcBorders>
              <w:top w:val="single" w:sz="8" w:color="auto"/>
            </w:tcBorders>
            <w:shd w:val="clear" w:color="auto" w:fill="CCFFCC"/>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212,739</w:t>
            </w:r>
          </w:p>
        </w:tc>
        <w:tc>
          <w:tcPr>
            <w:tcW w:w="12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20" w:type="dxa"/>
            <w:vAlign w:val="bottom"/>
          </w:tcPr>
          <w:p>
            <w:pPr>
              <w:spacing w:after="0"/>
              <w:rPr>
                <w:sz w:val="20"/>
                <w:szCs w:val="20"/>
                <w:color w:val="auto"/>
              </w:rPr>
            </w:pPr>
            <w:r>
              <w:rPr>
                <w:rFonts w:ascii="Arial" w:cs="Arial" w:eastAsia="Arial" w:hAnsi="Arial"/>
                <w:sz w:val="15"/>
                <w:szCs w:val="15"/>
                <w:color w:val="auto"/>
              </w:rPr>
              <w:t>Change in classification due to restructure</w:t>
            </w:r>
          </w:p>
        </w:tc>
        <w:tc>
          <w:tcPr>
            <w:tcW w:w="2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21,120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5"/>
                <w:szCs w:val="15"/>
                <w:color w:val="auto"/>
              </w:rPr>
              <w:t>(23,485)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2,365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5620" w:type="dxa"/>
            <w:vAlign w:val="bottom"/>
            <w:shd w:val="clear" w:color="auto" w:fill="CCFFCC"/>
          </w:tcPr>
          <w:p>
            <w:pPr>
              <w:spacing w:after="0"/>
              <w:rPr>
                <w:sz w:val="20"/>
                <w:szCs w:val="20"/>
                <w:color w:val="auto"/>
              </w:rPr>
            </w:pPr>
            <w:r>
              <w:rPr>
                <w:rFonts w:ascii="Arial" w:cs="Arial" w:eastAsia="Arial" w:hAnsi="Arial"/>
                <w:sz w:val="15"/>
                <w:szCs w:val="15"/>
                <w:color w:val="auto"/>
              </w:rPr>
              <w:t>Repayments</w:t>
            </w:r>
          </w:p>
        </w:tc>
        <w:tc>
          <w:tcPr>
            <w:tcW w:w="22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(11,896)</w:t>
            </w:r>
          </w:p>
        </w:tc>
        <w:tc>
          <w:tcPr>
            <w:tcW w:w="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5"/>
                <w:szCs w:val="15"/>
                <w:color w:val="auto"/>
              </w:rPr>
              <w:t>(9,517)</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30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(2,303)</w:t>
            </w: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color w:val="auto"/>
              </w:rPr>
              <w:t>(23,716)</w:t>
            </w:r>
          </w:p>
        </w:tc>
        <w:tc>
          <w:tcPr>
            <w:tcW w:w="0" w:type="dxa"/>
            <w:vAlign w:val="bottom"/>
          </w:tcPr>
          <w:p>
            <w:pPr>
              <w:spacing w:after="0"/>
              <w:rPr>
                <w:sz w:val="1"/>
                <w:szCs w:val="1"/>
                <w:color w:val="auto"/>
              </w:rPr>
            </w:pPr>
          </w:p>
        </w:tc>
      </w:tr>
      <w:tr>
        <w:trPr>
          <w:trHeight w:val="181"/>
        </w:trPr>
        <w:tc>
          <w:tcPr>
            <w:tcW w:w="5620" w:type="dxa"/>
            <w:vAlign w:val="bottom"/>
          </w:tcPr>
          <w:p>
            <w:pPr>
              <w:spacing w:after="0"/>
              <w:rPr>
                <w:sz w:val="20"/>
                <w:szCs w:val="20"/>
                <w:color w:val="auto"/>
              </w:rPr>
            </w:pPr>
            <w:r>
              <w:rPr>
                <w:rFonts w:ascii="Arial" w:cs="Arial" w:eastAsia="Arial" w:hAnsi="Arial"/>
                <w:sz w:val="15"/>
                <w:szCs w:val="15"/>
                <w:color w:val="auto"/>
              </w:rPr>
              <w:t>Purchases</w:t>
            </w:r>
          </w:p>
        </w:tc>
        <w:tc>
          <w:tcPr>
            <w:tcW w:w="2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20,978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26,063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9,432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56,473</w:t>
            </w:r>
          </w:p>
        </w:tc>
        <w:tc>
          <w:tcPr>
            <w:tcW w:w="0" w:type="dxa"/>
            <w:vAlign w:val="bottom"/>
          </w:tcPr>
          <w:p>
            <w:pPr>
              <w:spacing w:after="0"/>
              <w:rPr>
                <w:sz w:val="1"/>
                <w:szCs w:val="1"/>
                <w:color w:val="auto"/>
              </w:rPr>
            </w:pPr>
          </w:p>
        </w:tc>
      </w:tr>
      <w:tr>
        <w:trPr>
          <w:trHeight w:val="181"/>
        </w:trPr>
        <w:tc>
          <w:tcPr>
            <w:tcW w:w="5620" w:type="dxa"/>
            <w:vAlign w:val="bottom"/>
            <w:shd w:val="clear" w:color="auto" w:fill="CCFFCC"/>
          </w:tcPr>
          <w:p>
            <w:pPr>
              <w:spacing w:after="0"/>
              <w:rPr>
                <w:sz w:val="20"/>
                <w:szCs w:val="20"/>
                <w:color w:val="auto"/>
              </w:rPr>
            </w:pPr>
            <w:r>
              <w:rPr>
                <w:rFonts w:ascii="Arial" w:cs="Arial" w:eastAsia="Arial" w:hAnsi="Arial"/>
                <w:sz w:val="15"/>
                <w:szCs w:val="15"/>
                <w:color w:val="auto"/>
              </w:rPr>
              <w:t>Payment in-kind interest accrued, net of payments received</w:t>
            </w:r>
          </w:p>
        </w:tc>
        <w:tc>
          <w:tcPr>
            <w:tcW w:w="22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339</w:t>
            </w:r>
          </w:p>
        </w:tc>
        <w:tc>
          <w:tcPr>
            <w:tcW w:w="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1,134</w:t>
            </w: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30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1,473</w:t>
            </w:r>
          </w:p>
        </w:tc>
        <w:tc>
          <w:tcPr>
            <w:tcW w:w="0" w:type="dxa"/>
            <w:vAlign w:val="bottom"/>
          </w:tcPr>
          <w:p>
            <w:pPr>
              <w:spacing w:after="0"/>
              <w:rPr>
                <w:sz w:val="1"/>
                <w:szCs w:val="1"/>
                <w:color w:val="auto"/>
              </w:rPr>
            </w:pPr>
          </w:p>
        </w:tc>
      </w:tr>
      <w:tr>
        <w:trPr>
          <w:trHeight w:val="181"/>
        </w:trPr>
        <w:tc>
          <w:tcPr>
            <w:tcW w:w="5620" w:type="dxa"/>
            <w:vAlign w:val="bottom"/>
          </w:tcPr>
          <w:p>
            <w:pPr>
              <w:spacing w:after="0"/>
              <w:rPr>
                <w:sz w:val="20"/>
                <w:szCs w:val="20"/>
                <w:color w:val="auto"/>
              </w:rPr>
            </w:pPr>
            <w:r>
              <w:rPr>
                <w:rFonts w:ascii="Arial" w:cs="Arial" w:eastAsia="Arial" w:hAnsi="Arial"/>
                <w:sz w:val="15"/>
                <w:szCs w:val="15"/>
                <w:color w:val="auto"/>
              </w:rPr>
              <w:t>Accretion of original issue discount</w:t>
            </w:r>
          </w:p>
        </w:tc>
        <w:tc>
          <w:tcPr>
            <w:tcW w:w="2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313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316</w:t>
            </w:r>
          </w:p>
        </w:tc>
        <w:tc>
          <w:tcPr>
            <w:tcW w:w="0" w:type="dxa"/>
            <w:vAlign w:val="bottom"/>
          </w:tcPr>
          <w:p>
            <w:pPr>
              <w:spacing w:after="0"/>
              <w:rPr>
                <w:sz w:val="1"/>
                <w:szCs w:val="1"/>
                <w:color w:val="auto"/>
              </w:rPr>
            </w:pPr>
          </w:p>
        </w:tc>
      </w:tr>
      <w:tr>
        <w:trPr>
          <w:trHeight w:val="181"/>
        </w:trPr>
        <w:tc>
          <w:tcPr>
            <w:tcW w:w="5620" w:type="dxa"/>
            <w:vAlign w:val="bottom"/>
            <w:shd w:val="clear" w:color="auto" w:fill="CCFFCC"/>
          </w:tcPr>
          <w:p>
            <w:pPr>
              <w:spacing w:after="0"/>
              <w:rPr>
                <w:sz w:val="20"/>
                <w:szCs w:val="20"/>
                <w:color w:val="auto"/>
              </w:rPr>
            </w:pPr>
            <w:r>
              <w:rPr>
                <w:rFonts w:ascii="Arial" w:cs="Arial" w:eastAsia="Arial" w:hAnsi="Arial"/>
                <w:sz w:val="15"/>
                <w:szCs w:val="15"/>
                <w:color w:val="auto"/>
              </w:rPr>
              <w:t>Gain/(loss) on sale</w:t>
            </w:r>
          </w:p>
        </w:tc>
        <w:tc>
          <w:tcPr>
            <w:tcW w:w="22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1,590</w:t>
            </w:r>
          </w:p>
        </w:tc>
        <w:tc>
          <w:tcPr>
            <w:tcW w:w="240" w:type="dxa"/>
            <w:vAlign w:val="bottom"/>
            <w:tcBorders>
              <w:right w:val="single" w:sz="8" w:color="CCFFCC"/>
            </w:tcBorders>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1,590</w:t>
            </w:r>
          </w:p>
        </w:tc>
        <w:tc>
          <w:tcPr>
            <w:tcW w:w="0" w:type="dxa"/>
            <w:vAlign w:val="bottom"/>
          </w:tcPr>
          <w:p>
            <w:pPr>
              <w:spacing w:after="0"/>
              <w:rPr>
                <w:sz w:val="1"/>
                <w:szCs w:val="1"/>
                <w:color w:val="auto"/>
              </w:rPr>
            </w:pPr>
          </w:p>
        </w:tc>
      </w:tr>
      <w:tr>
        <w:trPr>
          <w:trHeight w:val="191"/>
        </w:trPr>
        <w:tc>
          <w:tcPr>
            <w:tcW w:w="5620" w:type="dxa"/>
            <w:vAlign w:val="bottom"/>
          </w:tcPr>
          <w:p>
            <w:pPr>
              <w:spacing w:after="0"/>
              <w:rPr>
                <w:sz w:val="20"/>
                <w:szCs w:val="20"/>
                <w:color w:val="auto"/>
              </w:rPr>
            </w:pPr>
            <w:r>
              <w:rPr>
                <w:rFonts w:ascii="Arial" w:cs="Arial" w:eastAsia="Arial" w:hAnsi="Arial"/>
                <w:sz w:val="15"/>
                <w:szCs w:val="15"/>
                <w:color w:val="auto"/>
              </w:rPr>
              <w:t>Net unrealized appreciation (depreciation)</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2,958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5"/>
                <w:szCs w:val="15"/>
                <w:color w:val="auto"/>
              </w:rPr>
              <w:t>(7,366)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39,464</w:t>
            </w:r>
          </w:p>
        </w:tc>
        <w:tc>
          <w:tcPr>
            <w:tcW w:w="2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35,056</w:t>
            </w:r>
          </w:p>
        </w:tc>
        <w:tc>
          <w:tcPr>
            <w:tcW w:w="0" w:type="dxa"/>
            <w:vAlign w:val="bottom"/>
          </w:tcPr>
          <w:p>
            <w:pPr>
              <w:spacing w:after="0"/>
              <w:rPr>
                <w:sz w:val="1"/>
                <w:szCs w:val="1"/>
                <w:color w:val="auto"/>
              </w:rPr>
            </w:pPr>
          </w:p>
        </w:tc>
      </w:tr>
      <w:tr>
        <w:trPr>
          <w:trHeight w:val="20"/>
        </w:trPr>
        <w:tc>
          <w:tcPr>
            <w:tcW w:w="5620" w:type="dxa"/>
            <w:vAlign w:val="bottom"/>
            <w:vMerge w:val="restart"/>
            <w:shd w:val="clear" w:color="auto" w:fill="CCFFCC"/>
          </w:tcPr>
          <w:p>
            <w:pPr>
              <w:spacing w:after="0"/>
              <w:rPr>
                <w:sz w:val="20"/>
                <w:szCs w:val="20"/>
                <w:color w:val="auto"/>
              </w:rPr>
            </w:pPr>
            <w:r>
              <w:rPr>
                <w:rFonts w:ascii="Arial" w:cs="Arial" w:eastAsia="Arial" w:hAnsi="Arial"/>
                <w:sz w:val="15"/>
                <w:szCs w:val="15"/>
                <w:color w:val="auto"/>
              </w:rPr>
              <w:t>Balance as of December 31, 2012</w:t>
            </w: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20" w:type="dxa"/>
            <w:vAlign w:val="bottom"/>
            <w:vMerge w:val="continue"/>
            <w:shd w:val="clear" w:color="auto" w:fill="CCFFCC"/>
          </w:tcPr>
          <w:p>
            <w:pPr>
              <w:spacing w:after="0"/>
              <w:rPr>
                <w:sz w:val="16"/>
                <w:szCs w:val="16"/>
                <w:color w:val="auto"/>
              </w:rPr>
            </w:pPr>
          </w:p>
        </w:tc>
        <w:tc>
          <w:tcPr>
            <w:tcW w:w="220" w:type="dxa"/>
            <w:vAlign w:val="bottom"/>
            <w:shd w:val="clear" w:color="auto" w:fill="CCFFCC"/>
          </w:tcPr>
          <w:p>
            <w:pPr>
              <w:jc w:val="right"/>
              <w:ind w:right="1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73,861</w:t>
            </w:r>
          </w:p>
        </w:tc>
        <w:tc>
          <w:tcPr>
            <w:tcW w:w="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101,659</w:t>
            </w:r>
          </w:p>
        </w:tc>
        <w:tc>
          <w:tcPr>
            <w:tcW w:w="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5"/>
                <w:szCs w:val="15"/>
                <w:color w:val="auto"/>
              </w:rPr>
              <w:t>108,411</w:t>
            </w:r>
          </w:p>
        </w:tc>
        <w:tc>
          <w:tcPr>
            <w:tcW w:w="260" w:type="dxa"/>
            <w:vAlign w:val="bottom"/>
            <w:shd w:val="clear" w:color="auto" w:fill="CCFFCC"/>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283,931</w:t>
            </w:r>
          </w:p>
        </w:tc>
        <w:tc>
          <w:tcPr>
            <w:tcW w:w="0" w:type="dxa"/>
            <w:vAlign w:val="bottom"/>
          </w:tcPr>
          <w:p>
            <w:pPr>
              <w:spacing w:after="0"/>
              <w:rPr>
                <w:sz w:val="1"/>
                <w:szCs w:val="1"/>
                <w:color w:val="auto"/>
              </w:rPr>
            </w:pPr>
          </w:p>
        </w:tc>
      </w:tr>
      <w:tr>
        <w:trPr>
          <w:trHeight w:val="20"/>
        </w:trPr>
        <w:tc>
          <w:tcPr>
            <w:tcW w:w="56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10" w:right="460" w:firstLine="738"/>
        <w:spacing w:after="0" w:line="276" w:lineRule="auto"/>
        <w:rPr>
          <w:sz w:val="20"/>
          <w:szCs w:val="20"/>
          <w:color w:val="auto"/>
        </w:rPr>
      </w:pPr>
      <w:r>
        <w:rPr>
          <w:rFonts w:ascii="Arial" w:cs="Arial" w:eastAsia="Arial" w:hAnsi="Arial"/>
          <w:sz w:val="15"/>
          <w:szCs w:val="15"/>
          <w:color w:val="auto"/>
        </w:rPr>
        <w:t>The net change in unrealized appreciation on investments held as of December 31, 2013 and 2012, was $8.8 million and $33.3 million, respectively, and is included in net unrealized appreciation on investments in the consolidated statements of operations.</w:t>
      </w:r>
    </w:p>
    <w:p>
      <w:pPr>
        <w:spacing w:after="0" w:line="146" w:lineRule="exact"/>
        <w:rPr>
          <w:sz w:val="20"/>
          <w:szCs w:val="20"/>
          <w:color w:val="auto"/>
        </w:rPr>
      </w:pPr>
    </w:p>
    <w:p>
      <w:pPr>
        <w:ind w:left="10" w:right="220" w:firstLine="738"/>
        <w:spacing w:after="0" w:line="276" w:lineRule="auto"/>
        <w:rPr>
          <w:sz w:val="20"/>
          <w:szCs w:val="20"/>
          <w:color w:val="auto"/>
        </w:rPr>
      </w:pPr>
      <w:r>
        <w:rPr>
          <w:rFonts w:ascii="Arial" w:cs="Arial" w:eastAsia="Arial" w:hAnsi="Arial"/>
          <w:sz w:val="15"/>
          <w:szCs w:val="15"/>
          <w:color w:val="auto"/>
        </w:rPr>
        <w:t>The valuation techniques and significant unobservable inputs used in recurring Level 3 fair value measurements of assets as of December 31, 2013 were as follows (dollars in thousands, except EBITDA amounts):</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12"/>
                <w:szCs w:val="12"/>
                <w:color w:val="auto"/>
              </w:rPr>
            </w:pPr>
          </w:p>
        </w:tc>
        <w:tc>
          <w:tcPr>
            <w:tcW w:w="13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Valuation Approach</w:t>
            </w:r>
          </w:p>
        </w:tc>
        <w:tc>
          <w:tcPr>
            <w:tcW w:w="100" w:type="dxa"/>
            <w:vAlign w:val="bottom"/>
          </w:tcPr>
          <w:p>
            <w:pPr>
              <w:spacing w:after="0"/>
              <w:rPr>
                <w:sz w:val="12"/>
                <w:szCs w:val="12"/>
                <w:color w:val="auto"/>
              </w:rPr>
            </w:pPr>
          </w:p>
        </w:tc>
        <w:tc>
          <w:tcPr>
            <w:tcW w:w="160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Level 3 Input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Range of Inputs</w:t>
            </w:r>
          </w:p>
        </w:tc>
        <w:tc>
          <w:tcPr>
            <w:tcW w:w="10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2"/>
              </w:rPr>
              <w:t>Weighted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300" w:type="dxa"/>
            <w:vAlign w:val="bottom"/>
            <w:tcBorders>
              <w:top w:val="single" w:sz="8" w:color="CCFFCC"/>
            </w:tcBorders>
            <w:shd w:val="clear" w:color="auto" w:fill="CCFFCC"/>
          </w:tcPr>
          <w:p>
            <w:pPr>
              <w:spacing w:after="0" w:line="100" w:lineRule="exact"/>
              <w:rPr>
                <w:sz w:val="20"/>
                <w:szCs w:val="20"/>
                <w:color w:val="auto"/>
              </w:rPr>
            </w:pPr>
            <w:r>
              <w:rPr>
                <w:rFonts w:ascii="Arial" w:cs="Arial" w:eastAsia="Arial" w:hAnsi="Arial"/>
                <w:sz w:val="11"/>
                <w:szCs w:val="11"/>
                <w:color w:val="auto"/>
              </w:rPr>
              <w:t>Subordinated debt and second lien notes</w:t>
            </w:r>
          </w:p>
        </w:tc>
        <w:tc>
          <w:tcPr>
            <w:tcW w:w="120" w:type="dxa"/>
            <w:vAlign w:val="bottom"/>
            <w:tcBorders>
              <w:top w:val="single" w:sz="8" w:color="CCFFCC"/>
            </w:tcBorders>
            <w:shd w:val="clear" w:color="auto" w:fill="CCFFCC"/>
          </w:tcPr>
          <w:p>
            <w:pPr>
              <w:spacing w:after="0"/>
              <w:rPr>
                <w:sz w:val="8"/>
                <w:szCs w:val="8"/>
                <w:color w:val="auto"/>
              </w:rPr>
            </w:pPr>
          </w:p>
        </w:tc>
        <w:tc>
          <w:tcPr>
            <w:tcW w:w="220" w:type="dxa"/>
            <w:vAlign w:val="bottom"/>
            <w:tcBorders>
              <w:top w:val="single" w:sz="8" w:color="auto"/>
            </w:tcBorders>
            <w:shd w:val="clear" w:color="auto" w:fill="CCFFCC"/>
          </w:tcPr>
          <w:p>
            <w:pPr>
              <w:jc w:val="right"/>
              <w:ind w:right="110"/>
              <w:spacing w:after="0" w:line="100" w:lineRule="exact"/>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FFCC"/>
          </w:tcPr>
          <w:p>
            <w:pPr>
              <w:jc w:val="right"/>
              <w:spacing w:after="0" w:line="100" w:lineRule="exact"/>
              <w:rPr>
                <w:sz w:val="20"/>
                <w:szCs w:val="20"/>
                <w:color w:val="auto"/>
              </w:rPr>
            </w:pPr>
            <w:r>
              <w:rPr>
                <w:rFonts w:ascii="Arial" w:cs="Arial" w:eastAsia="Arial" w:hAnsi="Arial"/>
                <w:sz w:val="11"/>
                <w:szCs w:val="11"/>
                <w:color w:val="auto"/>
              </w:rPr>
              <w:t>111,711</w:t>
            </w:r>
          </w:p>
        </w:tc>
        <w:tc>
          <w:tcPr>
            <w:tcW w:w="120" w:type="dxa"/>
            <w:vAlign w:val="bottom"/>
            <w:tcBorders>
              <w:top w:val="single" w:sz="8" w:color="CCFFCC"/>
            </w:tcBorders>
            <w:shd w:val="clear" w:color="auto" w:fill="CCFFCC"/>
          </w:tcPr>
          <w:p>
            <w:pPr>
              <w:spacing w:after="0"/>
              <w:rPr>
                <w:sz w:val="8"/>
                <w:szCs w:val="8"/>
                <w:color w:val="auto"/>
              </w:rPr>
            </w:pPr>
          </w:p>
        </w:tc>
        <w:tc>
          <w:tcPr>
            <w:tcW w:w="100" w:type="dxa"/>
            <w:vAlign w:val="bottom"/>
            <w:tcBorders>
              <w:top w:val="single" w:sz="8" w:color="CCFFCC"/>
            </w:tcBorders>
            <w:shd w:val="clear" w:color="auto" w:fill="CCFFCC"/>
          </w:tcPr>
          <w:p>
            <w:pPr>
              <w:spacing w:after="0"/>
              <w:rPr>
                <w:sz w:val="8"/>
                <w:szCs w:val="8"/>
                <w:color w:val="auto"/>
              </w:rPr>
            </w:pPr>
          </w:p>
        </w:tc>
        <w:tc>
          <w:tcPr>
            <w:tcW w:w="1380" w:type="dxa"/>
            <w:vAlign w:val="bottom"/>
            <w:tcBorders>
              <w:top w:val="single" w:sz="8" w:color="auto"/>
            </w:tcBorders>
            <w:shd w:val="clear" w:color="auto" w:fill="CCFFCC"/>
          </w:tcPr>
          <w:p>
            <w:pPr>
              <w:spacing w:after="0" w:line="100" w:lineRule="exact"/>
              <w:rPr>
                <w:sz w:val="20"/>
                <w:szCs w:val="20"/>
                <w:color w:val="auto"/>
              </w:rPr>
            </w:pPr>
            <w:r>
              <w:rPr>
                <w:rFonts w:ascii="Arial" w:cs="Arial" w:eastAsia="Arial" w:hAnsi="Arial"/>
                <w:sz w:val="11"/>
                <w:szCs w:val="11"/>
                <w:color w:val="auto"/>
              </w:rPr>
              <w:t>Income</w:t>
            </w:r>
          </w:p>
        </w:tc>
        <w:tc>
          <w:tcPr>
            <w:tcW w:w="100" w:type="dxa"/>
            <w:vAlign w:val="bottom"/>
            <w:tcBorders>
              <w:top w:val="single" w:sz="8" w:color="CCFFCC"/>
            </w:tcBorders>
            <w:shd w:val="clear" w:color="auto" w:fill="CCFFCC"/>
          </w:tcPr>
          <w:p>
            <w:pPr>
              <w:spacing w:after="0"/>
              <w:rPr>
                <w:sz w:val="8"/>
                <w:szCs w:val="8"/>
                <w:color w:val="auto"/>
              </w:rPr>
            </w:pPr>
          </w:p>
        </w:tc>
        <w:tc>
          <w:tcPr>
            <w:tcW w:w="1600" w:type="dxa"/>
            <w:vAlign w:val="bottom"/>
            <w:tcBorders>
              <w:top w:val="single" w:sz="8" w:color="auto"/>
            </w:tcBorders>
            <w:shd w:val="clear" w:color="auto" w:fill="CCFFCC"/>
          </w:tcPr>
          <w:p>
            <w:pPr>
              <w:spacing w:after="0" w:line="100" w:lineRule="exact"/>
              <w:rPr>
                <w:sz w:val="20"/>
                <w:szCs w:val="20"/>
                <w:color w:val="auto"/>
              </w:rPr>
            </w:pPr>
            <w:r>
              <w:rPr>
                <w:rFonts w:ascii="Arial" w:cs="Arial" w:eastAsia="Arial" w:hAnsi="Arial"/>
                <w:sz w:val="11"/>
                <w:szCs w:val="11"/>
                <w:color w:val="auto"/>
              </w:rPr>
              <w:t>Required Rate of Return</w:t>
            </w:r>
          </w:p>
        </w:tc>
        <w:tc>
          <w:tcPr>
            <w:tcW w:w="120" w:type="dxa"/>
            <w:vAlign w:val="bottom"/>
            <w:tcBorders>
              <w:top w:val="single" w:sz="8" w:color="CCFFCC"/>
            </w:tcBorders>
            <w:shd w:val="clear" w:color="auto" w:fill="CCFFCC"/>
          </w:tcPr>
          <w:p>
            <w:pPr>
              <w:spacing w:after="0"/>
              <w:rPr>
                <w:sz w:val="8"/>
                <w:szCs w:val="8"/>
                <w:color w:val="auto"/>
              </w:rPr>
            </w:pPr>
          </w:p>
        </w:tc>
        <w:tc>
          <w:tcPr>
            <w:tcW w:w="1820" w:type="dxa"/>
            <w:vAlign w:val="bottom"/>
            <w:tcBorders>
              <w:top w:val="single" w:sz="8" w:color="auto"/>
            </w:tcBorders>
            <w:gridSpan w:val="2"/>
            <w:shd w:val="clear" w:color="auto" w:fill="CCFFCC"/>
          </w:tcPr>
          <w:p>
            <w:pPr>
              <w:spacing w:after="0" w:line="100" w:lineRule="exact"/>
              <w:rPr>
                <w:sz w:val="20"/>
                <w:szCs w:val="20"/>
                <w:color w:val="auto"/>
              </w:rPr>
            </w:pPr>
            <w:r>
              <w:rPr>
                <w:rFonts w:ascii="Arial" w:cs="Arial" w:eastAsia="Arial" w:hAnsi="Arial"/>
                <w:sz w:val="11"/>
                <w:szCs w:val="11"/>
                <w:color w:val="auto"/>
              </w:rPr>
              <w:t>7.0% - 18.0%</w:t>
            </w:r>
          </w:p>
        </w:tc>
        <w:tc>
          <w:tcPr>
            <w:tcW w:w="100" w:type="dxa"/>
            <w:vAlign w:val="bottom"/>
            <w:tcBorders>
              <w:top w:val="single" w:sz="8" w:color="CCFFCC"/>
            </w:tcBorders>
            <w:shd w:val="clear" w:color="auto" w:fill="CCFFCC"/>
          </w:tcPr>
          <w:p>
            <w:pPr>
              <w:spacing w:after="0"/>
              <w:rPr>
                <w:sz w:val="8"/>
                <w:szCs w:val="8"/>
                <w:color w:val="auto"/>
              </w:rPr>
            </w:pPr>
          </w:p>
        </w:tc>
        <w:tc>
          <w:tcPr>
            <w:tcW w:w="1380" w:type="dxa"/>
            <w:vAlign w:val="bottom"/>
            <w:tcBorders>
              <w:top w:val="single" w:sz="8" w:color="auto"/>
            </w:tcBorders>
            <w:shd w:val="clear" w:color="auto" w:fill="CCFFCC"/>
          </w:tcPr>
          <w:p>
            <w:pPr>
              <w:spacing w:after="0" w:line="100" w:lineRule="exact"/>
              <w:rPr>
                <w:sz w:val="20"/>
                <w:szCs w:val="20"/>
                <w:color w:val="auto"/>
              </w:rPr>
            </w:pPr>
            <w:r>
              <w:rPr>
                <w:rFonts w:ascii="Arial" w:cs="Arial" w:eastAsia="Arial" w:hAnsi="Arial"/>
                <w:sz w:val="11"/>
                <w:szCs w:val="11"/>
                <w:color w:val="auto"/>
              </w:rPr>
              <w:t>14.1%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380" w:type="dxa"/>
            <w:vAlign w:val="bottom"/>
            <w:shd w:val="clear" w:color="auto" w:fill="CCFFCC"/>
          </w:tcPr>
          <w:p>
            <w:pPr>
              <w:spacing w:after="0"/>
              <w:rPr>
                <w:sz w:val="10"/>
                <w:szCs w:val="10"/>
                <w:color w:val="auto"/>
              </w:rPr>
            </w:pPr>
          </w:p>
        </w:tc>
        <w:tc>
          <w:tcPr>
            <w:tcW w:w="1700" w:type="dxa"/>
            <w:vAlign w:val="bottom"/>
            <w:gridSpan w:val="2"/>
            <w:shd w:val="clear" w:color="auto" w:fill="CCFFCC"/>
          </w:tcPr>
          <w:p>
            <w:pPr>
              <w:ind w:left="100"/>
              <w:spacing w:after="0" w:line="125" w:lineRule="exact"/>
              <w:rPr>
                <w:sz w:val="20"/>
                <w:szCs w:val="20"/>
                <w:color w:val="auto"/>
              </w:rPr>
            </w:pPr>
            <w:r>
              <w:rPr>
                <w:rFonts w:ascii="Arial" w:cs="Arial" w:eastAsia="Arial" w:hAnsi="Arial"/>
                <w:sz w:val="12"/>
                <w:szCs w:val="12"/>
                <w:color w:val="auto"/>
              </w:rPr>
              <w:t>Leverage Ratio</w:t>
            </w:r>
          </w:p>
        </w:tc>
        <w:tc>
          <w:tcPr>
            <w:tcW w:w="34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w w:val="87"/>
              </w:rPr>
              <w:t>1.2x</w:t>
            </w:r>
          </w:p>
        </w:tc>
        <w:tc>
          <w:tcPr>
            <w:tcW w:w="1600" w:type="dxa"/>
            <w:vAlign w:val="bottom"/>
            <w:shd w:val="clear" w:color="auto" w:fill="CCFFCC"/>
          </w:tcPr>
          <w:p>
            <w:pPr>
              <w:ind w:left="20"/>
              <w:spacing w:after="0" w:line="125" w:lineRule="exact"/>
              <w:rPr>
                <w:sz w:val="20"/>
                <w:szCs w:val="20"/>
                <w:color w:val="auto"/>
              </w:rPr>
            </w:pPr>
            <w:r>
              <w:rPr>
                <w:rFonts w:ascii="Arial" w:cs="Arial" w:eastAsia="Arial" w:hAnsi="Arial"/>
                <w:sz w:val="12"/>
                <w:szCs w:val="12"/>
                <w:color w:val="auto"/>
              </w:rPr>
              <w:t>– 4.6x</w:t>
            </w:r>
          </w:p>
        </w:tc>
        <w:tc>
          <w:tcPr>
            <w:tcW w:w="1480" w:type="dxa"/>
            <w:vAlign w:val="bottom"/>
            <w:gridSpan w:val="2"/>
            <w:shd w:val="clear" w:color="auto" w:fill="CCFFCC"/>
          </w:tcPr>
          <w:p>
            <w:pPr>
              <w:ind w:left="100"/>
              <w:spacing w:after="0" w:line="125" w:lineRule="exact"/>
              <w:rPr>
                <w:sz w:val="20"/>
                <w:szCs w:val="20"/>
                <w:color w:val="auto"/>
              </w:rPr>
            </w:pPr>
            <w:r>
              <w:rPr>
                <w:rFonts w:ascii="Arial" w:cs="Arial" w:eastAsia="Arial" w:hAnsi="Arial"/>
                <w:sz w:val="12"/>
                <w:szCs w:val="12"/>
                <w:color w:val="auto"/>
              </w:rPr>
              <w:t>3.1x</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700" w:type="dxa"/>
            <w:vAlign w:val="bottom"/>
            <w:gridSpan w:val="2"/>
            <w:shd w:val="clear" w:color="auto" w:fill="CCFFCC"/>
          </w:tcPr>
          <w:p>
            <w:pPr>
              <w:ind w:left="100"/>
              <w:spacing w:after="0"/>
              <w:rPr>
                <w:sz w:val="20"/>
                <w:szCs w:val="20"/>
                <w:color w:val="auto"/>
              </w:rPr>
            </w:pPr>
            <w:r>
              <w:rPr>
                <w:rFonts w:ascii="Arial" w:cs="Arial" w:eastAsia="Arial" w:hAnsi="Arial"/>
                <w:sz w:val="12"/>
                <w:szCs w:val="12"/>
                <w:color w:val="auto"/>
              </w:rPr>
              <w:t>Adjusted EBITDA</w:t>
            </w:r>
          </w:p>
        </w:tc>
        <w:tc>
          <w:tcPr>
            <w:tcW w:w="1940" w:type="dxa"/>
            <w:vAlign w:val="bottom"/>
            <w:gridSpan w:val="3"/>
            <w:shd w:val="clear" w:color="auto" w:fill="CCFFCC"/>
          </w:tcPr>
          <w:p>
            <w:pPr>
              <w:ind w:left="120"/>
              <w:spacing w:after="0"/>
              <w:rPr>
                <w:sz w:val="20"/>
                <w:szCs w:val="20"/>
                <w:color w:val="auto"/>
              </w:rPr>
            </w:pPr>
            <w:r>
              <w:rPr>
                <w:rFonts w:ascii="Arial" w:cs="Arial" w:eastAsia="Arial" w:hAnsi="Arial"/>
                <w:sz w:val="12"/>
                <w:szCs w:val="12"/>
                <w:color w:val="auto"/>
              </w:rPr>
              <w:t>$2.3 million-$25.8 million</w:t>
            </w:r>
          </w:p>
        </w:tc>
        <w:tc>
          <w:tcPr>
            <w:tcW w:w="1480" w:type="dxa"/>
            <w:vAlign w:val="bottom"/>
            <w:gridSpan w:val="2"/>
            <w:shd w:val="clear" w:color="auto" w:fill="CCFFCC"/>
          </w:tcPr>
          <w:p>
            <w:pPr>
              <w:ind w:left="100"/>
              <w:spacing w:after="0"/>
              <w:rPr>
                <w:sz w:val="20"/>
                <w:szCs w:val="20"/>
                <w:color w:val="auto"/>
              </w:rPr>
            </w:pPr>
            <w:r>
              <w:rPr>
                <w:rFonts w:ascii="Arial" w:cs="Arial" w:eastAsia="Arial" w:hAnsi="Arial"/>
                <w:sz w:val="12"/>
                <w:szCs w:val="12"/>
                <w:color w:val="auto"/>
              </w:rPr>
              <w:t>$11.2 million</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3300" w:type="dxa"/>
            <w:vAlign w:val="bottom"/>
            <w:shd w:val="clear" w:color="auto" w:fill="CCFFCC"/>
          </w:tcPr>
          <w:p>
            <w:pPr>
              <w:spacing w:after="0" w:line="109" w:lineRule="exact"/>
              <w:rPr>
                <w:sz w:val="20"/>
                <w:szCs w:val="20"/>
                <w:color w:val="auto"/>
              </w:rPr>
            </w:pPr>
            <w:r>
              <w:rPr>
                <w:rFonts w:ascii="Arial" w:cs="Arial" w:eastAsia="Arial" w:hAnsi="Arial"/>
                <w:sz w:val="12"/>
                <w:szCs w:val="12"/>
                <w:color w:val="auto"/>
              </w:rPr>
              <w:t>Subordinated debt and second lien notes</w:t>
            </w:r>
          </w:p>
        </w:tc>
        <w:tc>
          <w:tcPr>
            <w:tcW w:w="340" w:type="dxa"/>
            <w:vAlign w:val="bottom"/>
            <w:gridSpan w:val="2"/>
            <w:shd w:val="clear" w:color="auto" w:fill="CCFFCC"/>
          </w:tcPr>
          <w:p>
            <w:pPr>
              <w:jc w:val="right"/>
              <w:ind w:right="110"/>
              <w:spacing w:after="0" w:line="109" w:lineRule="exact"/>
              <w:rPr>
                <w:sz w:val="20"/>
                <w:szCs w:val="20"/>
                <w:color w:val="auto"/>
              </w:rPr>
            </w:pPr>
            <w:r>
              <w:rPr>
                <w:rFonts w:ascii="Arial" w:cs="Arial" w:eastAsia="Arial" w:hAnsi="Arial"/>
                <w:sz w:val="12"/>
                <w:szCs w:val="12"/>
                <w:color w:val="auto"/>
              </w:rPr>
              <w:t>$</w:t>
            </w:r>
          </w:p>
        </w:tc>
        <w:tc>
          <w:tcPr>
            <w:tcW w:w="1180" w:type="dxa"/>
            <w:vAlign w:val="bottom"/>
            <w:gridSpan w:val="2"/>
            <w:shd w:val="clear" w:color="auto" w:fill="CCFFCC"/>
          </w:tcPr>
          <w:p>
            <w:pPr>
              <w:jc w:val="right"/>
              <w:ind w:right="120"/>
              <w:spacing w:after="0" w:line="109" w:lineRule="exact"/>
              <w:rPr>
                <w:sz w:val="20"/>
                <w:szCs w:val="20"/>
                <w:color w:val="auto"/>
              </w:rPr>
            </w:pPr>
            <w:r>
              <w:rPr>
                <w:rFonts w:ascii="Arial" w:cs="Arial" w:eastAsia="Arial" w:hAnsi="Arial"/>
                <w:sz w:val="12"/>
                <w:szCs w:val="12"/>
                <w:color w:val="auto"/>
              </w:rPr>
              <w:t>21,999</w:t>
            </w:r>
          </w:p>
        </w:tc>
        <w:tc>
          <w:tcPr>
            <w:tcW w:w="1480" w:type="dxa"/>
            <w:vAlign w:val="bottom"/>
            <w:gridSpan w:val="2"/>
            <w:shd w:val="clear" w:color="auto" w:fill="CCFFCC"/>
          </w:tcPr>
          <w:p>
            <w:pPr>
              <w:ind w:left="100"/>
              <w:spacing w:after="0" w:line="109" w:lineRule="exact"/>
              <w:rPr>
                <w:sz w:val="20"/>
                <w:szCs w:val="20"/>
                <w:color w:val="auto"/>
              </w:rPr>
            </w:pPr>
            <w:r>
              <w:rPr>
                <w:rFonts w:ascii="Arial" w:cs="Arial" w:eastAsia="Arial" w:hAnsi="Arial"/>
                <w:sz w:val="12"/>
                <w:szCs w:val="12"/>
                <w:color w:val="auto"/>
              </w:rPr>
              <w:t>Enterprise Value</w:t>
            </w:r>
          </w:p>
        </w:tc>
        <w:tc>
          <w:tcPr>
            <w:tcW w:w="1700" w:type="dxa"/>
            <w:vAlign w:val="bottom"/>
            <w:gridSpan w:val="2"/>
            <w:shd w:val="clear" w:color="auto" w:fill="CCFFCC"/>
          </w:tcPr>
          <w:p>
            <w:pPr>
              <w:ind w:left="100"/>
              <w:spacing w:after="0" w:line="109" w:lineRule="exact"/>
              <w:rPr>
                <w:sz w:val="20"/>
                <w:szCs w:val="20"/>
                <w:color w:val="auto"/>
              </w:rPr>
            </w:pPr>
            <w:r>
              <w:rPr>
                <w:rFonts w:ascii="Arial" w:cs="Arial" w:eastAsia="Arial" w:hAnsi="Arial"/>
                <w:sz w:val="12"/>
                <w:szCs w:val="12"/>
                <w:color w:val="auto"/>
              </w:rPr>
              <w:t>Adjusted EBITDA Multiple</w:t>
            </w:r>
          </w:p>
        </w:tc>
        <w:tc>
          <w:tcPr>
            <w:tcW w:w="340" w:type="dxa"/>
            <w:vAlign w:val="bottom"/>
            <w:gridSpan w:val="2"/>
            <w:shd w:val="clear" w:color="auto" w:fill="CCFFCC"/>
          </w:tcPr>
          <w:p>
            <w:pPr>
              <w:ind w:left="120"/>
              <w:spacing w:after="0" w:line="109" w:lineRule="exact"/>
              <w:rPr>
                <w:sz w:val="20"/>
                <w:szCs w:val="20"/>
                <w:color w:val="auto"/>
              </w:rPr>
            </w:pPr>
            <w:r>
              <w:rPr>
                <w:rFonts w:ascii="Arial" w:cs="Arial" w:eastAsia="Arial" w:hAnsi="Arial"/>
                <w:sz w:val="12"/>
                <w:szCs w:val="12"/>
                <w:color w:val="auto"/>
                <w:w w:val="87"/>
              </w:rPr>
              <w:t>4.3x</w:t>
            </w:r>
          </w:p>
        </w:tc>
        <w:tc>
          <w:tcPr>
            <w:tcW w:w="1600" w:type="dxa"/>
            <w:vAlign w:val="bottom"/>
            <w:shd w:val="clear" w:color="auto" w:fill="CCFFCC"/>
          </w:tcPr>
          <w:p>
            <w:pPr>
              <w:ind w:left="20"/>
              <w:spacing w:after="0" w:line="109" w:lineRule="exact"/>
              <w:rPr>
                <w:sz w:val="20"/>
                <w:szCs w:val="20"/>
                <w:color w:val="auto"/>
              </w:rPr>
            </w:pPr>
            <w:r>
              <w:rPr>
                <w:rFonts w:ascii="Arial" w:cs="Arial" w:eastAsia="Arial" w:hAnsi="Arial"/>
                <w:sz w:val="12"/>
                <w:szCs w:val="12"/>
                <w:color w:val="auto"/>
              </w:rPr>
              <w:t>– 11.5x</w:t>
            </w:r>
          </w:p>
        </w:tc>
        <w:tc>
          <w:tcPr>
            <w:tcW w:w="1480" w:type="dxa"/>
            <w:vAlign w:val="bottom"/>
            <w:gridSpan w:val="2"/>
            <w:shd w:val="clear" w:color="auto" w:fill="CCFFCC"/>
          </w:tcPr>
          <w:p>
            <w:pPr>
              <w:ind w:left="100"/>
              <w:spacing w:after="0" w:line="109" w:lineRule="exact"/>
              <w:rPr>
                <w:sz w:val="20"/>
                <w:szCs w:val="20"/>
                <w:color w:val="auto"/>
              </w:rPr>
            </w:pPr>
            <w:r>
              <w:rPr>
                <w:rFonts w:ascii="Arial" w:cs="Arial" w:eastAsia="Arial" w:hAnsi="Arial"/>
                <w:sz w:val="12"/>
                <w:szCs w:val="12"/>
                <w:color w:val="auto"/>
              </w:rPr>
              <w:t>9.5x</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80" w:type="dxa"/>
            <w:vAlign w:val="bottom"/>
            <w:gridSpan w:val="2"/>
            <w:shd w:val="clear" w:color="auto" w:fill="CCFFCC"/>
          </w:tcPr>
          <w:p>
            <w:pPr>
              <w:ind w:left="100"/>
              <w:spacing w:after="0"/>
              <w:rPr>
                <w:sz w:val="20"/>
                <w:szCs w:val="20"/>
                <w:color w:val="auto"/>
              </w:rPr>
            </w:pPr>
            <w:r>
              <w:rPr>
                <w:rFonts w:ascii="Arial" w:cs="Arial" w:eastAsia="Arial" w:hAnsi="Arial"/>
                <w:sz w:val="12"/>
                <w:szCs w:val="12"/>
                <w:color w:val="auto"/>
              </w:rPr>
              <w:t>Waterfall and Asset (1)</w:t>
            </w:r>
          </w:p>
        </w:tc>
        <w:tc>
          <w:tcPr>
            <w:tcW w:w="1700" w:type="dxa"/>
            <w:vAlign w:val="bottom"/>
            <w:gridSpan w:val="2"/>
            <w:shd w:val="clear" w:color="auto" w:fill="CCFFCC"/>
          </w:tcPr>
          <w:p>
            <w:pPr>
              <w:ind w:left="100"/>
              <w:spacing w:after="0"/>
              <w:rPr>
                <w:sz w:val="20"/>
                <w:szCs w:val="20"/>
                <w:color w:val="auto"/>
              </w:rPr>
            </w:pPr>
            <w:r>
              <w:rPr>
                <w:rFonts w:ascii="Arial" w:cs="Arial" w:eastAsia="Arial" w:hAnsi="Arial"/>
                <w:sz w:val="12"/>
                <w:szCs w:val="12"/>
                <w:color w:val="auto"/>
              </w:rPr>
              <w:t>Adjusted EBITDA</w:t>
            </w:r>
          </w:p>
        </w:tc>
        <w:tc>
          <w:tcPr>
            <w:tcW w:w="1940" w:type="dxa"/>
            <w:vAlign w:val="bottom"/>
            <w:gridSpan w:val="3"/>
            <w:shd w:val="clear" w:color="auto" w:fill="CCFFCC"/>
          </w:tcPr>
          <w:p>
            <w:pPr>
              <w:ind w:left="120"/>
              <w:spacing w:after="0"/>
              <w:rPr>
                <w:sz w:val="20"/>
                <w:szCs w:val="20"/>
                <w:color w:val="auto"/>
              </w:rPr>
            </w:pPr>
            <w:r>
              <w:rPr>
                <w:rFonts w:ascii="Arial" w:cs="Arial" w:eastAsia="Arial" w:hAnsi="Arial"/>
                <w:sz w:val="12"/>
                <w:szCs w:val="12"/>
                <w:color w:val="auto"/>
              </w:rPr>
              <w:t>$1.3 million - $2.2 million</w:t>
            </w:r>
          </w:p>
        </w:tc>
        <w:tc>
          <w:tcPr>
            <w:tcW w:w="1480" w:type="dxa"/>
            <w:vAlign w:val="bottom"/>
            <w:gridSpan w:val="2"/>
            <w:shd w:val="clear" w:color="auto" w:fill="CCFFCC"/>
          </w:tcPr>
          <w:p>
            <w:pPr>
              <w:ind w:left="100"/>
              <w:spacing w:after="0"/>
              <w:rPr>
                <w:sz w:val="20"/>
                <w:szCs w:val="20"/>
                <w:color w:val="auto"/>
              </w:rPr>
            </w:pPr>
            <w:r>
              <w:rPr>
                <w:rFonts w:ascii="Arial" w:cs="Arial" w:eastAsia="Arial" w:hAnsi="Arial"/>
                <w:sz w:val="12"/>
                <w:szCs w:val="12"/>
                <w:color w:val="auto"/>
              </w:rPr>
              <w:t>$2.0 million</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3300" w:type="dxa"/>
            <w:vAlign w:val="bottom"/>
            <w:shd w:val="clear" w:color="auto" w:fill="CCFFCC"/>
          </w:tcPr>
          <w:p>
            <w:pPr>
              <w:spacing w:after="0" w:line="109" w:lineRule="exact"/>
              <w:rPr>
                <w:sz w:val="20"/>
                <w:szCs w:val="20"/>
                <w:color w:val="auto"/>
              </w:rPr>
            </w:pPr>
            <w:r>
              <w:rPr>
                <w:rFonts w:ascii="Arial" w:cs="Arial" w:eastAsia="Arial" w:hAnsi="Arial"/>
                <w:sz w:val="12"/>
                <w:szCs w:val="12"/>
                <w:color w:val="auto"/>
              </w:rPr>
              <w:t>Senior debt and first lien notes</w:t>
            </w:r>
          </w:p>
        </w:tc>
        <w:tc>
          <w:tcPr>
            <w:tcW w:w="340" w:type="dxa"/>
            <w:vAlign w:val="bottom"/>
            <w:gridSpan w:val="2"/>
            <w:shd w:val="clear" w:color="auto" w:fill="CCFFCC"/>
          </w:tcPr>
          <w:p>
            <w:pPr>
              <w:jc w:val="right"/>
              <w:ind w:right="110"/>
              <w:spacing w:after="0" w:line="109" w:lineRule="exact"/>
              <w:rPr>
                <w:sz w:val="20"/>
                <w:szCs w:val="20"/>
                <w:color w:val="auto"/>
              </w:rPr>
            </w:pPr>
            <w:r>
              <w:rPr>
                <w:rFonts w:ascii="Arial" w:cs="Arial" w:eastAsia="Arial" w:hAnsi="Arial"/>
                <w:sz w:val="12"/>
                <w:szCs w:val="12"/>
                <w:color w:val="auto"/>
              </w:rPr>
              <w:t>$</w:t>
            </w:r>
          </w:p>
        </w:tc>
        <w:tc>
          <w:tcPr>
            <w:tcW w:w="1180" w:type="dxa"/>
            <w:vAlign w:val="bottom"/>
            <w:gridSpan w:val="2"/>
            <w:shd w:val="clear" w:color="auto" w:fill="CCFFCC"/>
          </w:tcPr>
          <w:p>
            <w:pPr>
              <w:jc w:val="right"/>
              <w:ind w:right="120"/>
              <w:spacing w:after="0" w:line="109" w:lineRule="exact"/>
              <w:rPr>
                <w:sz w:val="20"/>
                <w:szCs w:val="20"/>
                <w:color w:val="auto"/>
              </w:rPr>
            </w:pPr>
            <w:r>
              <w:rPr>
                <w:rFonts w:ascii="Arial" w:cs="Arial" w:eastAsia="Arial" w:hAnsi="Arial"/>
                <w:sz w:val="12"/>
                <w:szCs w:val="12"/>
                <w:color w:val="auto"/>
              </w:rPr>
              <w:t>102,071</w:t>
            </w:r>
          </w:p>
        </w:tc>
        <w:tc>
          <w:tcPr>
            <w:tcW w:w="1480" w:type="dxa"/>
            <w:vAlign w:val="bottom"/>
            <w:gridSpan w:val="2"/>
            <w:shd w:val="clear" w:color="auto" w:fill="CCFFCC"/>
          </w:tcPr>
          <w:p>
            <w:pPr>
              <w:ind w:left="100"/>
              <w:spacing w:after="0" w:line="109" w:lineRule="exact"/>
              <w:rPr>
                <w:sz w:val="20"/>
                <w:szCs w:val="20"/>
                <w:color w:val="auto"/>
              </w:rPr>
            </w:pPr>
            <w:r>
              <w:rPr>
                <w:rFonts w:ascii="Arial" w:cs="Arial" w:eastAsia="Arial" w:hAnsi="Arial"/>
                <w:sz w:val="12"/>
                <w:szCs w:val="12"/>
                <w:color w:val="auto"/>
              </w:rPr>
              <w:t>Income and Asset (1)</w:t>
            </w:r>
          </w:p>
        </w:tc>
        <w:tc>
          <w:tcPr>
            <w:tcW w:w="1700" w:type="dxa"/>
            <w:vAlign w:val="bottom"/>
            <w:gridSpan w:val="2"/>
            <w:shd w:val="clear" w:color="auto" w:fill="CCFFCC"/>
          </w:tcPr>
          <w:p>
            <w:pPr>
              <w:ind w:left="100"/>
              <w:spacing w:after="0" w:line="109" w:lineRule="exact"/>
              <w:rPr>
                <w:sz w:val="20"/>
                <w:szCs w:val="20"/>
                <w:color w:val="auto"/>
              </w:rPr>
            </w:pPr>
            <w:r>
              <w:rPr>
                <w:rFonts w:ascii="Arial" w:cs="Arial" w:eastAsia="Arial" w:hAnsi="Arial"/>
                <w:sz w:val="12"/>
                <w:szCs w:val="12"/>
                <w:color w:val="auto"/>
              </w:rPr>
              <w:t>Required Rate of Return</w:t>
            </w:r>
          </w:p>
        </w:tc>
        <w:tc>
          <w:tcPr>
            <w:tcW w:w="1940" w:type="dxa"/>
            <w:vAlign w:val="bottom"/>
            <w:gridSpan w:val="3"/>
            <w:shd w:val="clear" w:color="auto" w:fill="CCFFCC"/>
          </w:tcPr>
          <w:p>
            <w:pPr>
              <w:ind w:left="120"/>
              <w:spacing w:after="0" w:line="109" w:lineRule="exact"/>
              <w:rPr>
                <w:sz w:val="20"/>
                <w:szCs w:val="20"/>
                <w:color w:val="auto"/>
              </w:rPr>
            </w:pPr>
            <w:r>
              <w:rPr>
                <w:rFonts w:ascii="Arial" w:cs="Arial" w:eastAsia="Arial" w:hAnsi="Arial"/>
                <w:sz w:val="12"/>
                <w:szCs w:val="12"/>
                <w:color w:val="auto"/>
              </w:rPr>
              <w:t>10.0% - 24.5%</w:t>
            </w:r>
          </w:p>
        </w:tc>
        <w:tc>
          <w:tcPr>
            <w:tcW w:w="1480" w:type="dxa"/>
            <w:vAlign w:val="bottom"/>
            <w:gridSpan w:val="2"/>
            <w:shd w:val="clear" w:color="auto" w:fill="CCFFCC"/>
          </w:tcPr>
          <w:p>
            <w:pPr>
              <w:ind w:left="100"/>
              <w:spacing w:after="0" w:line="109" w:lineRule="exact"/>
              <w:rPr>
                <w:sz w:val="20"/>
                <w:szCs w:val="20"/>
                <w:color w:val="auto"/>
              </w:rPr>
            </w:pPr>
            <w:r>
              <w:rPr>
                <w:rFonts w:ascii="Arial" w:cs="Arial" w:eastAsia="Arial" w:hAnsi="Arial"/>
                <w:sz w:val="12"/>
                <w:szCs w:val="12"/>
                <w:color w:val="auto"/>
              </w:rPr>
              <w:t>15.2%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380" w:type="dxa"/>
            <w:vAlign w:val="bottom"/>
            <w:shd w:val="clear" w:color="auto" w:fill="CCFFCC"/>
          </w:tcPr>
          <w:p>
            <w:pPr>
              <w:spacing w:after="0"/>
              <w:rPr>
                <w:sz w:val="10"/>
                <w:szCs w:val="10"/>
                <w:color w:val="auto"/>
              </w:rPr>
            </w:pPr>
          </w:p>
        </w:tc>
        <w:tc>
          <w:tcPr>
            <w:tcW w:w="1700" w:type="dxa"/>
            <w:vAlign w:val="bottom"/>
            <w:gridSpan w:val="2"/>
            <w:shd w:val="clear" w:color="auto" w:fill="CCFFCC"/>
          </w:tcPr>
          <w:p>
            <w:pPr>
              <w:ind w:left="100"/>
              <w:spacing w:after="0" w:line="125" w:lineRule="exact"/>
              <w:rPr>
                <w:sz w:val="20"/>
                <w:szCs w:val="20"/>
                <w:color w:val="auto"/>
              </w:rPr>
            </w:pPr>
            <w:r>
              <w:rPr>
                <w:rFonts w:ascii="Arial" w:cs="Arial" w:eastAsia="Arial" w:hAnsi="Arial"/>
                <w:sz w:val="12"/>
                <w:szCs w:val="12"/>
                <w:color w:val="auto"/>
              </w:rPr>
              <w:t>Leverage Ratio</w:t>
            </w:r>
          </w:p>
        </w:tc>
        <w:tc>
          <w:tcPr>
            <w:tcW w:w="34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w w:val="87"/>
              </w:rPr>
              <w:t>1.2x</w:t>
            </w:r>
          </w:p>
        </w:tc>
        <w:tc>
          <w:tcPr>
            <w:tcW w:w="1600" w:type="dxa"/>
            <w:vAlign w:val="bottom"/>
            <w:shd w:val="clear" w:color="auto" w:fill="CCFFCC"/>
          </w:tcPr>
          <w:p>
            <w:pPr>
              <w:ind w:left="20"/>
              <w:spacing w:after="0" w:line="125" w:lineRule="exact"/>
              <w:rPr>
                <w:sz w:val="20"/>
                <w:szCs w:val="20"/>
                <w:color w:val="auto"/>
              </w:rPr>
            </w:pPr>
            <w:r>
              <w:rPr>
                <w:rFonts w:ascii="Arial" w:cs="Arial" w:eastAsia="Arial" w:hAnsi="Arial"/>
                <w:sz w:val="12"/>
                <w:szCs w:val="12"/>
                <w:color w:val="auto"/>
              </w:rPr>
              <w:t>– 9.9x</w:t>
            </w:r>
          </w:p>
        </w:tc>
        <w:tc>
          <w:tcPr>
            <w:tcW w:w="1480" w:type="dxa"/>
            <w:vAlign w:val="bottom"/>
            <w:gridSpan w:val="2"/>
            <w:shd w:val="clear" w:color="auto" w:fill="CCFFCC"/>
          </w:tcPr>
          <w:p>
            <w:pPr>
              <w:ind w:left="100"/>
              <w:spacing w:after="0" w:line="125" w:lineRule="exact"/>
              <w:rPr>
                <w:sz w:val="20"/>
                <w:szCs w:val="20"/>
                <w:color w:val="auto"/>
              </w:rPr>
            </w:pPr>
            <w:r>
              <w:rPr>
                <w:rFonts w:ascii="Arial" w:cs="Arial" w:eastAsia="Arial" w:hAnsi="Arial"/>
                <w:sz w:val="12"/>
                <w:szCs w:val="12"/>
                <w:color w:val="auto"/>
              </w:rPr>
              <w:t>3.8x</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700" w:type="dxa"/>
            <w:vAlign w:val="bottom"/>
            <w:gridSpan w:val="2"/>
            <w:shd w:val="clear" w:color="auto" w:fill="CCFFCC"/>
          </w:tcPr>
          <w:p>
            <w:pPr>
              <w:ind w:left="100"/>
              <w:spacing w:after="0"/>
              <w:rPr>
                <w:sz w:val="20"/>
                <w:szCs w:val="20"/>
                <w:color w:val="auto"/>
              </w:rPr>
            </w:pPr>
            <w:r>
              <w:rPr>
                <w:rFonts w:ascii="Arial" w:cs="Arial" w:eastAsia="Arial" w:hAnsi="Arial"/>
                <w:sz w:val="12"/>
                <w:szCs w:val="12"/>
                <w:color w:val="auto"/>
              </w:rPr>
              <w:t>Adjusted EBITDA</w:t>
            </w:r>
          </w:p>
        </w:tc>
        <w:tc>
          <w:tcPr>
            <w:tcW w:w="1940" w:type="dxa"/>
            <w:vAlign w:val="bottom"/>
            <w:gridSpan w:val="3"/>
            <w:shd w:val="clear" w:color="auto" w:fill="CCFFCC"/>
          </w:tcPr>
          <w:p>
            <w:pPr>
              <w:ind w:left="120"/>
              <w:spacing w:after="0"/>
              <w:rPr>
                <w:sz w:val="20"/>
                <w:szCs w:val="20"/>
                <w:color w:val="auto"/>
              </w:rPr>
            </w:pPr>
            <w:r>
              <w:rPr>
                <w:rFonts w:ascii="Arial" w:cs="Arial" w:eastAsia="Arial" w:hAnsi="Arial"/>
                <w:sz w:val="12"/>
                <w:szCs w:val="12"/>
                <w:color w:val="auto"/>
              </w:rPr>
              <w:t>$0.6 million- $29.7 million</w:t>
            </w:r>
          </w:p>
        </w:tc>
        <w:tc>
          <w:tcPr>
            <w:tcW w:w="1480" w:type="dxa"/>
            <w:vAlign w:val="bottom"/>
            <w:gridSpan w:val="2"/>
            <w:shd w:val="clear" w:color="auto" w:fill="CCFFCC"/>
          </w:tcPr>
          <w:p>
            <w:pPr>
              <w:ind w:left="100"/>
              <w:spacing w:after="0"/>
              <w:rPr>
                <w:sz w:val="20"/>
                <w:szCs w:val="20"/>
                <w:color w:val="auto"/>
              </w:rPr>
            </w:pPr>
            <w:r>
              <w:rPr>
                <w:rFonts w:ascii="Arial" w:cs="Arial" w:eastAsia="Arial" w:hAnsi="Arial"/>
                <w:sz w:val="12"/>
                <w:szCs w:val="12"/>
                <w:color w:val="auto"/>
              </w:rPr>
              <w:t>$11.2 million</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3300" w:type="dxa"/>
            <w:vAlign w:val="bottom"/>
            <w:shd w:val="clear" w:color="auto" w:fill="CCFFCC"/>
          </w:tcPr>
          <w:p>
            <w:pPr>
              <w:spacing w:after="0" w:line="109" w:lineRule="exact"/>
              <w:rPr>
                <w:sz w:val="20"/>
                <w:szCs w:val="20"/>
                <w:color w:val="auto"/>
              </w:rPr>
            </w:pPr>
            <w:r>
              <w:rPr>
                <w:rFonts w:ascii="Arial" w:cs="Arial" w:eastAsia="Arial" w:hAnsi="Arial"/>
                <w:sz w:val="12"/>
                <w:szCs w:val="12"/>
                <w:color w:val="auto"/>
              </w:rPr>
              <w:t>Equity shares and warrants</w:t>
            </w:r>
          </w:p>
        </w:tc>
        <w:tc>
          <w:tcPr>
            <w:tcW w:w="340" w:type="dxa"/>
            <w:vAlign w:val="bottom"/>
            <w:gridSpan w:val="2"/>
            <w:shd w:val="clear" w:color="auto" w:fill="CCFFCC"/>
          </w:tcPr>
          <w:p>
            <w:pPr>
              <w:jc w:val="right"/>
              <w:ind w:right="110"/>
              <w:spacing w:after="0" w:line="109" w:lineRule="exact"/>
              <w:rPr>
                <w:sz w:val="20"/>
                <w:szCs w:val="20"/>
                <w:color w:val="auto"/>
              </w:rPr>
            </w:pPr>
            <w:r>
              <w:rPr>
                <w:rFonts w:ascii="Arial" w:cs="Arial" w:eastAsia="Arial" w:hAnsi="Arial"/>
                <w:sz w:val="12"/>
                <w:szCs w:val="12"/>
                <w:color w:val="auto"/>
              </w:rPr>
              <w:t>$</w:t>
            </w:r>
          </w:p>
        </w:tc>
        <w:tc>
          <w:tcPr>
            <w:tcW w:w="1180" w:type="dxa"/>
            <w:vAlign w:val="bottom"/>
            <w:gridSpan w:val="2"/>
            <w:shd w:val="clear" w:color="auto" w:fill="CCFFCC"/>
          </w:tcPr>
          <w:p>
            <w:pPr>
              <w:jc w:val="right"/>
              <w:ind w:right="120"/>
              <w:spacing w:after="0" w:line="109" w:lineRule="exact"/>
              <w:rPr>
                <w:sz w:val="20"/>
                <w:szCs w:val="20"/>
                <w:color w:val="auto"/>
              </w:rPr>
            </w:pPr>
            <w:r>
              <w:rPr>
                <w:rFonts w:ascii="Arial" w:cs="Arial" w:eastAsia="Arial" w:hAnsi="Arial"/>
                <w:sz w:val="12"/>
                <w:szCs w:val="12"/>
                <w:color w:val="auto"/>
              </w:rPr>
              <w:t>128,938</w:t>
            </w:r>
          </w:p>
        </w:tc>
        <w:tc>
          <w:tcPr>
            <w:tcW w:w="1480" w:type="dxa"/>
            <w:vAlign w:val="bottom"/>
            <w:gridSpan w:val="2"/>
            <w:shd w:val="clear" w:color="auto" w:fill="CCFFCC"/>
          </w:tcPr>
          <w:p>
            <w:pPr>
              <w:ind w:left="100"/>
              <w:spacing w:after="0" w:line="109" w:lineRule="exact"/>
              <w:rPr>
                <w:sz w:val="20"/>
                <w:szCs w:val="20"/>
                <w:color w:val="auto"/>
              </w:rPr>
            </w:pPr>
            <w:r>
              <w:rPr>
                <w:rFonts w:ascii="Arial" w:cs="Arial" w:eastAsia="Arial" w:hAnsi="Arial"/>
                <w:sz w:val="12"/>
                <w:szCs w:val="12"/>
                <w:color w:val="auto"/>
              </w:rPr>
              <w:t>Enterprise Value</w:t>
            </w:r>
          </w:p>
        </w:tc>
        <w:tc>
          <w:tcPr>
            <w:tcW w:w="1700" w:type="dxa"/>
            <w:vAlign w:val="bottom"/>
            <w:gridSpan w:val="2"/>
            <w:shd w:val="clear" w:color="auto" w:fill="CCFFCC"/>
          </w:tcPr>
          <w:p>
            <w:pPr>
              <w:ind w:left="100"/>
              <w:spacing w:after="0" w:line="109" w:lineRule="exact"/>
              <w:rPr>
                <w:sz w:val="20"/>
                <w:szCs w:val="20"/>
                <w:color w:val="auto"/>
              </w:rPr>
            </w:pPr>
            <w:r>
              <w:rPr>
                <w:rFonts w:ascii="Arial" w:cs="Arial" w:eastAsia="Arial" w:hAnsi="Arial"/>
                <w:sz w:val="12"/>
                <w:szCs w:val="12"/>
                <w:color w:val="auto"/>
              </w:rPr>
              <w:t>Adjusted EBITDA Multiple</w:t>
            </w:r>
          </w:p>
        </w:tc>
        <w:tc>
          <w:tcPr>
            <w:tcW w:w="340" w:type="dxa"/>
            <w:vAlign w:val="bottom"/>
            <w:gridSpan w:val="2"/>
            <w:shd w:val="clear" w:color="auto" w:fill="CCFFCC"/>
          </w:tcPr>
          <w:p>
            <w:pPr>
              <w:ind w:left="120"/>
              <w:spacing w:after="0" w:line="109" w:lineRule="exact"/>
              <w:rPr>
                <w:sz w:val="20"/>
                <w:szCs w:val="20"/>
                <w:color w:val="auto"/>
              </w:rPr>
            </w:pPr>
            <w:r>
              <w:rPr>
                <w:rFonts w:ascii="Arial" w:cs="Arial" w:eastAsia="Arial" w:hAnsi="Arial"/>
                <w:sz w:val="12"/>
                <w:szCs w:val="12"/>
                <w:color w:val="auto"/>
                <w:w w:val="87"/>
              </w:rPr>
              <w:t>1.6x</w:t>
            </w:r>
          </w:p>
        </w:tc>
        <w:tc>
          <w:tcPr>
            <w:tcW w:w="1600" w:type="dxa"/>
            <w:vAlign w:val="bottom"/>
            <w:shd w:val="clear" w:color="auto" w:fill="CCFFCC"/>
          </w:tcPr>
          <w:p>
            <w:pPr>
              <w:ind w:left="20"/>
              <w:spacing w:after="0" w:line="109" w:lineRule="exact"/>
              <w:rPr>
                <w:sz w:val="20"/>
                <w:szCs w:val="20"/>
                <w:color w:val="auto"/>
              </w:rPr>
            </w:pPr>
            <w:r>
              <w:rPr>
                <w:rFonts w:ascii="Arial" w:cs="Arial" w:eastAsia="Arial" w:hAnsi="Arial"/>
                <w:sz w:val="12"/>
                <w:szCs w:val="12"/>
                <w:color w:val="auto"/>
              </w:rPr>
              <w:t>– 9.5x</w:t>
            </w:r>
          </w:p>
        </w:tc>
        <w:tc>
          <w:tcPr>
            <w:tcW w:w="1480" w:type="dxa"/>
            <w:vAlign w:val="bottom"/>
            <w:gridSpan w:val="2"/>
            <w:shd w:val="clear" w:color="auto" w:fill="CCFFCC"/>
          </w:tcPr>
          <w:p>
            <w:pPr>
              <w:ind w:left="100"/>
              <w:spacing w:after="0" w:line="109" w:lineRule="exact"/>
              <w:rPr>
                <w:sz w:val="20"/>
                <w:szCs w:val="20"/>
                <w:color w:val="auto"/>
              </w:rPr>
            </w:pPr>
            <w:r>
              <w:rPr>
                <w:rFonts w:ascii="Arial" w:cs="Arial" w:eastAsia="Arial" w:hAnsi="Arial"/>
                <w:sz w:val="12"/>
                <w:szCs w:val="12"/>
                <w:color w:val="auto"/>
              </w:rPr>
              <w:t>7.1x</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80" w:type="dxa"/>
            <w:vAlign w:val="bottom"/>
            <w:gridSpan w:val="2"/>
            <w:shd w:val="clear" w:color="auto" w:fill="CCFFCC"/>
          </w:tcPr>
          <w:p>
            <w:pPr>
              <w:ind w:left="100"/>
              <w:spacing w:after="0" w:line="125" w:lineRule="exact"/>
              <w:rPr>
                <w:sz w:val="20"/>
                <w:szCs w:val="20"/>
                <w:color w:val="auto"/>
              </w:rPr>
            </w:pPr>
            <w:r>
              <w:rPr>
                <w:rFonts w:ascii="Arial" w:cs="Arial" w:eastAsia="Arial" w:hAnsi="Arial"/>
                <w:sz w:val="12"/>
                <w:szCs w:val="12"/>
                <w:color w:val="auto"/>
              </w:rPr>
              <w:t>Waterfall</w:t>
            </w:r>
          </w:p>
        </w:tc>
        <w:tc>
          <w:tcPr>
            <w:tcW w:w="1700" w:type="dxa"/>
            <w:vAlign w:val="bottom"/>
            <w:gridSpan w:val="2"/>
            <w:shd w:val="clear" w:color="auto" w:fill="CCFFCC"/>
          </w:tcPr>
          <w:p>
            <w:pPr>
              <w:ind w:left="100"/>
              <w:spacing w:after="0" w:line="125" w:lineRule="exact"/>
              <w:rPr>
                <w:sz w:val="20"/>
                <w:szCs w:val="20"/>
                <w:color w:val="auto"/>
              </w:rPr>
            </w:pPr>
            <w:r>
              <w:rPr>
                <w:rFonts w:ascii="Arial" w:cs="Arial" w:eastAsia="Arial" w:hAnsi="Arial"/>
                <w:sz w:val="12"/>
                <w:szCs w:val="12"/>
                <w:color w:val="auto"/>
              </w:rPr>
              <w:t>Adjusted EBITDA</w:t>
            </w:r>
          </w:p>
        </w:tc>
        <w:tc>
          <w:tcPr>
            <w:tcW w:w="19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$1.4 million -$229.0 million</w:t>
            </w:r>
          </w:p>
        </w:tc>
        <w:tc>
          <w:tcPr>
            <w:tcW w:w="1480" w:type="dxa"/>
            <w:vAlign w:val="bottom"/>
            <w:gridSpan w:val="2"/>
            <w:shd w:val="clear" w:color="auto" w:fill="CCFFCC"/>
          </w:tcPr>
          <w:p>
            <w:pPr>
              <w:ind w:left="100"/>
              <w:spacing w:after="0" w:line="125" w:lineRule="exact"/>
              <w:rPr>
                <w:sz w:val="20"/>
                <w:szCs w:val="20"/>
                <w:color w:val="auto"/>
              </w:rPr>
            </w:pPr>
            <w:r>
              <w:rPr>
                <w:rFonts w:ascii="Arial" w:cs="Arial" w:eastAsia="Arial" w:hAnsi="Arial"/>
                <w:sz w:val="12"/>
                <w:szCs w:val="12"/>
                <w:color w:val="auto"/>
              </w:rPr>
              <w:t>$23.8 million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700" w:type="dxa"/>
            <w:vAlign w:val="bottom"/>
            <w:gridSpan w:val="2"/>
            <w:shd w:val="clear" w:color="auto" w:fill="CCFFCC"/>
          </w:tcPr>
          <w:p>
            <w:pPr>
              <w:ind w:left="100"/>
              <w:spacing w:after="0"/>
              <w:rPr>
                <w:sz w:val="20"/>
                <w:szCs w:val="20"/>
                <w:color w:val="auto"/>
              </w:rPr>
            </w:pPr>
            <w:r>
              <w:rPr>
                <w:rFonts w:ascii="Arial" w:cs="Arial" w:eastAsia="Arial" w:hAnsi="Arial"/>
                <w:sz w:val="12"/>
                <w:szCs w:val="12"/>
                <w:color w:val="auto"/>
              </w:rPr>
              <w:t>Tranaction Price</w:t>
            </w:r>
          </w:p>
        </w:tc>
        <w:tc>
          <w:tcPr>
            <w:tcW w:w="340" w:type="dxa"/>
            <w:vAlign w:val="bottom"/>
            <w:gridSpan w:val="2"/>
            <w:shd w:val="clear" w:color="auto" w:fill="CCFFCC"/>
          </w:tcPr>
          <w:p>
            <w:pPr>
              <w:ind w:left="120"/>
              <w:spacing w:after="0"/>
              <w:rPr>
                <w:sz w:val="20"/>
                <w:szCs w:val="20"/>
                <w:color w:val="auto"/>
              </w:rPr>
            </w:pPr>
            <w:r>
              <w:rPr>
                <w:rFonts w:ascii="Arial" w:cs="Arial" w:eastAsia="Arial" w:hAnsi="Arial"/>
                <w:sz w:val="12"/>
                <w:szCs w:val="12"/>
                <w:color w:val="auto"/>
              </w:rPr>
              <w:t>n/a</w:t>
            </w:r>
          </w:p>
        </w:tc>
        <w:tc>
          <w:tcPr>
            <w:tcW w:w="1600" w:type="dxa"/>
            <w:vAlign w:val="bottom"/>
            <w:shd w:val="clear" w:color="auto" w:fill="CCFFCC"/>
          </w:tcPr>
          <w:p>
            <w:pPr>
              <w:spacing w:after="0"/>
              <w:rPr>
                <w:sz w:val="12"/>
                <w:szCs w:val="12"/>
                <w:color w:val="auto"/>
              </w:rPr>
            </w:pPr>
          </w:p>
        </w:tc>
        <w:tc>
          <w:tcPr>
            <w:tcW w:w="1480" w:type="dxa"/>
            <w:vAlign w:val="bottom"/>
            <w:gridSpan w:val="2"/>
            <w:shd w:val="clear" w:color="auto" w:fill="CCFFCC"/>
          </w:tcPr>
          <w:p>
            <w:pPr>
              <w:ind w:left="10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270" w:hanging="270"/>
        <w:spacing w:after="0"/>
        <w:tabs>
          <w:tab w:leader="none" w:pos="270" w:val="left"/>
        </w:tabs>
        <w:numPr>
          <w:ilvl w:val="0"/>
          <w:numId w:val="57"/>
        </w:numPr>
        <w:rPr>
          <w:rFonts w:ascii="Arial" w:cs="Arial" w:eastAsia="Arial" w:hAnsi="Arial"/>
          <w:sz w:val="25"/>
          <w:szCs w:val="25"/>
          <w:color w:val="auto"/>
          <w:vertAlign w:val="superscript"/>
        </w:rPr>
      </w:pPr>
      <w:r>
        <w:rPr>
          <w:rFonts w:ascii="Arial" w:cs="Arial" w:eastAsia="Arial" w:hAnsi="Arial"/>
          <w:sz w:val="15"/>
          <w:szCs w:val="15"/>
          <w:color w:val="auto"/>
        </w:rPr>
        <w:t>$18.6 million in subordinated and senior notes were valued using the asset approach.</w:t>
      </w:r>
    </w:p>
    <w:p>
      <w:pPr>
        <w:spacing w:after="0" w:line="172" w:lineRule="exact"/>
        <w:rPr>
          <w:sz w:val="20"/>
          <w:szCs w:val="20"/>
          <w:color w:val="auto"/>
        </w:rPr>
      </w:pPr>
    </w:p>
    <w:p>
      <w:pPr>
        <w:ind w:left="10" w:right="320" w:firstLine="738"/>
        <w:spacing w:after="0" w:line="276" w:lineRule="auto"/>
        <w:rPr>
          <w:sz w:val="20"/>
          <w:szCs w:val="20"/>
          <w:color w:val="auto"/>
        </w:rPr>
      </w:pPr>
      <w:r>
        <w:rPr>
          <w:rFonts w:ascii="Arial" w:cs="Arial" w:eastAsia="Arial" w:hAnsi="Arial"/>
          <w:sz w:val="15"/>
          <w:szCs w:val="15"/>
          <w:color w:val="auto"/>
        </w:rPr>
        <w:t>The valuation techniques and significant unobservable inputs used in recurring level 3 fair value measurement of assets as of December 31, 2012 were as follows (dollars in thousands, except EBITDA amounts):</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right"/>
              <w:ind w:right="460"/>
              <w:spacing w:after="0"/>
              <w:rPr>
                <w:sz w:val="20"/>
                <w:szCs w:val="20"/>
                <w:color w:val="auto"/>
              </w:rPr>
            </w:pPr>
            <w:r>
              <w:rPr>
                <w:rFonts w:ascii="Arial" w:cs="Arial" w:eastAsia="Arial" w:hAnsi="Arial"/>
                <w:sz w:val="12"/>
                <w:szCs w:val="12"/>
                <w:b w:val="1"/>
                <w:bCs w:val="1"/>
                <w:color w:val="auto"/>
              </w:rPr>
              <w:t>Fair Value</w:t>
            </w:r>
          </w:p>
        </w:tc>
        <w:tc>
          <w:tcPr>
            <w:tcW w:w="196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Valuation Approach</w:t>
            </w:r>
          </w:p>
        </w:tc>
        <w:tc>
          <w:tcPr>
            <w:tcW w:w="1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b w:val="1"/>
                <w:bCs w:val="1"/>
                <w:color w:val="auto"/>
              </w:rPr>
              <w:t>Level 3 Input</w:t>
            </w:r>
          </w:p>
        </w:tc>
        <w:tc>
          <w:tcPr>
            <w:tcW w:w="120" w:type="dxa"/>
            <w:vAlign w:val="bottom"/>
          </w:tcPr>
          <w:p>
            <w:pPr>
              <w:spacing w:after="0"/>
              <w:rPr>
                <w:sz w:val="12"/>
                <w:szCs w:val="12"/>
                <w:color w:val="auto"/>
              </w:rPr>
            </w:pPr>
          </w:p>
        </w:tc>
        <w:tc>
          <w:tcPr>
            <w:tcW w:w="1820" w:type="dxa"/>
            <w:vAlign w:val="bottom"/>
            <w:vMerge w:val="restart"/>
          </w:tcPr>
          <w:p>
            <w:pPr>
              <w:ind w:left="500"/>
              <w:spacing w:after="0"/>
              <w:rPr>
                <w:sz w:val="20"/>
                <w:szCs w:val="20"/>
                <w:color w:val="auto"/>
              </w:rPr>
            </w:pPr>
            <w:r>
              <w:rPr>
                <w:rFonts w:ascii="Arial" w:cs="Arial" w:eastAsia="Arial" w:hAnsi="Arial"/>
                <w:sz w:val="12"/>
                <w:szCs w:val="12"/>
                <w:b w:val="1"/>
                <w:bCs w:val="1"/>
                <w:color w:val="auto"/>
              </w:rPr>
              <w:t>Range of Inputs</w:t>
            </w:r>
          </w:p>
        </w:tc>
        <w:tc>
          <w:tcPr>
            <w:tcW w:w="1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2"/>
              </w:rPr>
              <w:t>Weighted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960" w:type="dxa"/>
            <w:vAlign w:val="bottom"/>
            <w:tcBorders>
              <w:top w:val="single" w:sz="8" w:color="CCFFCC"/>
            </w:tcBorders>
            <w:shd w:val="clear" w:color="auto" w:fill="CCFFCC"/>
          </w:tcPr>
          <w:p>
            <w:pPr>
              <w:spacing w:after="0" w:line="100" w:lineRule="exact"/>
              <w:rPr>
                <w:sz w:val="20"/>
                <w:szCs w:val="20"/>
                <w:color w:val="auto"/>
              </w:rPr>
            </w:pPr>
            <w:r>
              <w:rPr>
                <w:rFonts w:ascii="Arial" w:cs="Arial" w:eastAsia="Arial" w:hAnsi="Arial"/>
                <w:sz w:val="11"/>
                <w:szCs w:val="11"/>
                <w:color w:val="auto"/>
              </w:rPr>
              <w:t>Subordinated debt and second lien notes</w:t>
            </w:r>
          </w:p>
        </w:tc>
        <w:tc>
          <w:tcPr>
            <w:tcW w:w="120" w:type="dxa"/>
            <w:vAlign w:val="bottom"/>
            <w:tcBorders>
              <w:top w:val="single" w:sz="8" w:color="CCFFCC"/>
            </w:tcBorders>
            <w:shd w:val="clear" w:color="auto" w:fill="CCFFCC"/>
          </w:tcPr>
          <w:p>
            <w:pPr>
              <w:spacing w:after="0"/>
              <w:rPr>
                <w:sz w:val="8"/>
                <w:szCs w:val="8"/>
                <w:color w:val="auto"/>
              </w:rPr>
            </w:pPr>
          </w:p>
        </w:tc>
        <w:tc>
          <w:tcPr>
            <w:tcW w:w="160" w:type="dxa"/>
            <w:vAlign w:val="bottom"/>
            <w:tcBorders>
              <w:top w:val="single" w:sz="8" w:color="auto"/>
            </w:tcBorders>
            <w:shd w:val="clear" w:color="auto" w:fill="CCFFCC"/>
          </w:tcPr>
          <w:p>
            <w:pPr>
              <w:jc w:val="right"/>
              <w:ind w:right="50"/>
              <w:spacing w:after="0" w:line="100" w:lineRule="exact"/>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FFCC"/>
          </w:tcPr>
          <w:p>
            <w:pPr>
              <w:jc w:val="right"/>
              <w:spacing w:after="0" w:line="100" w:lineRule="exact"/>
              <w:rPr>
                <w:sz w:val="20"/>
                <w:szCs w:val="20"/>
                <w:color w:val="auto"/>
              </w:rPr>
            </w:pPr>
            <w:r>
              <w:rPr>
                <w:rFonts w:ascii="Arial" w:cs="Arial" w:eastAsia="Arial" w:hAnsi="Arial"/>
                <w:sz w:val="11"/>
                <w:szCs w:val="11"/>
                <w:color w:val="auto"/>
              </w:rPr>
              <w:t>92,872</w:t>
            </w:r>
          </w:p>
        </w:tc>
        <w:tc>
          <w:tcPr>
            <w:tcW w:w="220" w:type="dxa"/>
            <w:vAlign w:val="bottom"/>
            <w:tcBorders>
              <w:top w:val="single" w:sz="8" w:color="CCFFCC"/>
            </w:tcBorders>
            <w:shd w:val="clear" w:color="auto" w:fill="CCFFCC"/>
          </w:tcPr>
          <w:p>
            <w:pPr>
              <w:spacing w:after="0"/>
              <w:rPr>
                <w:sz w:val="8"/>
                <w:szCs w:val="8"/>
                <w:color w:val="auto"/>
              </w:rPr>
            </w:pPr>
          </w:p>
        </w:tc>
        <w:tc>
          <w:tcPr>
            <w:tcW w:w="1960" w:type="dxa"/>
            <w:vAlign w:val="bottom"/>
            <w:tcBorders>
              <w:top w:val="single" w:sz="8" w:color="auto"/>
            </w:tcBorders>
            <w:shd w:val="clear" w:color="auto" w:fill="CCFFCC"/>
          </w:tcPr>
          <w:p>
            <w:pPr>
              <w:spacing w:after="0" w:line="100" w:lineRule="exact"/>
              <w:rPr>
                <w:sz w:val="20"/>
                <w:szCs w:val="20"/>
                <w:color w:val="auto"/>
              </w:rPr>
            </w:pPr>
            <w:r>
              <w:rPr>
                <w:rFonts w:ascii="Arial" w:cs="Arial" w:eastAsia="Arial" w:hAnsi="Arial"/>
                <w:sz w:val="11"/>
                <w:szCs w:val="11"/>
                <w:color w:val="auto"/>
              </w:rPr>
              <w:t>Income</w:t>
            </w:r>
          </w:p>
        </w:tc>
        <w:tc>
          <w:tcPr>
            <w:tcW w:w="100" w:type="dxa"/>
            <w:vAlign w:val="bottom"/>
            <w:tcBorders>
              <w:top w:val="single" w:sz="8" w:color="CCFFCC"/>
            </w:tcBorders>
            <w:shd w:val="clear" w:color="auto" w:fill="CCFFCC"/>
          </w:tcPr>
          <w:p>
            <w:pPr>
              <w:spacing w:after="0"/>
              <w:rPr>
                <w:sz w:val="8"/>
                <w:szCs w:val="8"/>
                <w:color w:val="auto"/>
              </w:rPr>
            </w:pPr>
          </w:p>
        </w:tc>
        <w:tc>
          <w:tcPr>
            <w:tcW w:w="1820" w:type="dxa"/>
            <w:vAlign w:val="bottom"/>
            <w:tcBorders>
              <w:top w:val="single" w:sz="8" w:color="auto"/>
            </w:tcBorders>
            <w:shd w:val="clear" w:color="auto" w:fill="CCFFCC"/>
          </w:tcPr>
          <w:p>
            <w:pPr>
              <w:spacing w:after="0" w:line="100" w:lineRule="exact"/>
              <w:rPr>
                <w:sz w:val="20"/>
                <w:szCs w:val="20"/>
                <w:color w:val="auto"/>
              </w:rPr>
            </w:pPr>
            <w:r>
              <w:rPr>
                <w:rFonts w:ascii="Arial" w:cs="Arial" w:eastAsia="Arial" w:hAnsi="Arial"/>
                <w:sz w:val="11"/>
                <w:szCs w:val="11"/>
                <w:color w:val="auto"/>
              </w:rPr>
              <w:t>Required Rate of Return</w:t>
            </w:r>
          </w:p>
        </w:tc>
        <w:tc>
          <w:tcPr>
            <w:tcW w:w="120" w:type="dxa"/>
            <w:vAlign w:val="bottom"/>
            <w:tcBorders>
              <w:top w:val="single" w:sz="8" w:color="CCFFCC"/>
            </w:tcBorders>
            <w:shd w:val="clear" w:color="auto" w:fill="CCFFCC"/>
          </w:tcPr>
          <w:p>
            <w:pPr>
              <w:spacing w:after="0"/>
              <w:rPr>
                <w:sz w:val="8"/>
                <w:szCs w:val="8"/>
                <w:color w:val="auto"/>
              </w:rPr>
            </w:pPr>
          </w:p>
        </w:tc>
        <w:tc>
          <w:tcPr>
            <w:tcW w:w="1820" w:type="dxa"/>
            <w:vAlign w:val="bottom"/>
            <w:tcBorders>
              <w:top w:val="single" w:sz="8" w:color="auto"/>
            </w:tcBorders>
            <w:shd w:val="clear" w:color="auto" w:fill="CCFFCC"/>
          </w:tcPr>
          <w:p>
            <w:pPr>
              <w:spacing w:after="0" w:line="100" w:lineRule="exact"/>
              <w:rPr>
                <w:sz w:val="20"/>
                <w:szCs w:val="20"/>
                <w:color w:val="auto"/>
              </w:rPr>
            </w:pPr>
            <w:r>
              <w:rPr>
                <w:rFonts w:ascii="Arial" w:cs="Arial" w:eastAsia="Arial" w:hAnsi="Arial"/>
                <w:sz w:val="11"/>
                <w:szCs w:val="11"/>
                <w:color w:val="auto"/>
              </w:rPr>
              <w:t>6.0% - 18.0%</w:t>
            </w:r>
          </w:p>
        </w:tc>
        <w:tc>
          <w:tcPr>
            <w:tcW w:w="120" w:type="dxa"/>
            <w:vAlign w:val="bottom"/>
            <w:tcBorders>
              <w:top w:val="single" w:sz="8" w:color="CCFFCC"/>
            </w:tcBorders>
            <w:shd w:val="clear" w:color="auto" w:fill="CCFFCC"/>
          </w:tcPr>
          <w:p>
            <w:pPr>
              <w:spacing w:after="0"/>
              <w:rPr>
                <w:sz w:val="8"/>
                <w:szCs w:val="8"/>
                <w:color w:val="auto"/>
              </w:rPr>
            </w:pPr>
          </w:p>
        </w:tc>
        <w:tc>
          <w:tcPr>
            <w:tcW w:w="1140" w:type="dxa"/>
            <w:vAlign w:val="bottom"/>
            <w:tcBorders>
              <w:top w:val="single" w:sz="8" w:color="auto"/>
            </w:tcBorders>
            <w:shd w:val="clear" w:color="auto" w:fill="CCFFCC"/>
          </w:tcPr>
          <w:p>
            <w:pPr>
              <w:spacing w:after="0" w:line="100" w:lineRule="exact"/>
              <w:rPr>
                <w:sz w:val="20"/>
                <w:szCs w:val="20"/>
                <w:color w:val="auto"/>
              </w:rPr>
            </w:pPr>
            <w:r>
              <w:rPr>
                <w:rFonts w:ascii="Arial" w:cs="Arial" w:eastAsia="Arial" w:hAnsi="Arial"/>
                <w:sz w:val="11"/>
                <w:szCs w:val="11"/>
                <w:color w:val="auto"/>
              </w:rPr>
              <w:t>14.0%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960" w:type="dxa"/>
            <w:vAlign w:val="bottom"/>
            <w:shd w:val="clear" w:color="auto" w:fill="CCFFCC"/>
          </w:tcPr>
          <w:p>
            <w:pPr>
              <w:spacing w:after="0"/>
              <w:rPr>
                <w:sz w:val="10"/>
                <w:szCs w:val="10"/>
                <w:color w:val="auto"/>
              </w:rPr>
            </w:pPr>
          </w:p>
        </w:tc>
        <w:tc>
          <w:tcPr>
            <w:tcW w:w="1920" w:type="dxa"/>
            <w:vAlign w:val="bottom"/>
            <w:gridSpan w:val="2"/>
            <w:shd w:val="clear" w:color="auto" w:fill="CCFFCC"/>
          </w:tcPr>
          <w:p>
            <w:pPr>
              <w:ind w:left="100"/>
              <w:spacing w:after="0" w:line="125" w:lineRule="exact"/>
              <w:rPr>
                <w:sz w:val="20"/>
                <w:szCs w:val="20"/>
                <w:color w:val="auto"/>
              </w:rPr>
            </w:pPr>
            <w:r>
              <w:rPr>
                <w:rFonts w:ascii="Arial" w:cs="Arial" w:eastAsia="Arial" w:hAnsi="Arial"/>
                <w:sz w:val="12"/>
                <w:szCs w:val="12"/>
                <w:color w:val="auto"/>
              </w:rPr>
              <w:t>Leverage Ratio</w:t>
            </w:r>
          </w:p>
        </w:tc>
        <w:tc>
          <w:tcPr>
            <w:tcW w:w="194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1.7x - 10.2x</w:t>
            </w:r>
          </w:p>
        </w:tc>
        <w:tc>
          <w:tcPr>
            <w:tcW w:w="126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3.2x</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960" w:type="dxa"/>
            <w:vAlign w:val="bottom"/>
            <w:shd w:val="clear" w:color="auto" w:fill="CCFFCC"/>
          </w:tcPr>
          <w:p>
            <w:pPr>
              <w:spacing w:after="0"/>
              <w:rPr>
                <w:sz w:val="12"/>
                <w:szCs w:val="12"/>
                <w:color w:val="auto"/>
              </w:rPr>
            </w:pPr>
          </w:p>
        </w:tc>
        <w:tc>
          <w:tcPr>
            <w:tcW w:w="1920" w:type="dxa"/>
            <w:vAlign w:val="bottom"/>
            <w:gridSpan w:val="2"/>
            <w:shd w:val="clear" w:color="auto" w:fill="CCFFCC"/>
          </w:tcPr>
          <w:p>
            <w:pPr>
              <w:ind w:left="100"/>
              <w:spacing w:after="0"/>
              <w:rPr>
                <w:sz w:val="20"/>
                <w:szCs w:val="20"/>
                <w:color w:val="auto"/>
              </w:rPr>
            </w:pPr>
            <w:r>
              <w:rPr>
                <w:rFonts w:ascii="Arial" w:cs="Arial" w:eastAsia="Arial" w:hAnsi="Arial"/>
                <w:sz w:val="12"/>
                <w:szCs w:val="12"/>
                <w:color w:val="auto"/>
              </w:rPr>
              <w:t>Adjusted EBITDA</w:t>
            </w:r>
          </w:p>
        </w:tc>
        <w:tc>
          <w:tcPr>
            <w:tcW w:w="1940" w:type="dxa"/>
            <w:vAlign w:val="bottom"/>
            <w:gridSpan w:val="2"/>
            <w:shd w:val="clear" w:color="auto" w:fill="CCFFCC"/>
          </w:tcPr>
          <w:p>
            <w:pPr>
              <w:ind w:left="120"/>
              <w:spacing w:after="0"/>
              <w:rPr>
                <w:sz w:val="20"/>
                <w:szCs w:val="20"/>
                <w:color w:val="auto"/>
              </w:rPr>
            </w:pPr>
            <w:r>
              <w:rPr>
                <w:rFonts w:ascii="Arial" w:cs="Arial" w:eastAsia="Arial" w:hAnsi="Arial"/>
                <w:sz w:val="12"/>
                <w:szCs w:val="12"/>
                <w:color w:val="auto"/>
              </w:rPr>
              <w:t>$0.3 million - $31.7 million</w:t>
            </w:r>
          </w:p>
        </w:tc>
        <w:tc>
          <w:tcPr>
            <w:tcW w:w="1260" w:type="dxa"/>
            <w:vAlign w:val="bottom"/>
            <w:gridSpan w:val="2"/>
            <w:shd w:val="clear" w:color="auto" w:fill="CCFFCC"/>
          </w:tcPr>
          <w:p>
            <w:pPr>
              <w:ind w:left="120"/>
              <w:spacing w:after="0"/>
              <w:rPr>
                <w:sz w:val="20"/>
                <w:szCs w:val="20"/>
                <w:color w:val="auto"/>
              </w:rPr>
            </w:pPr>
            <w:r>
              <w:rPr>
                <w:rFonts w:ascii="Arial" w:cs="Arial" w:eastAsia="Arial" w:hAnsi="Arial"/>
                <w:sz w:val="12"/>
                <w:szCs w:val="12"/>
                <w:color w:val="auto"/>
              </w:rPr>
              <w:t>$11.7 million</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96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2960" w:type="dxa"/>
            <w:vAlign w:val="bottom"/>
            <w:shd w:val="clear" w:color="auto" w:fill="CCFFCC"/>
          </w:tcPr>
          <w:p>
            <w:pPr>
              <w:spacing w:after="0" w:line="109" w:lineRule="exact"/>
              <w:rPr>
                <w:sz w:val="20"/>
                <w:szCs w:val="20"/>
                <w:color w:val="auto"/>
              </w:rPr>
            </w:pPr>
            <w:r>
              <w:rPr>
                <w:rFonts w:ascii="Arial" w:cs="Arial" w:eastAsia="Arial" w:hAnsi="Arial"/>
                <w:sz w:val="12"/>
                <w:szCs w:val="12"/>
                <w:color w:val="auto"/>
              </w:rPr>
              <w:t>Subordinated debt and second lien notes</w:t>
            </w:r>
          </w:p>
        </w:tc>
        <w:tc>
          <w:tcPr>
            <w:tcW w:w="280" w:type="dxa"/>
            <w:vAlign w:val="bottom"/>
            <w:gridSpan w:val="2"/>
            <w:shd w:val="clear" w:color="auto" w:fill="CCFFCC"/>
          </w:tcPr>
          <w:p>
            <w:pPr>
              <w:jc w:val="right"/>
              <w:ind w:right="50"/>
              <w:spacing w:after="0" w:line="109" w:lineRule="exact"/>
              <w:rPr>
                <w:sz w:val="20"/>
                <w:szCs w:val="20"/>
                <w:color w:val="auto"/>
              </w:rPr>
            </w:pPr>
            <w:r>
              <w:rPr>
                <w:rFonts w:ascii="Arial" w:cs="Arial" w:eastAsia="Arial" w:hAnsi="Arial"/>
                <w:sz w:val="12"/>
                <w:szCs w:val="12"/>
                <w:color w:val="auto"/>
              </w:rPr>
              <w:t>$</w:t>
            </w:r>
          </w:p>
        </w:tc>
        <w:tc>
          <w:tcPr>
            <w:tcW w:w="1100" w:type="dxa"/>
            <w:vAlign w:val="bottom"/>
            <w:gridSpan w:val="2"/>
            <w:shd w:val="clear" w:color="auto" w:fill="CCFFCC"/>
          </w:tcPr>
          <w:p>
            <w:pPr>
              <w:jc w:val="right"/>
              <w:ind w:right="220"/>
              <w:spacing w:after="0" w:line="109" w:lineRule="exact"/>
              <w:rPr>
                <w:sz w:val="20"/>
                <w:szCs w:val="20"/>
                <w:color w:val="auto"/>
              </w:rPr>
            </w:pPr>
            <w:r>
              <w:rPr>
                <w:rFonts w:ascii="Arial" w:cs="Arial" w:eastAsia="Arial" w:hAnsi="Arial"/>
                <w:sz w:val="12"/>
                <w:szCs w:val="12"/>
                <w:color w:val="auto"/>
              </w:rPr>
              <w:t>8,787</w:t>
            </w:r>
          </w:p>
        </w:tc>
        <w:tc>
          <w:tcPr>
            <w:tcW w:w="1960" w:type="dxa"/>
            <w:vAlign w:val="bottom"/>
            <w:shd w:val="clear" w:color="auto" w:fill="CCFFCC"/>
          </w:tcPr>
          <w:p>
            <w:pPr>
              <w:spacing w:after="0" w:line="109" w:lineRule="exact"/>
              <w:rPr>
                <w:sz w:val="20"/>
                <w:szCs w:val="20"/>
                <w:color w:val="auto"/>
              </w:rPr>
            </w:pPr>
            <w:r>
              <w:rPr>
                <w:rFonts w:ascii="Arial" w:cs="Arial" w:eastAsia="Arial" w:hAnsi="Arial"/>
                <w:sz w:val="12"/>
                <w:szCs w:val="12"/>
                <w:color w:val="auto"/>
              </w:rPr>
              <w:t>Enterprise Value Waterfall</w:t>
            </w:r>
          </w:p>
        </w:tc>
        <w:tc>
          <w:tcPr>
            <w:tcW w:w="1920" w:type="dxa"/>
            <w:vAlign w:val="bottom"/>
            <w:gridSpan w:val="2"/>
            <w:shd w:val="clear" w:color="auto" w:fill="CCFFCC"/>
          </w:tcPr>
          <w:p>
            <w:pPr>
              <w:ind w:left="100"/>
              <w:spacing w:after="0" w:line="109" w:lineRule="exact"/>
              <w:rPr>
                <w:sz w:val="20"/>
                <w:szCs w:val="20"/>
                <w:color w:val="auto"/>
              </w:rPr>
            </w:pPr>
            <w:r>
              <w:rPr>
                <w:rFonts w:ascii="Arial" w:cs="Arial" w:eastAsia="Arial" w:hAnsi="Arial"/>
                <w:sz w:val="12"/>
                <w:szCs w:val="12"/>
                <w:color w:val="auto"/>
              </w:rPr>
              <w:t>Adjusted EBITDA Mutliple</w:t>
            </w:r>
          </w:p>
        </w:tc>
        <w:tc>
          <w:tcPr>
            <w:tcW w:w="1940" w:type="dxa"/>
            <w:vAlign w:val="bottom"/>
            <w:gridSpan w:val="2"/>
            <w:shd w:val="clear" w:color="auto" w:fill="CCFFCC"/>
          </w:tcPr>
          <w:p>
            <w:pPr>
              <w:ind w:left="120"/>
              <w:spacing w:after="0" w:line="109" w:lineRule="exact"/>
              <w:rPr>
                <w:sz w:val="20"/>
                <w:szCs w:val="20"/>
                <w:color w:val="auto"/>
              </w:rPr>
            </w:pPr>
            <w:r>
              <w:rPr>
                <w:rFonts w:ascii="Arial" w:cs="Arial" w:eastAsia="Arial" w:hAnsi="Arial"/>
                <w:sz w:val="12"/>
                <w:szCs w:val="12"/>
                <w:color w:val="auto"/>
              </w:rPr>
              <w:t>4.5x - 20.0x</w:t>
            </w:r>
          </w:p>
        </w:tc>
        <w:tc>
          <w:tcPr>
            <w:tcW w:w="1260" w:type="dxa"/>
            <w:vAlign w:val="bottom"/>
            <w:gridSpan w:val="2"/>
            <w:shd w:val="clear" w:color="auto" w:fill="CCFFCC"/>
          </w:tcPr>
          <w:p>
            <w:pPr>
              <w:ind w:left="120"/>
              <w:spacing w:after="0" w:line="109" w:lineRule="exact"/>
              <w:rPr>
                <w:sz w:val="20"/>
                <w:szCs w:val="20"/>
                <w:color w:val="auto"/>
              </w:rPr>
            </w:pPr>
            <w:r>
              <w:rPr>
                <w:rFonts w:ascii="Arial" w:cs="Arial" w:eastAsia="Arial" w:hAnsi="Arial"/>
                <w:sz w:val="12"/>
                <w:szCs w:val="12"/>
                <w:color w:val="auto"/>
              </w:rPr>
              <w:t>6.2x</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960" w:type="dxa"/>
            <w:vAlign w:val="bottom"/>
            <w:shd w:val="clear" w:color="auto" w:fill="CCFFCC"/>
          </w:tcPr>
          <w:p>
            <w:pPr>
              <w:spacing w:after="0"/>
              <w:rPr>
                <w:sz w:val="12"/>
                <w:szCs w:val="12"/>
                <w:color w:val="auto"/>
              </w:rPr>
            </w:pPr>
          </w:p>
        </w:tc>
        <w:tc>
          <w:tcPr>
            <w:tcW w:w="1920" w:type="dxa"/>
            <w:vAlign w:val="bottom"/>
            <w:gridSpan w:val="2"/>
            <w:shd w:val="clear" w:color="auto" w:fill="CCFFCC"/>
          </w:tcPr>
          <w:p>
            <w:pPr>
              <w:ind w:left="100"/>
              <w:spacing w:after="0"/>
              <w:rPr>
                <w:sz w:val="20"/>
                <w:szCs w:val="20"/>
                <w:color w:val="auto"/>
              </w:rPr>
            </w:pPr>
            <w:r>
              <w:rPr>
                <w:rFonts w:ascii="Arial" w:cs="Arial" w:eastAsia="Arial" w:hAnsi="Arial"/>
                <w:sz w:val="12"/>
                <w:szCs w:val="12"/>
                <w:color w:val="auto"/>
              </w:rPr>
              <w:t>Adjusted EBITDA</w:t>
            </w:r>
          </w:p>
        </w:tc>
        <w:tc>
          <w:tcPr>
            <w:tcW w:w="1940" w:type="dxa"/>
            <w:vAlign w:val="bottom"/>
            <w:gridSpan w:val="2"/>
            <w:shd w:val="clear" w:color="auto" w:fill="CCFFCC"/>
          </w:tcPr>
          <w:p>
            <w:pPr>
              <w:ind w:left="120"/>
              <w:spacing w:after="0"/>
              <w:rPr>
                <w:sz w:val="20"/>
                <w:szCs w:val="20"/>
                <w:color w:val="auto"/>
              </w:rPr>
            </w:pPr>
            <w:r>
              <w:rPr>
                <w:rFonts w:ascii="Arial" w:cs="Arial" w:eastAsia="Arial" w:hAnsi="Arial"/>
                <w:sz w:val="12"/>
                <w:szCs w:val="12"/>
                <w:color w:val="auto"/>
              </w:rPr>
              <w:t>$0.6 million - $3.8 million</w:t>
            </w:r>
          </w:p>
        </w:tc>
        <w:tc>
          <w:tcPr>
            <w:tcW w:w="1260" w:type="dxa"/>
            <w:vAlign w:val="bottom"/>
            <w:gridSpan w:val="2"/>
            <w:shd w:val="clear" w:color="auto" w:fill="CCFFCC"/>
          </w:tcPr>
          <w:p>
            <w:pPr>
              <w:ind w:left="120"/>
              <w:spacing w:after="0"/>
              <w:rPr>
                <w:sz w:val="20"/>
                <w:szCs w:val="20"/>
                <w:color w:val="auto"/>
              </w:rPr>
            </w:pPr>
            <w:r>
              <w:rPr>
                <w:rFonts w:ascii="Arial" w:cs="Arial" w:eastAsia="Arial" w:hAnsi="Arial"/>
                <w:sz w:val="12"/>
                <w:szCs w:val="12"/>
                <w:color w:val="auto"/>
              </w:rPr>
              <w:t>$2.6 million</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296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2960" w:type="dxa"/>
            <w:vAlign w:val="bottom"/>
            <w:shd w:val="clear" w:color="auto" w:fill="CCFFCC"/>
          </w:tcPr>
          <w:p>
            <w:pPr>
              <w:spacing w:after="0" w:line="109" w:lineRule="exact"/>
              <w:rPr>
                <w:sz w:val="20"/>
                <w:szCs w:val="20"/>
                <w:color w:val="auto"/>
              </w:rPr>
            </w:pPr>
            <w:r>
              <w:rPr>
                <w:rFonts w:ascii="Arial" w:cs="Arial" w:eastAsia="Arial" w:hAnsi="Arial"/>
                <w:sz w:val="12"/>
                <w:szCs w:val="12"/>
                <w:color w:val="auto"/>
              </w:rPr>
              <w:t>Senior debt and first lien notes</w:t>
            </w:r>
          </w:p>
        </w:tc>
        <w:tc>
          <w:tcPr>
            <w:tcW w:w="280" w:type="dxa"/>
            <w:vAlign w:val="bottom"/>
            <w:gridSpan w:val="2"/>
            <w:shd w:val="clear" w:color="auto" w:fill="CCFFCC"/>
          </w:tcPr>
          <w:p>
            <w:pPr>
              <w:jc w:val="right"/>
              <w:ind w:right="50"/>
              <w:spacing w:after="0" w:line="109" w:lineRule="exact"/>
              <w:rPr>
                <w:sz w:val="20"/>
                <w:szCs w:val="20"/>
                <w:color w:val="auto"/>
              </w:rPr>
            </w:pPr>
            <w:r>
              <w:rPr>
                <w:rFonts w:ascii="Arial" w:cs="Arial" w:eastAsia="Arial" w:hAnsi="Arial"/>
                <w:sz w:val="12"/>
                <w:szCs w:val="12"/>
                <w:color w:val="auto"/>
              </w:rPr>
              <w:t>$</w:t>
            </w:r>
          </w:p>
        </w:tc>
        <w:tc>
          <w:tcPr>
            <w:tcW w:w="1100" w:type="dxa"/>
            <w:vAlign w:val="bottom"/>
            <w:gridSpan w:val="2"/>
            <w:shd w:val="clear" w:color="auto" w:fill="CCFFCC"/>
          </w:tcPr>
          <w:p>
            <w:pPr>
              <w:jc w:val="right"/>
              <w:ind w:right="220"/>
              <w:spacing w:after="0" w:line="109" w:lineRule="exact"/>
              <w:rPr>
                <w:sz w:val="20"/>
                <w:szCs w:val="20"/>
                <w:color w:val="auto"/>
              </w:rPr>
            </w:pPr>
            <w:r>
              <w:rPr>
                <w:rFonts w:ascii="Arial" w:cs="Arial" w:eastAsia="Arial" w:hAnsi="Arial"/>
                <w:sz w:val="12"/>
                <w:szCs w:val="12"/>
                <w:color w:val="auto"/>
              </w:rPr>
              <w:t>73,861</w:t>
            </w:r>
          </w:p>
        </w:tc>
        <w:tc>
          <w:tcPr>
            <w:tcW w:w="1960" w:type="dxa"/>
            <w:vAlign w:val="bottom"/>
            <w:shd w:val="clear" w:color="auto" w:fill="CCFFCC"/>
          </w:tcPr>
          <w:p>
            <w:pPr>
              <w:spacing w:after="0" w:line="109" w:lineRule="exact"/>
              <w:rPr>
                <w:sz w:val="20"/>
                <w:szCs w:val="20"/>
                <w:color w:val="auto"/>
              </w:rPr>
            </w:pPr>
            <w:r>
              <w:rPr>
                <w:rFonts w:ascii="Arial" w:cs="Arial" w:eastAsia="Arial" w:hAnsi="Arial"/>
                <w:sz w:val="12"/>
                <w:szCs w:val="12"/>
                <w:color w:val="auto"/>
              </w:rPr>
              <w:t>Income</w:t>
            </w:r>
          </w:p>
        </w:tc>
        <w:tc>
          <w:tcPr>
            <w:tcW w:w="1920" w:type="dxa"/>
            <w:vAlign w:val="bottom"/>
            <w:gridSpan w:val="2"/>
            <w:shd w:val="clear" w:color="auto" w:fill="CCFFCC"/>
          </w:tcPr>
          <w:p>
            <w:pPr>
              <w:ind w:left="100"/>
              <w:spacing w:after="0" w:line="109" w:lineRule="exact"/>
              <w:rPr>
                <w:sz w:val="20"/>
                <w:szCs w:val="20"/>
                <w:color w:val="auto"/>
              </w:rPr>
            </w:pPr>
            <w:r>
              <w:rPr>
                <w:rFonts w:ascii="Arial" w:cs="Arial" w:eastAsia="Arial" w:hAnsi="Arial"/>
                <w:sz w:val="12"/>
                <w:szCs w:val="12"/>
                <w:color w:val="auto"/>
              </w:rPr>
              <w:t>Required Rate of Return</w:t>
            </w:r>
          </w:p>
        </w:tc>
        <w:tc>
          <w:tcPr>
            <w:tcW w:w="1940" w:type="dxa"/>
            <w:vAlign w:val="bottom"/>
            <w:gridSpan w:val="2"/>
            <w:shd w:val="clear" w:color="auto" w:fill="CCFFCC"/>
          </w:tcPr>
          <w:p>
            <w:pPr>
              <w:ind w:left="120"/>
              <w:spacing w:after="0" w:line="109" w:lineRule="exact"/>
              <w:rPr>
                <w:sz w:val="20"/>
                <w:szCs w:val="20"/>
                <w:color w:val="auto"/>
              </w:rPr>
            </w:pPr>
            <w:r>
              <w:rPr>
                <w:rFonts w:ascii="Arial" w:cs="Arial" w:eastAsia="Arial" w:hAnsi="Arial"/>
                <w:sz w:val="12"/>
                <w:szCs w:val="12"/>
                <w:color w:val="auto"/>
              </w:rPr>
              <w:t>9.0% - 22.5%</w:t>
            </w:r>
          </w:p>
        </w:tc>
        <w:tc>
          <w:tcPr>
            <w:tcW w:w="1260" w:type="dxa"/>
            <w:vAlign w:val="bottom"/>
            <w:gridSpan w:val="2"/>
            <w:shd w:val="clear" w:color="auto" w:fill="CCFFCC"/>
          </w:tcPr>
          <w:p>
            <w:pPr>
              <w:ind w:left="120"/>
              <w:spacing w:after="0" w:line="109" w:lineRule="exact"/>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960" w:type="dxa"/>
            <w:vAlign w:val="bottom"/>
            <w:shd w:val="clear" w:color="auto" w:fill="CCFFCC"/>
          </w:tcPr>
          <w:p>
            <w:pPr>
              <w:spacing w:after="0"/>
              <w:rPr>
                <w:sz w:val="10"/>
                <w:szCs w:val="10"/>
                <w:color w:val="auto"/>
              </w:rPr>
            </w:pPr>
          </w:p>
        </w:tc>
        <w:tc>
          <w:tcPr>
            <w:tcW w:w="1920" w:type="dxa"/>
            <w:vAlign w:val="bottom"/>
            <w:gridSpan w:val="2"/>
            <w:shd w:val="clear" w:color="auto" w:fill="CCFFCC"/>
          </w:tcPr>
          <w:p>
            <w:pPr>
              <w:ind w:left="100"/>
              <w:spacing w:after="0" w:line="125" w:lineRule="exact"/>
              <w:rPr>
                <w:sz w:val="20"/>
                <w:szCs w:val="20"/>
                <w:color w:val="auto"/>
              </w:rPr>
            </w:pPr>
            <w:r>
              <w:rPr>
                <w:rFonts w:ascii="Arial" w:cs="Arial" w:eastAsia="Arial" w:hAnsi="Arial"/>
                <w:sz w:val="12"/>
                <w:szCs w:val="12"/>
                <w:color w:val="auto"/>
              </w:rPr>
              <w:t>Leverage Ratio</w:t>
            </w:r>
          </w:p>
        </w:tc>
        <w:tc>
          <w:tcPr>
            <w:tcW w:w="194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2.2x - 18.3x</w:t>
            </w:r>
          </w:p>
        </w:tc>
        <w:tc>
          <w:tcPr>
            <w:tcW w:w="126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3.7x</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960" w:type="dxa"/>
            <w:vAlign w:val="bottom"/>
            <w:shd w:val="clear" w:color="auto" w:fill="CCFFCC"/>
          </w:tcPr>
          <w:p>
            <w:pPr>
              <w:spacing w:after="0"/>
              <w:rPr>
                <w:sz w:val="12"/>
                <w:szCs w:val="12"/>
                <w:color w:val="auto"/>
              </w:rPr>
            </w:pPr>
          </w:p>
        </w:tc>
        <w:tc>
          <w:tcPr>
            <w:tcW w:w="1920" w:type="dxa"/>
            <w:vAlign w:val="bottom"/>
            <w:gridSpan w:val="2"/>
            <w:shd w:val="clear" w:color="auto" w:fill="CCFFCC"/>
          </w:tcPr>
          <w:p>
            <w:pPr>
              <w:ind w:left="100"/>
              <w:spacing w:after="0"/>
              <w:rPr>
                <w:sz w:val="20"/>
                <w:szCs w:val="20"/>
                <w:color w:val="auto"/>
              </w:rPr>
            </w:pPr>
            <w:r>
              <w:rPr>
                <w:rFonts w:ascii="Arial" w:cs="Arial" w:eastAsia="Arial" w:hAnsi="Arial"/>
                <w:sz w:val="12"/>
                <w:szCs w:val="12"/>
                <w:color w:val="auto"/>
              </w:rPr>
              <w:t>Adjusted EBITDA</w:t>
            </w:r>
          </w:p>
        </w:tc>
        <w:tc>
          <w:tcPr>
            <w:tcW w:w="1940" w:type="dxa"/>
            <w:vAlign w:val="bottom"/>
            <w:gridSpan w:val="2"/>
            <w:shd w:val="clear" w:color="auto" w:fill="CCFFCC"/>
          </w:tcPr>
          <w:p>
            <w:pPr>
              <w:ind w:left="120"/>
              <w:spacing w:after="0"/>
              <w:rPr>
                <w:sz w:val="20"/>
                <w:szCs w:val="20"/>
                <w:color w:val="auto"/>
              </w:rPr>
            </w:pPr>
            <w:r>
              <w:rPr>
                <w:rFonts w:ascii="Arial" w:cs="Arial" w:eastAsia="Arial" w:hAnsi="Arial"/>
                <w:sz w:val="12"/>
                <w:szCs w:val="12"/>
                <w:color w:val="auto"/>
              </w:rPr>
              <w:t>$0.1 million - $13.4 million</w:t>
            </w:r>
          </w:p>
        </w:tc>
        <w:tc>
          <w:tcPr>
            <w:tcW w:w="1260" w:type="dxa"/>
            <w:vAlign w:val="bottom"/>
            <w:gridSpan w:val="2"/>
            <w:shd w:val="clear" w:color="auto" w:fill="CCFFCC"/>
          </w:tcPr>
          <w:p>
            <w:pPr>
              <w:ind w:left="120"/>
              <w:spacing w:after="0"/>
              <w:rPr>
                <w:sz w:val="20"/>
                <w:szCs w:val="20"/>
                <w:color w:val="auto"/>
              </w:rPr>
            </w:pPr>
            <w:r>
              <w:rPr>
                <w:rFonts w:ascii="Arial" w:cs="Arial" w:eastAsia="Arial" w:hAnsi="Arial"/>
                <w:sz w:val="12"/>
                <w:szCs w:val="12"/>
                <w:color w:val="auto"/>
              </w:rPr>
              <w:t>$6.6 million</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96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2960" w:type="dxa"/>
            <w:vAlign w:val="bottom"/>
            <w:shd w:val="clear" w:color="auto" w:fill="CCFFCC"/>
          </w:tcPr>
          <w:p>
            <w:pPr>
              <w:spacing w:after="0" w:line="109" w:lineRule="exact"/>
              <w:rPr>
                <w:sz w:val="20"/>
                <w:szCs w:val="20"/>
                <w:color w:val="auto"/>
              </w:rPr>
            </w:pPr>
            <w:r>
              <w:rPr>
                <w:rFonts w:ascii="Arial" w:cs="Arial" w:eastAsia="Arial" w:hAnsi="Arial"/>
                <w:sz w:val="12"/>
                <w:szCs w:val="12"/>
                <w:color w:val="auto"/>
              </w:rPr>
              <w:t>Equity shares and warrants</w:t>
            </w:r>
          </w:p>
        </w:tc>
        <w:tc>
          <w:tcPr>
            <w:tcW w:w="280" w:type="dxa"/>
            <w:vAlign w:val="bottom"/>
            <w:gridSpan w:val="2"/>
            <w:shd w:val="clear" w:color="auto" w:fill="CCFFCC"/>
          </w:tcPr>
          <w:p>
            <w:pPr>
              <w:jc w:val="right"/>
              <w:ind w:right="50"/>
              <w:spacing w:after="0" w:line="109" w:lineRule="exact"/>
              <w:rPr>
                <w:sz w:val="20"/>
                <w:szCs w:val="20"/>
                <w:color w:val="auto"/>
              </w:rPr>
            </w:pPr>
            <w:r>
              <w:rPr>
                <w:rFonts w:ascii="Arial" w:cs="Arial" w:eastAsia="Arial" w:hAnsi="Arial"/>
                <w:sz w:val="12"/>
                <w:szCs w:val="12"/>
                <w:color w:val="auto"/>
              </w:rPr>
              <w:t>$</w:t>
            </w:r>
          </w:p>
        </w:tc>
        <w:tc>
          <w:tcPr>
            <w:tcW w:w="1100" w:type="dxa"/>
            <w:vAlign w:val="bottom"/>
            <w:gridSpan w:val="2"/>
            <w:shd w:val="clear" w:color="auto" w:fill="CCFFCC"/>
          </w:tcPr>
          <w:p>
            <w:pPr>
              <w:jc w:val="right"/>
              <w:ind w:right="220"/>
              <w:spacing w:after="0" w:line="109" w:lineRule="exact"/>
              <w:rPr>
                <w:sz w:val="20"/>
                <w:szCs w:val="20"/>
                <w:color w:val="auto"/>
              </w:rPr>
            </w:pPr>
            <w:r>
              <w:rPr>
                <w:rFonts w:ascii="Arial" w:cs="Arial" w:eastAsia="Arial" w:hAnsi="Arial"/>
                <w:sz w:val="12"/>
                <w:szCs w:val="12"/>
                <w:color w:val="auto"/>
              </w:rPr>
              <w:t>108,411</w:t>
            </w:r>
          </w:p>
        </w:tc>
        <w:tc>
          <w:tcPr>
            <w:tcW w:w="1960" w:type="dxa"/>
            <w:vAlign w:val="bottom"/>
            <w:shd w:val="clear" w:color="auto" w:fill="CCFFCC"/>
          </w:tcPr>
          <w:p>
            <w:pPr>
              <w:spacing w:after="0" w:line="109" w:lineRule="exact"/>
              <w:rPr>
                <w:sz w:val="20"/>
                <w:szCs w:val="20"/>
                <w:color w:val="auto"/>
              </w:rPr>
            </w:pPr>
            <w:r>
              <w:rPr>
                <w:rFonts w:ascii="Arial" w:cs="Arial" w:eastAsia="Arial" w:hAnsi="Arial"/>
                <w:sz w:val="12"/>
                <w:szCs w:val="12"/>
                <w:color w:val="auto"/>
              </w:rPr>
              <w:t>Enterprise Value Waterfall</w:t>
            </w:r>
          </w:p>
        </w:tc>
        <w:tc>
          <w:tcPr>
            <w:tcW w:w="1920" w:type="dxa"/>
            <w:vAlign w:val="bottom"/>
            <w:gridSpan w:val="2"/>
            <w:shd w:val="clear" w:color="auto" w:fill="CCFFCC"/>
          </w:tcPr>
          <w:p>
            <w:pPr>
              <w:ind w:left="100"/>
              <w:spacing w:after="0" w:line="109" w:lineRule="exact"/>
              <w:rPr>
                <w:sz w:val="20"/>
                <w:szCs w:val="20"/>
                <w:color w:val="auto"/>
              </w:rPr>
            </w:pPr>
            <w:r>
              <w:rPr>
                <w:rFonts w:ascii="Arial" w:cs="Arial" w:eastAsia="Arial" w:hAnsi="Arial"/>
                <w:sz w:val="12"/>
                <w:szCs w:val="12"/>
                <w:color w:val="auto"/>
              </w:rPr>
              <w:t>Adjusted EBITDA Multiple</w:t>
            </w:r>
          </w:p>
        </w:tc>
        <w:tc>
          <w:tcPr>
            <w:tcW w:w="1940" w:type="dxa"/>
            <w:vAlign w:val="bottom"/>
            <w:gridSpan w:val="2"/>
            <w:shd w:val="clear" w:color="auto" w:fill="CCFFCC"/>
          </w:tcPr>
          <w:p>
            <w:pPr>
              <w:ind w:left="120"/>
              <w:spacing w:after="0" w:line="109" w:lineRule="exact"/>
              <w:rPr>
                <w:sz w:val="20"/>
                <w:szCs w:val="20"/>
                <w:color w:val="auto"/>
              </w:rPr>
            </w:pPr>
            <w:r>
              <w:rPr>
                <w:rFonts w:ascii="Arial" w:cs="Arial" w:eastAsia="Arial" w:hAnsi="Arial"/>
                <w:sz w:val="12"/>
                <w:szCs w:val="12"/>
                <w:color w:val="auto"/>
              </w:rPr>
              <w:t>4.0x - 11.0x</w:t>
            </w:r>
          </w:p>
        </w:tc>
        <w:tc>
          <w:tcPr>
            <w:tcW w:w="1260" w:type="dxa"/>
            <w:vAlign w:val="bottom"/>
            <w:gridSpan w:val="2"/>
            <w:shd w:val="clear" w:color="auto" w:fill="CCFFCC"/>
          </w:tcPr>
          <w:p>
            <w:pPr>
              <w:ind w:left="120"/>
              <w:spacing w:after="0" w:line="109" w:lineRule="exact"/>
              <w:rPr>
                <w:sz w:val="20"/>
                <w:szCs w:val="20"/>
                <w:color w:val="auto"/>
              </w:rPr>
            </w:pPr>
            <w:r>
              <w:rPr>
                <w:rFonts w:ascii="Arial" w:cs="Arial" w:eastAsia="Arial" w:hAnsi="Arial"/>
                <w:sz w:val="12"/>
                <w:szCs w:val="12"/>
                <w:color w:val="auto"/>
              </w:rPr>
              <w:t>7.1x</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8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1960" w:type="dxa"/>
            <w:vAlign w:val="bottom"/>
            <w:shd w:val="clear" w:color="auto" w:fill="CCFFCC"/>
          </w:tcPr>
          <w:p>
            <w:pPr>
              <w:spacing w:after="0"/>
              <w:rPr>
                <w:sz w:val="13"/>
                <w:szCs w:val="13"/>
                <w:color w:val="auto"/>
              </w:rPr>
            </w:pPr>
          </w:p>
        </w:tc>
        <w:tc>
          <w:tcPr>
            <w:tcW w:w="1920" w:type="dxa"/>
            <w:vAlign w:val="bottom"/>
            <w:gridSpan w:val="2"/>
            <w:shd w:val="clear" w:color="auto" w:fill="CCFFCC"/>
          </w:tcPr>
          <w:p>
            <w:pPr>
              <w:ind w:left="100"/>
              <w:spacing w:after="0"/>
              <w:rPr>
                <w:sz w:val="20"/>
                <w:szCs w:val="20"/>
                <w:color w:val="auto"/>
              </w:rPr>
            </w:pPr>
            <w:r>
              <w:rPr>
                <w:rFonts w:ascii="Arial" w:cs="Arial" w:eastAsia="Arial" w:hAnsi="Arial"/>
                <w:sz w:val="12"/>
                <w:szCs w:val="12"/>
                <w:color w:val="auto"/>
              </w:rPr>
              <w:t>Adjusted EBITDA</w:t>
            </w:r>
          </w:p>
        </w:tc>
        <w:tc>
          <w:tcPr>
            <w:tcW w:w="1940" w:type="dxa"/>
            <w:vAlign w:val="bottom"/>
            <w:gridSpan w:val="2"/>
            <w:shd w:val="clear" w:color="auto" w:fill="CCFFCC"/>
          </w:tcPr>
          <w:p>
            <w:pPr>
              <w:ind w:left="120"/>
              <w:spacing w:after="0"/>
              <w:rPr>
                <w:sz w:val="20"/>
                <w:szCs w:val="20"/>
                <w:color w:val="auto"/>
              </w:rPr>
            </w:pPr>
            <w:r>
              <w:rPr>
                <w:rFonts w:ascii="Arial" w:cs="Arial" w:eastAsia="Arial" w:hAnsi="Arial"/>
                <w:sz w:val="12"/>
                <w:szCs w:val="12"/>
                <w:color w:val="auto"/>
              </w:rPr>
              <w:t>$0.3 million - $34.3 million</w:t>
            </w:r>
          </w:p>
        </w:tc>
        <w:tc>
          <w:tcPr>
            <w:tcW w:w="1260" w:type="dxa"/>
            <w:vAlign w:val="bottom"/>
            <w:gridSpan w:val="2"/>
            <w:shd w:val="clear" w:color="auto" w:fill="CCFFCC"/>
          </w:tcPr>
          <w:p>
            <w:pPr>
              <w:ind w:left="120"/>
              <w:spacing w:after="0"/>
              <w:rPr>
                <w:sz w:val="20"/>
                <w:szCs w:val="20"/>
                <w:color w:val="auto"/>
              </w:rPr>
            </w:pPr>
            <w:r>
              <w:rPr>
                <w:rFonts w:ascii="Arial" w:cs="Arial" w:eastAsia="Arial" w:hAnsi="Arial"/>
                <w:sz w:val="12"/>
                <w:szCs w:val="12"/>
                <w:color w:val="auto"/>
              </w:rPr>
              <w:t>$14.8 million</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60" w:type="dxa"/>
            <w:vAlign w:val="bottom"/>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19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820" w:type="dxa"/>
            <w:vAlign w:val="bottom"/>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1820" w:type="dxa"/>
            <w:vAlign w:val="bottom"/>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1140" w:type="dxa"/>
            <w:vAlign w:val="bottom"/>
            <w:shd w:val="clear" w:color="auto" w:fill="CCFFCC"/>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6884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50"/>
          </w:cols>
          <w:pgMar w:left="230" w:top="785" w:right="219" w:bottom="1440" w:gutter="0" w:footer="0" w:header="0"/>
        </w:sectPr>
      </w:pPr>
    </w:p>
    <w:bookmarkStart w:id="87" w:name="page88"/>
    <w:bookmarkEnd w:id="87"/>
    <w:p>
      <w:pPr>
        <w:ind w:right="40" w:firstLine="738"/>
        <w:spacing w:after="0" w:line="260" w:lineRule="auto"/>
        <w:rPr>
          <w:sz w:val="20"/>
          <w:szCs w:val="20"/>
          <w:color w:val="auto"/>
        </w:rPr>
      </w:pPr>
      <w:r>
        <w:rPr>
          <w:rFonts w:ascii="Arial" w:cs="Arial" w:eastAsia="Arial" w:hAnsi="Arial"/>
          <w:sz w:val="15"/>
          <w:szCs w:val="15"/>
          <w:color w:val="auto"/>
        </w:rPr>
        <w:t>The significant unobservable inputs used in the valuation of the Company’s debt and equity investments are required rate of return, adjusted EBITDA, EBITDA multiples, leverage and transaction prices. Changes in any of these unobservable inputs could have a significant impact on the Company’s estimate of fair value. An increase (decrease) in required rate of return or leverage will result in a lower (higher) estimate of fair value while an increase (decrease) in adjusted EBITDA, EBITDA multiples, or transaction prices will result in a higher (lower) estimate of fair value.</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Transactions With Affiliated Companies</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3"/>
          <w:szCs w:val="13"/>
          <w:color w:val="auto"/>
        </w:rPr>
        <w:t>During the year ended December 31, 2013, the Company had investments in portfolio companies designated as affiliates under the 1940 Act. Transactions with affiliates were as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Amount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90"/>
              </w:rPr>
              <w:t>Interest, Fees 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89"/>
              </w:rPr>
              <w:t>December</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2"/>
                <w:szCs w:val="12"/>
                <w:b w:val="1"/>
                <w:bCs w:val="1"/>
                <w:color w:val="auto"/>
                <w:w w:val="86"/>
              </w:rPr>
              <w:t>Gross</w:t>
            </w:r>
          </w:p>
        </w:tc>
        <w:tc>
          <w:tcPr>
            <w:tcW w:w="140" w:type="dxa"/>
            <w:vAlign w:val="bottom"/>
          </w:tcPr>
          <w:p>
            <w:pPr>
              <w:spacing w:after="0"/>
              <w:rPr>
                <w:sz w:val="10"/>
                <w:szCs w:val="10"/>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86"/>
              </w:rPr>
              <w:t>Gross</w:t>
            </w:r>
          </w:p>
        </w:tc>
        <w:tc>
          <w:tcPr>
            <w:tcW w:w="160" w:type="dxa"/>
            <w:vAlign w:val="bottom"/>
          </w:tcPr>
          <w:p>
            <w:pPr>
              <w:spacing w:after="0"/>
              <w:rPr>
                <w:sz w:val="10"/>
                <w:szCs w:val="10"/>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89"/>
              </w:rPr>
              <w:t>December</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90"/>
              </w:rPr>
              <w:t>Dividends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1"/>
              </w:rPr>
              <w:t>Credits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80"/>
              <w:spacing w:after="0" w:line="136" w:lineRule="exact"/>
              <w:rPr>
                <w:sz w:val="20"/>
                <w:szCs w:val="20"/>
                <w:color w:val="auto"/>
              </w:rPr>
            </w:pPr>
            <w:r>
              <w:rPr>
                <w:rFonts w:ascii="Arial" w:cs="Arial" w:eastAsia="Arial" w:hAnsi="Arial"/>
                <w:sz w:val="12"/>
                <w:szCs w:val="12"/>
                <w:b w:val="1"/>
                <w:bCs w:val="1"/>
                <w:color w:val="auto"/>
                <w:w w:val="89"/>
              </w:rPr>
              <w:t>31, 2012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380"/>
              <w:spacing w:after="0" w:line="136" w:lineRule="exact"/>
              <w:rPr>
                <w:sz w:val="20"/>
                <w:szCs w:val="20"/>
                <w:color w:val="auto"/>
              </w:rPr>
            </w:pPr>
            <w:r>
              <w:rPr>
                <w:rFonts w:ascii="Arial" w:cs="Arial" w:eastAsia="Arial" w:hAnsi="Arial"/>
                <w:sz w:val="12"/>
                <w:szCs w:val="12"/>
                <w:b w:val="1"/>
                <w:bCs w:val="1"/>
                <w:color w:val="auto"/>
                <w:w w:val="90"/>
              </w:rPr>
              <w:t>Additions</w:t>
            </w:r>
          </w:p>
        </w:tc>
        <w:tc>
          <w:tcPr>
            <w:tcW w:w="140" w:type="dxa"/>
            <w:vAlign w:val="bottom"/>
          </w:tcPr>
          <w:p>
            <w:pPr>
              <w:spacing w:after="0"/>
              <w:rPr>
                <w:sz w:val="11"/>
                <w:szCs w:val="11"/>
                <w:color w:val="auto"/>
              </w:rPr>
            </w:pPr>
          </w:p>
        </w:tc>
        <w:tc>
          <w:tcPr>
            <w:tcW w:w="110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88"/>
              </w:rPr>
              <w:t>Reductions</w:t>
            </w:r>
          </w:p>
        </w:tc>
        <w:tc>
          <w:tcPr>
            <w:tcW w:w="160" w:type="dxa"/>
            <w:vAlign w:val="bottom"/>
          </w:tcPr>
          <w:p>
            <w:pPr>
              <w:spacing w:after="0"/>
              <w:rPr>
                <w:sz w:val="11"/>
                <w:szCs w:val="11"/>
                <w:color w:val="auto"/>
              </w:rPr>
            </w:pPr>
          </w:p>
        </w:tc>
        <w:tc>
          <w:tcPr>
            <w:tcW w:w="860" w:type="dxa"/>
            <w:vAlign w:val="bottom"/>
          </w:tcPr>
          <w:p>
            <w:pPr>
              <w:jc w:val="center"/>
              <w:ind w:right="100"/>
              <w:spacing w:after="0" w:line="136" w:lineRule="exact"/>
              <w:rPr>
                <w:sz w:val="20"/>
                <w:szCs w:val="20"/>
                <w:color w:val="auto"/>
              </w:rPr>
            </w:pPr>
            <w:r>
              <w:rPr>
                <w:rFonts w:ascii="Arial" w:cs="Arial" w:eastAsia="Arial" w:hAnsi="Arial"/>
                <w:sz w:val="12"/>
                <w:szCs w:val="12"/>
                <w:b w:val="1"/>
                <w:bCs w:val="1"/>
                <w:color w:val="auto"/>
                <w:w w:val="89"/>
              </w:rPr>
              <w:t>31, 2013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60" w:type="dxa"/>
            <w:vAlign w:val="bottom"/>
            <w:gridSpan w:val="3"/>
          </w:tcPr>
          <w:p>
            <w:pPr>
              <w:spacing w:after="0"/>
              <w:rPr>
                <w:sz w:val="20"/>
                <w:szCs w:val="20"/>
                <w:color w:val="auto"/>
              </w:rPr>
            </w:pPr>
            <w:r>
              <w:rPr>
                <w:rFonts w:ascii="Arial" w:cs="Arial" w:eastAsia="Arial" w:hAnsi="Arial"/>
                <w:sz w:val="12"/>
                <w:szCs w:val="12"/>
                <w:b w:val="1"/>
                <w:bCs w:val="1"/>
                <w:color w:val="auto"/>
              </w:rPr>
              <w:t>Portfolio Company</w:t>
            </w:r>
          </w:p>
        </w:tc>
        <w:tc>
          <w:tcPr>
            <w:tcW w:w="120" w:type="dxa"/>
            <w:vAlign w:val="bottom"/>
          </w:tcPr>
          <w:p>
            <w:pPr>
              <w:spacing w:after="0"/>
              <w:rPr>
                <w:sz w:val="12"/>
                <w:szCs w:val="12"/>
                <w:color w:val="auto"/>
              </w:rPr>
            </w:pPr>
          </w:p>
        </w:tc>
        <w:tc>
          <w:tcPr>
            <w:tcW w:w="3000" w:type="dxa"/>
            <w:vAlign w:val="bottom"/>
          </w:tcPr>
          <w:p>
            <w:pPr>
              <w:ind w:left="1000"/>
              <w:spacing w:after="0"/>
              <w:rPr>
                <w:sz w:val="20"/>
                <w:szCs w:val="20"/>
                <w:color w:val="auto"/>
              </w:rPr>
            </w:pPr>
            <w:r>
              <w:rPr>
                <w:rFonts w:ascii="Arial" w:cs="Arial" w:eastAsia="Arial" w:hAnsi="Arial"/>
                <w:sz w:val="12"/>
                <w:szCs w:val="12"/>
                <w:b w:val="1"/>
                <w:bCs w:val="1"/>
                <w:color w:val="auto"/>
              </w:rPr>
              <w:t>Type of Investment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to Income(1)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Value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9"/>
              <w:spacing w:after="0"/>
              <w:rPr>
                <w:sz w:val="20"/>
                <w:szCs w:val="20"/>
                <w:color w:val="auto"/>
              </w:rPr>
            </w:pPr>
            <w:r>
              <w:rPr>
                <w:rFonts w:ascii="Arial" w:cs="Arial" w:eastAsia="Arial" w:hAnsi="Arial"/>
                <w:sz w:val="12"/>
                <w:szCs w:val="12"/>
                <w:b w:val="1"/>
                <w:bCs w:val="1"/>
                <w:color w:val="auto"/>
                <w:w w:val="95"/>
              </w:rPr>
              <w:t>(2)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0"/>
              <w:spacing w:after="0"/>
              <w:rPr>
                <w:sz w:val="20"/>
                <w:szCs w:val="20"/>
                <w:color w:val="auto"/>
              </w:rPr>
            </w:pPr>
            <w:r>
              <w:rPr>
                <w:rFonts w:ascii="Arial" w:cs="Arial" w:eastAsia="Arial" w:hAnsi="Arial"/>
                <w:sz w:val="12"/>
                <w:szCs w:val="12"/>
                <w:b w:val="1"/>
                <w:bCs w:val="1"/>
                <w:color w:val="auto"/>
                <w:w w:val="95"/>
              </w:rPr>
              <w:t>(3)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Value</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2040" w:type="dxa"/>
            <w:vAlign w:val="bottom"/>
            <w:gridSpan w:val="2"/>
            <w:shd w:val="clear" w:color="auto" w:fill="CCFFCC"/>
          </w:tcPr>
          <w:p>
            <w:pPr>
              <w:spacing w:after="0" w:line="113" w:lineRule="exact"/>
              <w:rPr>
                <w:sz w:val="20"/>
                <w:szCs w:val="20"/>
                <w:color w:val="auto"/>
              </w:rPr>
            </w:pPr>
            <w:r>
              <w:rPr>
                <w:rFonts w:ascii="Arial" w:cs="Arial" w:eastAsia="Arial" w:hAnsi="Arial"/>
                <w:sz w:val="12"/>
                <w:szCs w:val="12"/>
                <w:b w:val="1"/>
                <w:bCs w:val="1"/>
                <w:i w:val="1"/>
                <w:iCs w:val="1"/>
                <w:color w:val="auto"/>
              </w:rPr>
              <w:t>Control investments:</w:t>
            </w:r>
          </w:p>
        </w:tc>
        <w:tc>
          <w:tcPr>
            <w:tcW w:w="120" w:type="dxa"/>
            <w:vAlign w:val="bottom"/>
            <w:shd w:val="clear" w:color="auto" w:fill="CCFFCC"/>
          </w:tcPr>
          <w:p>
            <w:pPr>
              <w:spacing w:after="0"/>
              <w:rPr>
                <w:sz w:val="9"/>
                <w:szCs w:val="9"/>
                <w:color w:val="auto"/>
              </w:rPr>
            </w:pPr>
          </w:p>
        </w:tc>
        <w:tc>
          <w:tcPr>
            <w:tcW w:w="30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8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8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4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300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96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88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860" w:type="dxa"/>
            <w:vAlign w:val="bottom"/>
            <w:tcBorders>
              <w:top w:val="single" w:sz="8" w:color="CCFFCC"/>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880" w:type="dxa"/>
            <w:vAlign w:val="bottom"/>
            <w:tcBorders>
              <w:top w:val="single" w:sz="8" w:color="CCFFCC"/>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86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Best In Class</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Subordinated Debt (12.5% Cash)</w:t>
            </w:r>
          </w:p>
        </w:tc>
        <w:tc>
          <w:tcPr>
            <w:tcW w:w="200" w:type="dxa"/>
            <w:vAlign w:val="bottom"/>
            <w:gridSpan w:val="2"/>
            <w:shd w:val="clear" w:color="auto" w:fill="CCFFCC"/>
          </w:tcPr>
          <w:p>
            <w:pPr>
              <w:jc w:val="right"/>
              <w:ind w:right="20"/>
              <w:spacing w:after="0" w:line="125" w:lineRule="exact"/>
              <w:rPr>
                <w:sz w:val="20"/>
                <w:szCs w:val="20"/>
                <w:color w:val="auto"/>
              </w:rPr>
            </w:pPr>
            <w:r>
              <w:rPr>
                <w:rFonts w:ascii="Arial" w:cs="Arial" w:eastAsia="Arial" w:hAnsi="Arial"/>
                <w:sz w:val="12"/>
                <w:szCs w:val="12"/>
                <w:color w:val="auto"/>
              </w:rPr>
              <w:t>$</w:t>
            </w: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85</w:t>
            </w:r>
          </w:p>
        </w:tc>
        <w:tc>
          <w:tcPr>
            <w:tcW w:w="260" w:type="dxa"/>
            <w:vAlign w:val="bottom"/>
            <w:gridSpan w:val="2"/>
            <w:shd w:val="clear" w:color="auto" w:fill="CCFFCC"/>
          </w:tcPr>
          <w:p>
            <w:pPr>
              <w:jc w:val="right"/>
              <w:ind w:right="80"/>
              <w:spacing w:after="0" w:line="125" w:lineRule="exact"/>
              <w:rPr>
                <w:sz w:val="20"/>
                <w:szCs w:val="20"/>
                <w:color w:val="auto"/>
              </w:rPr>
            </w:pPr>
            <w:r>
              <w:rPr>
                <w:rFonts w:ascii="Arial" w:cs="Arial" w:eastAsia="Arial" w:hAnsi="Arial"/>
                <w:sz w:val="12"/>
                <w:szCs w:val="12"/>
                <w:color w:val="auto"/>
              </w:rPr>
              <w:t>$</w:t>
            </w:r>
          </w:p>
        </w:tc>
        <w:tc>
          <w:tcPr>
            <w:tcW w:w="880" w:type="dxa"/>
            <w:vAlign w:val="bottom"/>
            <w:shd w:val="clear" w:color="auto" w:fill="CCFFCC"/>
          </w:tcPr>
          <w:p>
            <w:pPr>
              <w:jc w:val="right"/>
              <w:spacing w:after="0" w:line="125" w:lineRule="exact"/>
              <w:rPr>
                <w:sz w:val="20"/>
                <w:szCs w:val="20"/>
                <w:color w:val="auto"/>
              </w:rPr>
            </w:pPr>
            <w:r>
              <w:rPr>
                <w:rFonts w:ascii="Arial" w:cs="Arial" w:eastAsia="Arial" w:hAnsi="Arial"/>
                <w:sz w:val="12"/>
                <w:szCs w:val="12"/>
                <w:color w:val="auto"/>
              </w:rPr>
              <w:t>728</w:t>
            </w:r>
          </w:p>
        </w:tc>
        <w:tc>
          <w:tcPr>
            <w:tcW w:w="100" w:type="dxa"/>
            <w:vAlign w:val="bottom"/>
            <w:shd w:val="clear" w:color="auto" w:fill="CCFFCC"/>
          </w:tcPr>
          <w:p>
            <w:pPr>
              <w:spacing w:after="0"/>
              <w:rPr>
                <w:sz w:val="10"/>
                <w:szCs w:val="10"/>
                <w:color w:val="auto"/>
              </w:rPr>
            </w:pPr>
          </w:p>
        </w:tc>
        <w:tc>
          <w:tcPr>
            <w:tcW w:w="2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685</w:t>
            </w:r>
          </w:p>
        </w:tc>
        <w:tc>
          <w:tcPr>
            <w:tcW w:w="140" w:type="dxa"/>
            <w:vAlign w:val="bottom"/>
            <w:shd w:val="clear" w:color="auto" w:fill="CCFFCC"/>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(1,413)</w:t>
            </w:r>
          </w:p>
        </w:tc>
        <w:tc>
          <w:tcPr>
            <w:tcW w:w="160" w:type="dxa"/>
            <w:vAlign w:val="bottom"/>
            <w:shd w:val="clear" w:color="auto" w:fill="CCFFCC"/>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Best In Class</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Class A Preferred Units (89 units)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23</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jc w:val="right"/>
              <w:spacing w:after="0" w:line="125" w:lineRule="exact"/>
              <w:rPr>
                <w:sz w:val="20"/>
                <w:szCs w:val="20"/>
                <w:color w:val="auto"/>
              </w:rPr>
            </w:pPr>
            <w:r>
              <w:rPr>
                <w:rFonts w:ascii="Arial" w:cs="Arial" w:eastAsia="Arial" w:hAnsi="Arial"/>
                <w:sz w:val="12"/>
                <w:szCs w:val="12"/>
                <w:color w:val="auto"/>
              </w:rPr>
              <w:t>381</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354</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(735)</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Best In Class</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Class B Preferred Units (45 units)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jc w:val="right"/>
              <w:spacing w:after="0" w:line="125" w:lineRule="exact"/>
              <w:rPr>
                <w:sz w:val="20"/>
                <w:szCs w:val="20"/>
                <w:color w:val="auto"/>
              </w:rPr>
            </w:pPr>
            <w:r>
              <w:rPr>
                <w:rFonts w:ascii="Arial" w:cs="Arial" w:eastAsia="Arial" w:hAnsi="Arial"/>
                <w:sz w:val="12"/>
                <w:szCs w:val="12"/>
                <w:color w:val="auto"/>
              </w:rPr>
              <w:t>56</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49</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(105)</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tcBorders>
              <w:bottom w:val="single" w:sz="8" w:color="CCFFCC"/>
            </w:tcBorders>
          </w:tcPr>
          <w:p>
            <w:pPr>
              <w:spacing w:after="0"/>
              <w:rPr>
                <w:sz w:val="11"/>
                <w:szCs w:val="11"/>
                <w:color w:val="auto"/>
              </w:rPr>
            </w:pPr>
          </w:p>
        </w:tc>
        <w:tc>
          <w:tcPr>
            <w:tcW w:w="1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tcBorders>
              <w:bottom w:val="single" w:sz="8" w:color="auto"/>
            </w:tcBorders>
            <w:shd w:val="clear" w:color="auto" w:fill="CCFFCC"/>
          </w:tcPr>
          <w:p>
            <w:pPr>
              <w:spacing w:after="0"/>
              <w:rPr>
                <w:sz w:val="10"/>
                <w:szCs w:val="10"/>
                <w:color w:val="auto"/>
              </w:rPr>
            </w:pPr>
          </w:p>
        </w:tc>
        <w:tc>
          <w:tcPr>
            <w:tcW w:w="9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108</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1,165</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1,088</w:t>
            </w:r>
          </w:p>
        </w:tc>
        <w:tc>
          <w:tcPr>
            <w:tcW w:w="2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(2,253</w:t>
            </w:r>
          </w:p>
        </w:tc>
        <w:tc>
          <w:tcPr>
            <w:tcW w:w="220" w:type="dxa"/>
            <w:vAlign w:val="bottom"/>
            <w:shd w:val="clear" w:color="auto" w:fill="CCFFCC"/>
          </w:tcPr>
          <w:p>
            <w:pPr>
              <w:jc w:val="right"/>
              <w:ind w:right="140"/>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CableOrganizer Acquisition, LLC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Senior Secured Debt (12% Cash, 4% PIK)</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481</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6,585</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6,585</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CableOrganizer Acquisition, LLC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Common Stock (1,125,000 shares)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1,125</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(1,037)</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tcBorders>
              <w:bottom w:val="single" w:sz="8" w:color="CCFFCC"/>
            </w:tcBorders>
          </w:tcPr>
          <w:p>
            <w:pPr>
              <w:spacing w:after="0"/>
              <w:rPr>
                <w:sz w:val="11"/>
                <w:szCs w:val="11"/>
                <w:color w:val="auto"/>
              </w:rPr>
            </w:pPr>
          </w:p>
        </w:tc>
        <w:tc>
          <w:tcPr>
            <w:tcW w:w="1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tcBorders>
              <w:bottom w:val="single" w:sz="8" w:color="auto"/>
            </w:tcBorders>
            <w:shd w:val="clear" w:color="auto" w:fill="CCFFCC"/>
          </w:tcPr>
          <w:p>
            <w:pPr>
              <w:spacing w:after="0"/>
              <w:rPr>
                <w:sz w:val="10"/>
                <w:szCs w:val="10"/>
                <w:color w:val="auto"/>
              </w:rPr>
            </w:pPr>
          </w:p>
        </w:tc>
        <w:tc>
          <w:tcPr>
            <w:tcW w:w="9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481</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7,710</w:t>
            </w:r>
          </w:p>
        </w:tc>
        <w:tc>
          <w:tcPr>
            <w:tcW w:w="2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(1,037</w:t>
            </w:r>
          </w:p>
        </w:tc>
        <w:tc>
          <w:tcPr>
            <w:tcW w:w="220" w:type="dxa"/>
            <w:vAlign w:val="bottom"/>
            <w:shd w:val="clear" w:color="auto" w:fill="CCFFCC"/>
          </w:tcPr>
          <w:p>
            <w:pPr>
              <w:jc w:val="right"/>
              <w:ind w:right="140"/>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6,673</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KBP Investments, LLC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Class A Preferred Stock (8,270 shares, 10% Dividend)</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622</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8,269</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8,269</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KBP Investments, LLC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Class A Common Stock (380,413 shares)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4,321</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21,680</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(5,162)</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16,518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tcBorders>
              <w:bottom w:val="single" w:sz="8" w:color="CCFFCC"/>
            </w:tcBorders>
          </w:tcPr>
          <w:p>
            <w:pPr>
              <w:spacing w:after="0"/>
              <w:rPr>
                <w:sz w:val="11"/>
                <w:szCs w:val="11"/>
                <w:color w:val="auto"/>
              </w:rPr>
            </w:pPr>
          </w:p>
        </w:tc>
        <w:tc>
          <w:tcPr>
            <w:tcW w:w="1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tcBorders>
              <w:bottom w:val="single" w:sz="8" w:color="auto"/>
            </w:tcBorders>
            <w:shd w:val="clear" w:color="auto" w:fill="CCFFCC"/>
          </w:tcPr>
          <w:p>
            <w:pPr>
              <w:spacing w:after="0"/>
              <w:rPr>
                <w:sz w:val="10"/>
                <w:szCs w:val="10"/>
                <w:color w:val="auto"/>
              </w:rPr>
            </w:pPr>
          </w:p>
        </w:tc>
        <w:tc>
          <w:tcPr>
            <w:tcW w:w="9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4,943</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29,949</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(5,162</w:t>
            </w:r>
          </w:p>
        </w:tc>
        <w:tc>
          <w:tcPr>
            <w:tcW w:w="220" w:type="dxa"/>
            <w:vAlign w:val="bottom"/>
            <w:shd w:val="clear" w:color="auto" w:fill="CCFFCC"/>
          </w:tcPr>
          <w:p>
            <w:pPr>
              <w:jc w:val="right"/>
              <w:ind w:right="140"/>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24,787</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Market E, LLC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Senior Secured Debt (10% Cash)</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8</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650</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650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Market E, LLC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Senior Subordinated Debt (14% Cash, 3% PIK)</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99</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1,178</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1,813</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(2,003)</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988</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Market E, LLC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Class A Preferred Stock (600 shares)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Market E, LLC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Class B Preferred Stock (2,411 shares)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jc w:val="right"/>
              <w:spacing w:after="0" w:line="125" w:lineRule="exact"/>
              <w:rPr>
                <w:sz w:val="20"/>
                <w:szCs w:val="20"/>
                <w:color w:val="auto"/>
              </w:rPr>
            </w:pPr>
            <w:r>
              <w:rPr>
                <w:rFonts w:ascii="Arial" w:cs="Arial" w:eastAsia="Arial" w:hAnsi="Arial"/>
                <w:sz w:val="12"/>
                <w:szCs w:val="12"/>
                <w:color w:val="auto"/>
              </w:rPr>
              <w:t>243</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(243)</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Market E, LLC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Class A Common Stock (600 shares)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tcBorders>
              <w:bottom w:val="single" w:sz="8" w:color="CCFFCC"/>
            </w:tcBorders>
          </w:tcPr>
          <w:p>
            <w:pPr>
              <w:spacing w:after="0"/>
              <w:rPr>
                <w:sz w:val="11"/>
                <w:szCs w:val="11"/>
                <w:color w:val="auto"/>
              </w:rPr>
            </w:pPr>
          </w:p>
        </w:tc>
        <w:tc>
          <w:tcPr>
            <w:tcW w:w="1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tcBorders>
              <w:bottom w:val="single" w:sz="8" w:color="auto"/>
            </w:tcBorders>
            <w:shd w:val="clear" w:color="auto" w:fill="CCFFCC"/>
          </w:tcPr>
          <w:p>
            <w:pPr>
              <w:spacing w:after="0"/>
              <w:rPr>
                <w:sz w:val="10"/>
                <w:szCs w:val="10"/>
                <w:color w:val="auto"/>
              </w:rPr>
            </w:pPr>
          </w:p>
        </w:tc>
        <w:tc>
          <w:tcPr>
            <w:tcW w:w="9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107</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1,421</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2,463</w:t>
            </w:r>
          </w:p>
        </w:tc>
        <w:tc>
          <w:tcPr>
            <w:tcW w:w="2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(2,246</w:t>
            </w:r>
          </w:p>
        </w:tc>
        <w:tc>
          <w:tcPr>
            <w:tcW w:w="220" w:type="dxa"/>
            <w:vAlign w:val="bottom"/>
            <w:shd w:val="clear" w:color="auto" w:fill="CCFFCC"/>
          </w:tcPr>
          <w:p>
            <w:pPr>
              <w:jc w:val="right"/>
              <w:ind w:right="140"/>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1,638</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Micro Precision, LLC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Subordinated Debt (10% Cash)</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187</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1,862</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1,862</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Micro Precision, LLC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Subordinated Debt (14% Cash, 4% PIK)</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455</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3,427</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130</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3,557</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Micro Precision, LLC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Common Stock (47 units)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3,276</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(1,066)</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2,210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tcBorders>
              <w:bottom w:val="single" w:sz="8" w:color="CCFFCC"/>
            </w:tcBorders>
          </w:tcPr>
          <w:p>
            <w:pPr>
              <w:spacing w:after="0"/>
              <w:rPr>
                <w:sz w:val="11"/>
                <w:szCs w:val="11"/>
                <w:color w:val="auto"/>
              </w:rPr>
            </w:pPr>
          </w:p>
        </w:tc>
        <w:tc>
          <w:tcPr>
            <w:tcW w:w="1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tcBorders>
              <w:bottom w:val="single" w:sz="8" w:color="auto"/>
            </w:tcBorders>
            <w:shd w:val="clear" w:color="auto" w:fill="CCFFCC"/>
          </w:tcPr>
          <w:p>
            <w:pPr>
              <w:spacing w:after="0"/>
              <w:rPr>
                <w:sz w:val="10"/>
                <w:szCs w:val="10"/>
                <w:color w:val="auto"/>
              </w:rPr>
            </w:pPr>
          </w:p>
        </w:tc>
        <w:tc>
          <w:tcPr>
            <w:tcW w:w="9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642</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8,565</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130</w:t>
            </w:r>
          </w:p>
        </w:tc>
        <w:tc>
          <w:tcPr>
            <w:tcW w:w="2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(1,066</w:t>
            </w:r>
          </w:p>
        </w:tc>
        <w:tc>
          <w:tcPr>
            <w:tcW w:w="220" w:type="dxa"/>
            <w:vAlign w:val="bottom"/>
            <w:shd w:val="clear" w:color="auto" w:fill="CCFFCC"/>
          </w:tcPr>
          <w:p>
            <w:pPr>
              <w:jc w:val="right"/>
              <w:ind w:right="140"/>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7,629</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Navis Holdings, Inc.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w w:val="97"/>
              </w:rPr>
              <w:t>Senior Secured Term (17%, 3% PIK at company's option)</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999</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6,602</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151</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6,753</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Navis Holdings, Inc.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Class A Preferred Stock (1,000 shares)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1,101</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99</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Navis Holdings, Inc.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Common Stock (300,000 shares)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jc w:val="right"/>
              <w:spacing w:after="0" w:line="125" w:lineRule="exact"/>
              <w:rPr>
                <w:sz w:val="20"/>
                <w:szCs w:val="20"/>
                <w:color w:val="auto"/>
              </w:rPr>
            </w:pPr>
            <w:r>
              <w:rPr>
                <w:rFonts w:ascii="Arial" w:cs="Arial" w:eastAsia="Arial" w:hAnsi="Arial"/>
                <w:sz w:val="12"/>
                <w:szCs w:val="12"/>
                <w:color w:val="auto"/>
              </w:rPr>
              <w:t>731</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348</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1,079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tcBorders>
              <w:bottom w:val="single" w:sz="8" w:color="CCFFCC"/>
            </w:tcBorders>
          </w:tcPr>
          <w:p>
            <w:pPr>
              <w:spacing w:after="0"/>
              <w:rPr>
                <w:sz w:val="11"/>
                <w:szCs w:val="11"/>
                <w:color w:val="auto"/>
              </w:rPr>
            </w:pPr>
          </w:p>
        </w:tc>
        <w:tc>
          <w:tcPr>
            <w:tcW w:w="1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tcBorders>
              <w:bottom w:val="single" w:sz="8" w:color="auto"/>
            </w:tcBorders>
            <w:shd w:val="clear" w:color="auto" w:fill="CCFFCC"/>
          </w:tcPr>
          <w:p>
            <w:pPr>
              <w:spacing w:after="0"/>
              <w:rPr>
                <w:sz w:val="10"/>
                <w:szCs w:val="10"/>
                <w:color w:val="auto"/>
              </w:rPr>
            </w:pPr>
          </w:p>
        </w:tc>
        <w:tc>
          <w:tcPr>
            <w:tcW w:w="9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999</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8,434</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598</w:t>
            </w:r>
          </w:p>
        </w:tc>
        <w:tc>
          <w:tcPr>
            <w:tcW w:w="2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9,032</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On-Site Fuel Services, Inc.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Subordinated Debt (14% Cash, 4% PIK)</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673</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4,656</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192</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4,848</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On-Site Fuel Services, Inc.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Series A Preferred Stock (32,782 shares)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2,309</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410</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2,719</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On-Site Fuel Services, Inc.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Series B Preferred Stock (23,648 shares)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214</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jc w:val="right"/>
              <w:spacing w:after="0" w:line="125" w:lineRule="exact"/>
              <w:rPr>
                <w:sz w:val="20"/>
                <w:szCs w:val="20"/>
                <w:color w:val="auto"/>
              </w:rPr>
            </w:pPr>
            <w:r>
              <w:rPr>
                <w:rFonts w:ascii="Arial" w:cs="Arial" w:eastAsia="Arial" w:hAnsi="Arial"/>
                <w:sz w:val="12"/>
                <w:szCs w:val="12"/>
                <w:color w:val="auto"/>
              </w:rPr>
              <w:t>587</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2,120</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2,707</w:t>
            </w:r>
          </w:p>
        </w:tc>
        <w:tc>
          <w:tcPr>
            <w:tcW w:w="0" w:type="dxa"/>
            <w:vAlign w:val="bottom"/>
          </w:tcPr>
          <w:p>
            <w:pPr>
              <w:spacing w:after="0"/>
              <w:rPr>
                <w:sz w:val="1"/>
                <w:szCs w:val="1"/>
                <w:color w:val="auto"/>
              </w:rPr>
            </w:pPr>
          </w:p>
        </w:tc>
      </w:tr>
      <w:tr>
        <w:trPr>
          <w:trHeight w:val="124"/>
        </w:trPr>
        <w:tc>
          <w:tcPr>
            <w:tcW w:w="1020" w:type="dxa"/>
            <w:vAlign w:val="bottom"/>
            <w:gridSpan w:val="2"/>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4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On-Site Fuel Services, Inc.</w:t>
            </w:r>
          </w:p>
        </w:tc>
        <w:tc>
          <w:tcPr>
            <w:tcW w:w="3120" w:type="dxa"/>
            <w:vAlign w:val="bottom"/>
            <w:gridSpan w:val="2"/>
            <w:shd w:val="clear" w:color="auto" w:fill="CCFFCC"/>
          </w:tcPr>
          <w:p>
            <w:pPr>
              <w:ind w:left="120"/>
              <w:spacing w:after="0"/>
              <w:rPr>
                <w:sz w:val="20"/>
                <w:szCs w:val="20"/>
                <w:color w:val="auto"/>
              </w:rPr>
            </w:pPr>
            <w:r>
              <w:rPr>
                <w:rFonts w:ascii="Arial" w:cs="Arial" w:eastAsia="Arial" w:hAnsi="Arial"/>
                <w:sz w:val="12"/>
                <w:szCs w:val="12"/>
                <w:color w:val="auto"/>
              </w:rPr>
              <w:t>Common Stock (33,107 shares)</w:t>
            </w:r>
          </w:p>
        </w:tc>
        <w:tc>
          <w:tcPr>
            <w:tcW w:w="12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1,492</w:t>
            </w:r>
          </w:p>
        </w:tc>
        <w:tc>
          <w:tcPr>
            <w:tcW w:w="1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(1,492)</w:t>
            </w:r>
          </w:p>
        </w:tc>
        <w:tc>
          <w:tcPr>
            <w:tcW w:w="160" w:type="dxa"/>
            <w:vAlign w:val="bottom"/>
            <w:shd w:val="clear" w:color="auto" w:fill="CCFFCC"/>
          </w:tcPr>
          <w:p>
            <w:pPr>
              <w:spacing w:after="0"/>
              <w:rPr>
                <w:sz w:val="15"/>
                <w:szCs w:val="15"/>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tcBorders>
              <w:bottom w:val="single" w:sz="8" w:color="CCFFCC"/>
            </w:tcBorders>
          </w:tcPr>
          <w:p>
            <w:pPr>
              <w:spacing w:after="0"/>
              <w:rPr>
                <w:sz w:val="11"/>
                <w:szCs w:val="11"/>
                <w:color w:val="auto"/>
              </w:rPr>
            </w:pPr>
          </w:p>
        </w:tc>
        <w:tc>
          <w:tcPr>
            <w:tcW w:w="1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tcBorders>
              <w:bottom w:val="single" w:sz="8" w:color="auto"/>
            </w:tcBorders>
            <w:shd w:val="clear" w:color="auto" w:fill="CCFFCC"/>
          </w:tcPr>
          <w:p>
            <w:pPr>
              <w:spacing w:after="0"/>
              <w:rPr>
                <w:sz w:val="10"/>
                <w:szCs w:val="10"/>
                <w:color w:val="auto"/>
              </w:rPr>
            </w:pPr>
          </w:p>
        </w:tc>
        <w:tc>
          <w:tcPr>
            <w:tcW w:w="9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887</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9,044</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2,722</w:t>
            </w:r>
          </w:p>
        </w:tc>
        <w:tc>
          <w:tcPr>
            <w:tcW w:w="2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(1,492</w:t>
            </w:r>
          </w:p>
        </w:tc>
        <w:tc>
          <w:tcPr>
            <w:tcW w:w="220" w:type="dxa"/>
            <w:vAlign w:val="bottom"/>
            <w:shd w:val="clear" w:color="auto" w:fill="CCFFCC"/>
          </w:tcPr>
          <w:p>
            <w:pPr>
              <w:jc w:val="right"/>
              <w:ind w:right="140"/>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10,274</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color w:val="auto"/>
              </w:rPr>
              <w:t>F-19</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85" w:right="21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Amount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90"/>
              </w:rPr>
              <w:t>Interest, Fees 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89"/>
              </w:rPr>
              <w:t>December</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2"/>
                <w:szCs w:val="12"/>
                <w:b w:val="1"/>
                <w:bCs w:val="1"/>
                <w:color w:val="auto"/>
                <w:w w:val="86"/>
              </w:rPr>
              <w:t>Gross</w:t>
            </w:r>
          </w:p>
        </w:tc>
        <w:tc>
          <w:tcPr>
            <w:tcW w:w="140" w:type="dxa"/>
            <w:vAlign w:val="bottom"/>
          </w:tcPr>
          <w:p>
            <w:pPr>
              <w:spacing w:after="0"/>
              <w:rPr>
                <w:sz w:val="10"/>
                <w:szCs w:val="10"/>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86"/>
              </w:rPr>
              <w:t>Gross</w:t>
            </w:r>
          </w:p>
        </w:tc>
        <w:tc>
          <w:tcPr>
            <w:tcW w:w="160" w:type="dxa"/>
            <w:vAlign w:val="bottom"/>
          </w:tcPr>
          <w:p>
            <w:pPr>
              <w:spacing w:after="0"/>
              <w:rPr>
                <w:sz w:val="10"/>
                <w:szCs w:val="10"/>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89"/>
              </w:rPr>
              <w:t>December</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90"/>
              </w:rPr>
              <w:t>Dividends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1"/>
              </w:rPr>
              <w:t>Credits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80"/>
              <w:spacing w:after="0" w:line="136" w:lineRule="exact"/>
              <w:rPr>
                <w:sz w:val="20"/>
                <w:szCs w:val="20"/>
                <w:color w:val="auto"/>
              </w:rPr>
            </w:pPr>
            <w:r>
              <w:rPr>
                <w:rFonts w:ascii="Arial" w:cs="Arial" w:eastAsia="Arial" w:hAnsi="Arial"/>
                <w:sz w:val="12"/>
                <w:szCs w:val="12"/>
                <w:b w:val="1"/>
                <w:bCs w:val="1"/>
                <w:color w:val="auto"/>
                <w:w w:val="89"/>
              </w:rPr>
              <w:t>31, 2012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380"/>
              <w:spacing w:after="0" w:line="136" w:lineRule="exact"/>
              <w:rPr>
                <w:sz w:val="20"/>
                <w:szCs w:val="20"/>
                <w:color w:val="auto"/>
              </w:rPr>
            </w:pPr>
            <w:r>
              <w:rPr>
                <w:rFonts w:ascii="Arial" w:cs="Arial" w:eastAsia="Arial" w:hAnsi="Arial"/>
                <w:sz w:val="12"/>
                <w:szCs w:val="12"/>
                <w:b w:val="1"/>
                <w:bCs w:val="1"/>
                <w:color w:val="auto"/>
                <w:w w:val="90"/>
              </w:rPr>
              <w:t>Additions</w:t>
            </w:r>
          </w:p>
        </w:tc>
        <w:tc>
          <w:tcPr>
            <w:tcW w:w="140" w:type="dxa"/>
            <w:vAlign w:val="bottom"/>
          </w:tcPr>
          <w:p>
            <w:pPr>
              <w:spacing w:after="0"/>
              <w:rPr>
                <w:sz w:val="11"/>
                <w:szCs w:val="11"/>
                <w:color w:val="auto"/>
              </w:rPr>
            </w:pPr>
          </w:p>
        </w:tc>
        <w:tc>
          <w:tcPr>
            <w:tcW w:w="110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88"/>
              </w:rPr>
              <w:t>Reductions</w:t>
            </w:r>
          </w:p>
        </w:tc>
        <w:tc>
          <w:tcPr>
            <w:tcW w:w="160" w:type="dxa"/>
            <w:vAlign w:val="bottom"/>
          </w:tcPr>
          <w:p>
            <w:pPr>
              <w:spacing w:after="0"/>
              <w:rPr>
                <w:sz w:val="11"/>
                <w:szCs w:val="11"/>
                <w:color w:val="auto"/>
              </w:rPr>
            </w:pPr>
          </w:p>
        </w:tc>
        <w:tc>
          <w:tcPr>
            <w:tcW w:w="860" w:type="dxa"/>
            <w:vAlign w:val="bottom"/>
          </w:tcPr>
          <w:p>
            <w:pPr>
              <w:jc w:val="center"/>
              <w:ind w:right="100"/>
              <w:spacing w:after="0" w:line="136" w:lineRule="exact"/>
              <w:rPr>
                <w:sz w:val="20"/>
                <w:szCs w:val="20"/>
                <w:color w:val="auto"/>
              </w:rPr>
            </w:pPr>
            <w:r>
              <w:rPr>
                <w:rFonts w:ascii="Arial" w:cs="Arial" w:eastAsia="Arial" w:hAnsi="Arial"/>
                <w:sz w:val="12"/>
                <w:szCs w:val="12"/>
                <w:b w:val="1"/>
                <w:bCs w:val="1"/>
                <w:color w:val="auto"/>
                <w:w w:val="89"/>
              </w:rPr>
              <w:t>31, 2013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60" w:type="dxa"/>
            <w:vAlign w:val="bottom"/>
            <w:gridSpan w:val="3"/>
          </w:tcPr>
          <w:p>
            <w:pPr>
              <w:spacing w:after="0"/>
              <w:rPr>
                <w:sz w:val="20"/>
                <w:szCs w:val="20"/>
                <w:color w:val="auto"/>
              </w:rPr>
            </w:pPr>
            <w:r>
              <w:rPr>
                <w:rFonts w:ascii="Arial" w:cs="Arial" w:eastAsia="Arial" w:hAnsi="Arial"/>
                <w:sz w:val="12"/>
                <w:szCs w:val="12"/>
                <w:b w:val="1"/>
                <w:bCs w:val="1"/>
                <w:color w:val="auto"/>
              </w:rPr>
              <w:t>Portfolio Company</w:t>
            </w:r>
          </w:p>
        </w:tc>
        <w:tc>
          <w:tcPr>
            <w:tcW w:w="120" w:type="dxa"/>
            <w:vAlign w:val="bottom"/>
          </w:tcPr>
          <w:p>
            <w:pPr>
              <w:spacing w:after="0"/>
              <w:rPr>
                <w:sz w:val="12"/>
                <w:szCs w:val="12"/>
                <w:color w:val="auto"/>
              </w:rPr>
            </w:pPr>
          </w:p>
        </w:tc>
        <w:tc>
          <w:tcPr>
            <w:tcW w:w="3000" w:type="dxa"/>
            <w:vAlign w:val="bottom"/>
          </w:tcPr>
          <w:p>
            <w:pPr>
              <w:ind w:left="1000"/>
              <w:spacing w:after="0"/>
              <w:rPr>
                <w:sz w:val="20"/>
                <w:szCs w:val="20"/>
                <w:color w:val="auto"/>
              </w:rPr>
            </w:pPr>
            <w:r>
              <w:rPr>
                <w:rFonts w:ascii="Arial" w:cs="Arial" w:eastAsia="Arial" w:hAnsi="Arial"/>
                <w:sz w:val="12"/>
                <w:szCs w:val="12"/>
                <w:b w:val="1"/>
                <w:bCs w:val="1"/>
                <w:color w:val="auto"/>
              </w:rPr>
              <w:t>Type of Investment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to Income(1)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Value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00"/>
              <w:spacing w:after="0"/>
              <w:rPr>
                <w:sz w:val="20"/>
                <w:szCs w:val="20"/>
                <w:color w:val="auto"/>
              </w:rPr>
            </w:pPr>
            <w:r>
              <w:rPr>
                <w:rFonts w:ascii="Arial" w:cs="Arial" w:eastAsia="Arial" w:hAnsi="Arial"/>
                <w:sz w:val="12"/>
                <w:szCs w:val="12"/>
                <w:b w:val="1"/>
                <w:bCs w:val="1"/>
                <w:color w:val="auto"/>
                <w:w w:val="95"/>
              </w:rPr>
              <w:t>(2)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0"/>
              <w:spacing w:after="0"/>
              <w:rPr>
                <w:sz w:val="20"/>
                <w:szCs w:val="20"/>
                <w:color w:val="auto"/>
              </w:rPr>
            </w:pPr>
            <w:r>
              <w:rPr>
                <w:rFonts w:ascii="Arial" w:cs="Arial" w:eastAsia="Arial" w:hAnsi="Arial"/>
                <w:sz w:val="12"/>
                <w:szCs w:val="12"/>
                <w:b w:val="1"/>
                <w:bCs w:val="1"/>
                <w:color w:val="auto"/>
                <w:w w:val="95"/>
              </w:rPr>
              <w:t>(3)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Value</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Print Direction, Inc.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Subordinated Debt (12% Cash, 6% PIK)</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432</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3,313</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1,111</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4,424</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Print Direction, Inc.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Subordinated Debt (14% Cash)</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286</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4,600</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4,600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Print Direction, Inc.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Subordinated Debt (7.75% Cash)</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23</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jc w:val="right"/>
              <w:spacing w:after="0" w:line="125" w:lineRule="exact"/>
              <w:rPr>
                <w:sz w:val="20"/>
                <w:szCs w:val="20"/>
                <w:color w:val="auto"/>
              </w:rPr>
            </w:pPr>
            <w:r>
              <w:rPr>
                <w:rFonts w:ascii="Arial" w:cs="Arial" w:eastAsia="Arial" w:hAnsi="Arial"/>
                <w:sz w:val="12"/>
                <w:szCs w:val="12"/>
                <w:color w:val="auto"/>
              </w:rPr>
              <w:t>454</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(454)</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Print Direction, Inc.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Common Stock (19,363 shares)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1,837</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4,418</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2,692</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7,110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Print Direction, Inc.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Common Stock Warrants (3% fully diluted)</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314</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314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tcBorders>
              <w:bottom w:val="single" w:sz="8" w:color="CCFFCC"/>
            </w:tcBorders>
          </w:tcPr>
          <w:p>
            <w:pPr>
              <w:spacing w:after="0"/>
              <w:rPr>
                <w:sz w:val="11"/>
                <w:szCs w:val="11"/>
                <w:color w:val="auto"/>
              </w:rPr>
            </w:pPr>
          </w:p>
        </w:tc>
        <w:tc>
          <w:tcPr>
            <w:tcW w:w="102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tcBorders>
              <w:bottom w:val="single" w:sz="8" w:color="auto"/>
            </w:tcBorders>
            <w:shd w:val="clear" w:color="auto" w:fill="CCFFCC"/>
          </w:tcPr>
          <w:p>
            <w:pPr>
              <w:spacing w:after="0"/>
              <w:rPr>
                <w:sz w:val="10"/>
                <w:szCs w:val="10"/>
                <w:color w:val="auto"/>
              </w:rPr>
            </w:pPr>
          </w:p>
        </w:tc>
        <w:tc>
          <w:tcPr>
            <w:tcW w:w="9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2,578</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8,185</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8,717</w:t>
            </w:r>
          </w:p>
        </w:tc>
        <w:tc>
          <w:tcPr>
            <w:tcW w:w="2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(454</w:t>
            </w:r>
          </w:p>
        </w:tc>
        <w:tc>
          <w:tcPr>
            <w:tcW w:w="220" w:type="dxa"/>
            <w:vAlign w:val="bottom"/>
            <w:shd w:val="clear" w:color="auto" w:fill="CCFFCC"/>
          </w:tcPr>
          <w:p>
            <w:pPr>
              <w:jc w:val="right"/>
              <w:ind w:right="140"/>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16,448</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Vita Nonwovens</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Subordinated Debt (14% Cash, 4% PIK)</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95</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1,115</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15</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(1,130)</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shd w:val="clear" w:color="auto" w:fill="CCFFCC"/>
          </w:tcPr>
          <w:p>
            <w:pPr>
              <w:spacing w:after="0" w:line="125" w:lineRule="exact"/>
              <w:rPr>
                <w:sz w:val="20"/>
                <w:szCs w:val="20"/>
                <w:color w:val="auto"/>
              </w:rPr>
            </w:pPr>
            <w:r>
              <w:rPr>
                <w:rFonts w:ascii="Arial" w:cs="Arial" w:eastAsia="Arial" w:hAnsi="Arial"/>
                <w:sz w:val="12"/>
                <w:szCs w:val="12"/>
                <w:color w:val="auto"/>
              </w:rPr>
              <w:t>Vita Nonwovens</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Class A Preferred United (475,000 units)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jc w:val="right"/>
              <w:spacing w:after="0" w:line="125" w:lineRule="exact"/>
              <w:rPr>
                <w:sz w:val="20"/>
                <w:szCs w:val="20"/>
                <w:color w:val="auto"/>
              </w:rPr>
            </w:pPr>
            <w:r>
              <w:rPr>
                <w:rFonts w:ascii="Arial" w:cs="Arial" w:eastAsia="Arial" w:hAnsi="Arial"/>
                <w:sz w:val="12"/>
                <w:szCs w:val="12"/>
                <w:color w:val="auto"/>
              </w:rPr>
              <w:t>475</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(475)</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tcBorders>
              <w:bottom w:val="single" w:sz="8" w:color="CCFFCC"/>
            </w:tcBorders>
          </w:tcPr>
          <w:p>
            <w:pPr>
              <w:spacing w:after="0"/>
              <w:rPr>
                <w:sz w:val="11"/>
                <w:szCs w:val="11"/>
                <w:color w:val="auto"/>
              </w:rPr>
            </w:pPr>
          </w:p>
        </w:tc>
        <w:tc>
          <w:tcPr>
            <w:tcW w:w="102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tcBorders>
              <w:bottom w:val="single" w:sz="8" w:color="auto"/>
            </w:tcBorders>
            <w:shd w:val="clear" w:color="auto" w:fill="CCFFCC"/>
          </w:tcPr>
          <w:p>
            <w:pPr>
              <w:spacing w:after="0"/>
              <w:rPr>
                <w:sz w:val="10"/>
                <w:szCs w:val="10"/>
                <w:color w:val="auto"/>
              </w:rPr>
            </w:pPr>
          </w:p>
        </w:tc>
        <w:tc>
          <w:tcPr>
            <w:tcW w:w="9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95</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1,590</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15</w:t>
            </w:r>
          </w:p>
        </w:tc>
        <w:tc>
          <w:tcPr>
            <w:tcW w:w="2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(1,605</w:t>
            </w:r>
          </w:p>
        </w:tc>
        <w:tc>
          <w:tcPr>
            <w:tcW w:w="220" w:type="dxa"/>
            <w:vAlign w:val="bottom"/>
            <w:shd w:val="clear" w:color="auto" w:fill="CCFFCC"/>
          </w:tcPr>
          <w:p>
            <w:pPr>
              <w:jc w:val="right"/>
              <w:ind w:right="140"/>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30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tcBorders>
              <w:bottom w:val="single" w:sz="8" w:color="auto"/>
            </w:tcBorders>
            <w:shd w:val="clear" w:color="auto" w:fill="CCFFCC"/>
          </w:tcPr>
          <w:p>
            <w:pPr>
              <w:spacing w:after="0"/>
              <w:rPr>
                <w:sz w:val="11"/>
                <w:szCs w:val="11"/>
                <w:color w:val="auto"/>
              </w:rPr>
            </w:pPr>
          </w:p>
        </w:tc>
        <w:tc>
          <w:tcPr>
            <w:tcW w:w="960" w:type="dxa"/>
            <w:vAlign w:val="bottom"/>
            <w:tcBorders>
              <w:bottom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tcBorders>
              <w:bottom w:val="single" w:sz="8" w:color="auto"/>
            </w:tcBorders>
            <w:shd w:val="clear" w:color="auto" w:fill="CCFFCC"/>
          </w:tcPr>
          <w:p>
            <w:pPr>
              <w:spacing w:after="0"/>
              <w:rPr>
                <w:sz w:val="11"/>
                <w:szCs w:val="11"/>
                <w:color w:val="auto"/>
              </w:rPr>
            </w:pPr>
          </w:p>
        </w:tc>
        <w:tc>
          <w:tcPr>
            <w:tcW w:w="880" w:type="dxa"/>
            <w:vAlign w:val="bottom"/>
            <w:tcBorders>
              <w:bottom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tcBorders>
              <w:bottom w:val="single" w:sz="8" w:color="auto"/>
            </w:tcBorders>
            <w:shd w:val="clear" w:color="auto" w:fill="CCFFCC"/>
          </w:tcPr>
          <w:p>
            <w:pPr>
              <w:spacing w:after="0"/>
              <w:rPr>
                <w:sz w:val="11"/>
                <w:szCs w:val="11"/>
                <w:color w:val="auto"/>
              </w:rPr>
            </w:pPr>
          </w:p>
        </w:tc>
        <w:tc>
          <w:tcPr>
            <w:tcW w:w="860" w:type="dxa"/>
            <w:vAlign w:val="bottom"/>
            <w:tcBorders>
              <w:bottom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40" w:type="dxa"/>
            <w:vAlign w:val="bottom"/>
            <w:tcBorders>
              <w:bottom w:val="single" w:sz="8" w:color="auto"/>
            </w:tcBorders>
            <w:shd w:val="clear" w:color="auto" w:fill="CCFFCC"/>
          </w:tcPr>
          <w:p>
            <w:pPr>
              <w:spacing w:after="0"/>
              <w:rPr>
                <w:sz w:val="11"/>
                <w:szCs w:val="11"/>
                <w:color w:val="auto"/>
              </w:rPr>
            </w:pPr>
          </w:p>
        </w:tc>
        <w:tc>
          <w:tcPr>
            <w:tcW w:w="880" w:type="dxa"/>
            <w:vAlign w:val="bottom"/>
            <w:tcBorders>
              <w:bottom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60" w:type="dxa"/>
            <w:vAlign w:val="bottom"/>
            <w:tcBorders>
              <w:bottom w:val="single" w:sz="8" w:color="auto"/>
            </w:tcBorders>
            <w:shd w:val="clear" w:color="auto" w:fill="CCFFCC"/>
          </w:tcPr>
          <w:p>
            <w:pPr>
              <w:spacing w:after="0"/>
              <w:rPr>
                <w:sz w:val="11"/>
                <w:szCs w:val="11"/>
                <w:color w:val="auto"/>
              </w:rPr>
            </w:pPr>
          </w:p>
        </w:tc>
        <w:tc>
          <w:tcPr>
            <w:tcW w:w="860" w:type="dxa"/>
            <w:vAlign w:val="bottom"/>
            <w:tcBorders>
              <w:bottom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40" w:type="dxa"/>
            <w:vAlign w:val="bottom"/>
            <w:tcBorders>
              <w:bottom w:val="single" w:sz="8" w:color="CCFFCC"/>
            </w:tcBorders>
            <w:gridSpan w:val="2"/>
          </w:tcPr>
          <w:p>
            <w:pPr>
              <w:spacing w:after="0" w:line="116" w:lineRule="exact"/>
              <w:rPr>
                <w:sz w:val="20"/>
                <w:szCs w:val="20"/>
                <w:color w:val="auto"/>
              </w:rPr>
            </w:pPr>
            <w:r>
              <w:rPr>
                <w:rFonts w:ascii="Arial" w:cs="Arial" w:eastAsia="Arial" w:hAnsi="Arial"/>
                <w:sz w:val="12"/>
                <w:szCs w:val="12"/>
                <w:b w:val="1"/>
                <w:bCs w:val="1"/>
                <w:color w:val="auto"/>
              </w:rPr>
              <w:t>Total Control investments</w:t>
            </w:r>
          </w:p>
        </w:tc>
        <w:tc>
          <w:tcPr>
            <w:tcW w:w="120" w:type="dxa"/>
            <w:vAlign w:val="bottom"/>
            <w:tcBorders>
              <w:bottom w:val="single" w:sz="8" w:color="CCFFCC"/>
            </w:tcBorders>
          </w:tcPr>
          <w:p>
            <w:pPr>
              <w:spacing w:after="0"/>
              <w:rPr>
                <w:sz w:val="10"/>
                <w:szCs w:val="10"/>
                <w:color w:val="auto"/>
              </w:rPr>
            </w:pPr>
          </w:p>
        </w:tc>
        <w:tc>
          <w:tcPr>
            <w:tcW w:w="300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b w:val="1"/>
                <w:bCs w:val="1"/>
                <w:color w:val="auto"/>
              </w:rPr>
              <w:t>10,840</w:t>
            </w:r>
          </w:p>
        </w:tc>
        <w:tc>
          <w:tcPr>
            <w:tcW w:w="12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b w:val="1"/>
                <w:bCs w:val="1"/>
                <w:color w:val="auto"/>
              </w:rPr>
              <w:t>68,353</w:t>
            </w:r>
          </w:p>
        </w:tc>
        <w:tc>
          <w:tcPr>
            <w:tcW w:w="10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b w:val="1"/>
                <w:bCs w:val="1"/>
                <w:color w:val="auto"/>
              </w:rPr>
              <w:t>23,443</w:t>
            </w:r>
          </w:p>
        </w:tc>
        <w:tc>
          <w:tcPr>
            <w:tcW w:w="220" w:type="dxa"/>
            <w:vAlign w:val="bottom"/>
            <w:tcBorders>
              <w:bottom w:val="single" w:sz="8" w:color="CCFFCC"/>
            </w:tcBorders>
          </w:tcPr>
          <w:p>
            <w:pPr>
              <w:spacing w:after="0"/>
              <w:rPr>
                <w:sz w:val="10"/>
                <w:szCs w:val="10"/>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b w:val="1"/>
                <w:bCs w:val="1"/>
                <w:color w:val="auto"/>
              </w:rPr>
              <w:t>(15,315</w:t>
            </w:r>
          </w:p>
        </w:tc>
        <w:tc>
          <w:tcPr>
            <w:tcW w:w="220" w:type="dxa"/>
            <w:vAlign w:val="bottom"/>
            <w:tcBorders>
              <w:bottom w:val="single" w:sz="8" w:color="CCFFCC"/>
            </w:tcBorders>
          </w:tcPr>
          <w:p>
            <w:pPr>
              <w:jc w:val="right"/>
              <w:ind w:right="140"/>
              <w:spacing w:after="0"/>
              <w:rPr>
                <w:sz w:val="20"/>
                <w:szCs w:val="20"/>
                <w:color w:val="auto"/>
              </w:rPr>
            </w:pPr>
            <w:r>
              <w:rPr>
                <w:rFonts w:ascii="Arial" w:cs="Arial" w:eastAsia="Arial" w:hAnsi="Arial"/>
                <w:sz w:val="8"/>
                <w:szCs w:val="8"/>
                <w:b w:val="1"/>
                <w:bCs w:val="1"/>
                <w:color w:val="auto"/>
                <w:w w:val="73"/>
              </w:rPr>
              <w:t>)</w:t>
            </w: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b w:val="1"/>
                <w:bCs w:val="1"/>
                <w:color w:val="auto"/>
              </w:rPr>
              <w:t>76,481</w:t>
            </w:r>
          </w:p>
        </w:tc>
        <w:tc>
          <w:tcPr>
            <w:tcW w:w="120" w:type="dxa"/>
            <w:vAlign w:val="bottom"/>
            <w:tcBorders>
              <w:bottom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2040" w:type="dxa"/>
            <w:vAlign w:val="bottom"/>
            <w:gridSpan w:val="2"/>
          </w:tcPr>
          <w:p>
            <w:pPr>
              <w:spacing w:after="0" w:line="113" w:lineRule="exact"/>
              <w:rPr>
                <w:sz w:val="20"/>
                <w:szCs w:val="20"/>
                <w:color w:val="auto"/>
              </w:rPr>
            </w:pPr>
            <w:r>
              <w:rPr>
                <w:rFonts w:ascii="Arial" w:cs="Arial" w:eastAsia="Arial" w:hAnsi="Arial"/>
                <w:sz w:val="12"/>
                <w:szCs w:val="12"/>
                <w:b w:val="1"/>
                <w:bCs w:val="1"/>
                <w:i w:val="1"/>
                <w:iCs w:val="1"/>
                <w:color w:val="auto"/>
              </w:rPr>
              <w:t>Affiliate investments:</w:t>
            </w:r>
          </w:p>
        </w:tc>
        <w:tc>
          <w:tcPr>
            <w:tcW w:w="1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20" w:type="dxa"/>
            <w:vAlign w:val="bottom"/>
            <w:tcBorders>
              <w:top w:val="single" w:sz="8" w:color="auto"/>
            </w:tcBorders>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tcPr>
          <w:p>
            <w:pPr>
              <w:spacing w:after="0" w:line="125" w:lineRule="exact"/>
              <w:rPr>
                <w:sz w:val="20"/>
                <w:szCs w:val="20"/>
                <w:color w:val="auto"/>
              </w:rPr>
            </w:pPr>
            <w:r>
              <w:rPr>
                <w:rFonts w:ascii="Arial" w:cs="Arial" w:eastAsia="Arial" w:hAnsi="Arial"/>
                <w:sz w:val="12"/>
                <w:szCs w:val="12"/>
                <w:color w:val="auto"/>
              </w:rPr>
              <w:t>Chef'N Corporation</w:t>
            </w:r>
          </w:p>
        </w:tc>
        <w:tc>
          <w:tcPr>
            <w:tcW w:w="3120" w:type="dxa"/>
            <w:vAlign w:val="bottom"/>
            <w:gridSpan w:val="2"/>
          </w:tcPr>
          <w:p>
            <w:pPr>
              <w:ind w:left="120"/>
              <w:spacing w:after="0" w:line="125" w:lineRule="exact"/>
              <w:rPr>
                <w:sz w:val="20"/>
                <w:szCs w:val="20"/>
                <w:color w:val="auto"/>
              </w:rPr>
            </w:pPr>
            <w:r>
              <w:rPr>
                <w:rFonts w:ascii="Arial" w:cs="Arial" w:eastAsia="Arial" w:hAnsi="Arial"/>
                <w:sz w:val="12"/>
                <w:szCs w:val="12"/>
                <w:color w:val="auto"/>
              </w:rPr>
              <w:t>Subordinated Debt (15%, 3% PIK at company's option)</w:t>
            </w:r>
          </w:p>
        </w:tc>
        <w:tc>
          <w:tcPr>
            <w:tcW w:w="200" w:type="dxa"/>
            <w:vAlign w:val="bottom"/>
            <w:gridSpan w:val="2"/>
          </w:tcPr>
          <w:p>
            <w:pPr>
              <w:jc w:val="right"/>
              <w:spacing w:after="0" w:line="125" w:lineRule="exact"/>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821</w:t>
            </w:r>
          </w:p>
        </w:tc>
        <w:tc>
          <w:tcPr>
            <w:tcW w:w="260" w:type="dxa"/>
            <w:vAlign w:val="bottom"/>
            <w:gridSpan w:val="2"/>
          </w:tcPr>
          <w:p>
            <w:pPr>
              <w:jc w:val="right"/>
              <w:ind w:right="30"/>
              <w:spacing w:after="0" w:line="125"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00"/>
              <w:spacing w:after="0" w:line="125" w:lineRule="exact"/>
              <w:rPr>
                <w:sz w:val="20"/>
                <w:szCs w:val="20"/>
                <w:color w:val="auto"/>
              </w:rPr>
            </w:pPr>
            <w:r>
              <w:rPr>
                <w:rFonts w:ascii="Arial" w:cs="Arial" w:eastAsia="Arial" w:hAnsi="Arial"/>
                <w:sz w:val="12"/>
                <w:szCs w:val="12"/>
                <w:color w:val="auto"/>
              </w:rPr>
              <w:t>6,300</w:t>
            </w:r>
          </w:p>
        </w:tc>
        <w:tc>
          <w:tcPr>
            <w:tcW w:w="280" w:type="dxa"/>
            <w:vAlign w:val="bottom"/>
            <w:gridSpan w:val="2"/>
          </w:tcPr>
          <w:p>
            <w:pPr>
              <w:jc w:val="right"/>
              <w:ind w:right="50"/>
              <w:spacing w:after="0" w:line="125" w:lineRule="exact"/>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6,300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tcPr>
          <w:p>
            <w:pPr>
              <w:spacing w:after="0" w:line="125" w:lineRule="exact"/>
              <w:rPr>
                <w:sz w:val="20"/>
                <w:szCs w:val="20"/>
                <w:color w:val="auto"/>
              </w:rPr>
            </w:pPr>
            <w:r>
              <w:rPr>
                <w:rFonts w:ascii="Arial" w:cs="Arial" w:eastAsia="Arial" w:hAnsi="Arial"/>
                <w:sz w:val="12"/>
                <w:szCs w:val="12"/>
                <w:color w:val="auto"/>
              </w:rPr>
              <w:t>Chef'N Corporation</w:t>
            </w:r>
          </w:p>
        </w:tc>
        <w:tc>
          <w:tcPr>
            <w:tcW w:w="3120" w:type="dxa"/>
            <w:vAlign w:val="bottom"/>
            <w:gridSpan w:val="2"/>
          </w:tcPr>
          <w:p>
            <w:pPr>
              <w:ind w:left="120"/>
              <w:spacing w:after="0" w:line="125" w:lineRule="exact"/>
              <w:rPr>
                <w:sz w:val="20"/>
                <w:szCs w:val="20"/>
                <w:color w:val="auto"/>
              </w:rPr>
            </w:pPr>
            <w:r>
              <w:rPr>
                <w:rFonts w:ascii="Arial" w:cs="Arial" w:eastAsia="Arial" w:hAnsi="Arial"/>
                <w:sz w:val="12"/>
                <w:szCs w:val="12"/>
                <w:color w:val="auto"/>
              </w:rPr>
              <w:t>Series A Preferred Stock (1,000,000 shares)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100"/>
              <w:spacing w:after="0" w:line="125" w:lineRule="exact"/>
              <w:rPr>
                <w:sz w:val="20"/>
                <w:szCs w:val="20"/>
                <w:color w:val="auto"/>
              </w:rPr>
            </w:pPr>
            <w:r>
              <w:rPr>
                <w:rFonts w:ascii="Arial" w:cs="Arial" w:eastAsia="Arial" w:hAnsi="Arial"/>
                <w:sz w:val="12"/>
                <w:szCs w:val="12"/>
                <w:color w:val="auto"/>
              </w:rPr>
              <w:t>2,469</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1,533</w:t>
            </w:r>
          </w:p>
        </w:tc>
        <w:tc>
          <w:tcPr>
            <w:tcW w:w="140" w:type="dxa"/>
            <w:vAlign w:val="bottom"/>
          </w:tcPr>
          <w:p>
            <w:pPr>
              <w:spacing w:after="0"/>
              <w:rPr>
                <w:sz w:val="10"/>
                <w:szCs w:val="10"/>
                <w:color w:val="auto"/>
              </w:rPr>
            </w:pPr>
          </w:p>
        </w:tc>
        <w:tc>
          <w:tcPr>
            <w:tcW w:w="110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4,002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30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tcBorders>
              <w:bottom w:val="single" w:sz="8" w:color="auto"/>
            </w:tcBorders>
            <w:shd w:val="clear" w:color="auto" w:fill="CCFFCC"/>
          </w:tcPr>
          <w:p>
            <w:pPr>
              <w:spacing w:after="0"/>
              <w:rPr>
                <w:sz w:val="11"/>
                <w:szCs w:val="11"/>
                <w:color w:val="auto"/>
              </w:rPr>
            </w:pPr>
          </w:p>
        </w:tc>
        <w:tc>
          <w:tcPr>
            <w:tcW w:w="960" w:type="dxa"/>
            <w:vAlign w:val="bottom"/>
            <w:tcBorders>
              <w:bottom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tcBorders>
              <w:bottom w:val="single" w:sz="8" w:color="auto"/>
            </w:tcBorders>
            <w:shd w:val="clear" w:color="auto" w:fill="CCFFCC"/>
          </w:tcPr>
          <w:p>
            <w:pPr>
              <w:spacing w:after="0"/>
              <w:rPr>
                <w:sz w:val="11"/>
                <w:szCs w:val="11"/>
                <w:color w:val="auto"/>
              </w:rPr>
            </w:pPr>
          </w:p>
        </w:tc>
        <w:tc>
          <w:tcPr>
            <w:tcW w:w="880" w:type="dxa"/>
            <w:vAlign w:val="bottom"/>
            <w:tcBorders>
              <w:bottom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tcBorders>
              <w:bottom w:val="single" w:sz="8" w:color="auto"/>
            </w:tcBorders>
            <w:shd w:val="clear" w:color="auto" w:fill="CCFFCC"/>
          </w:tcPr>
          <w:p>
            <w:pPr>
              <w:spacing w:after="0"/>
              <w:rPr>
                <w:sz w:val="11"/>
                <w:szCs w:val="11"/>
                <w:color w:val="auto"/>
              </w:rPr>
            </w:pPr>
          </w:p>
        </w:tc>
        <w:tc>
          <w:tcPr>
            <w:tcW w:w="860" w:type="dxa"/>
            <w:vAlign w:val="bottom"/>
            <w:tcBorders>
              <w:bottom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40" w:type="dxa"/>
            <w:vAlign w:val="bottom"/>
            <w:tcBorders>
              <w:bottom w:val="single" w:sz="8" w:color="auto"/>
            </w:tcBorders>
            <w:shd w:val="clear" w:color="auto" w:fill="CCFFCC"/>
          </w:tcPr>
          <w:p>
            <w:pPr>
              <w:spacing w:after="0"/>
              <w:rPr>
                <w:sz w:val="11"/>
                <w:szCs w:val="11"/>
                <w:color w:val="auto"/>
              </w:rPr>
            </w:pPr>
          </w:p>
        </w:tc>
        <w:tc>
          <w:tcPr>
            <w:tcW w:w="880" w:type="dxa"/>
            <w:vAlign w:val="bottom"/>
            <w:tcBorders>
              <w:bottom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60" w:type="dxa"/>
            <w:vAlign w:val="bottom"/>
            <w:tcBorders>
              <w:bottom w:val="single" w:sz="8" w:color="auto"/>
            </w:tcBorders>
            <w:shd w:val="clear" w:color="auto" w:fill="CCFFCC"/>
          </w:tcPr>
          <w:p>
            <w:pPr>
              <w:spacing w:after="0"/>
              <w:rPr>
                <w:sz w:val="11"/>
                <w:szCs w:val="11"/>
                <w:color w:val="auto"/>
              </w:rPr>
            </w:pPr>
          </w:p>
        </w:tc>
        <w:tc>
          <w:tcPr>
            <w:tcW w:w="860" w:type="dxa"/>
            <w:vAlign w:val="bottom"/>
            <w:tcBorders>
              <w:bottom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20" w:type="dxa"/>
            <w:vAlign w:val="bottom"/>
            <w:tcBorders>
              <w:bottom w:val="single" w:sz="8" w:color="CCFFCC"/>
            </w:tcBorders>
          </w:tcPr>
          <w:p>
            <w:pPr>
              <w:spacing w:after="0"/>
              <w:rPr>
                <w:sz w:val="10"/>
                <w:szCs w:val="10"/>
                <w:color w:val="auto"/>
              </w:rPr>
            </w:pPr>
          </w:p>
        </w:tc>
        <w:tc>
          <w:tcPr>
            <w:tcW w:w="102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300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821</w:t>
            </w:r>
          </w:p>
        </w:tc>
        <w:tc>
          <w:tcPr>
            <w:tcW w:w="12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8,769</w:t>
            </w:r>
          </w:p>
        </w:tc>
        <w:tc>
          <w:tcPr>
            <w:tcW w:w="10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1,533</w:t>
            </w:r>
          </w:p>
        </w:tc>
        <w:tc>
          <w:tcPr>
            <w:tcW w:w="220" w:type="dxa"/>
            <w:vAlign w:val="bottom"/>
            <w:tcBorders>
              <w:bottom w:val="single" w:sz="8" w:color="CCFFC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CCFFC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10,302</w:t>
            </w:r>
          </w:p>
        </w:tc>
        <w:tc>
          <w:tcPr>
            <w:tcW w:w="120" w:type="dxa"/>
            <w:vAlign w:val="bottom"/>
            <w:tcBorders>
              <w:bottom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tcPr>
          <w:p>
            <w:pPr>
              <w:spacing w:after="0" w:line="125" w:lineRule="exact"/>
              <w:rPr>
                <w:sz w:val="20"/>
                <w:szCs w:val="20"/>
                <w:color w:val="auto"/>
              </w:rPr>
            </w:pPr>
            <w:r>
              <w:rPr>
                <w:rFonts w:ascii="Arial" w:cs="Arial" w:eastAsia="Arial" w:hAnsi="Arial"/>
                <w:sz w:val="12"/>
                <w:szCs w:val="12"/>
                <w:color w:val="auto"/>
              </w:rPr>
              <w:t>City Gear, LLC</w:t>
            </w:r>
          </w:p>
        </w:tc>
        <w:tc>
          <w:tcPr>
            <w:tcW w:w="3120" w:type="dxa"/>
            <w:vAlign w:val="bottom"/>
            <w:gridSpan w:val="2"/>
          </w:tcPr>
          <w:p>
            <w:pPr>
              <w:ind w:left="120"/>
              <w:spacing w:after="0" w:line="125" w:lineRule="exact"/>
              <w:rPr>
                <w:sz w:val="20"/>
                <w:szCs w:val="20"/>
                <w:color w:val="auto"/>
              </w:rPr>
            </w:pPr>
            <w:r>
              <w:rPr>
                <w:rFonts w:ascii="Arial" w:cs="Arial" w:eastAsia="Arial" w:hAnsi="Arial"/>
                <w:sz w:val="12"/>
                <w:szCs w:val="12"/>
                <w:color w:val="auto"/>
              </w:rPr>
              <w:t>Subordinated Debt (13% Cash)</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709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100"/>
              <w:spacing w:after="0" w:line="125" w:lineRule="exact"/>
              <w:rPr>
                <w:sz w:val="20"/>
                <w:szCs w:val="20"/>
                <w:color w:val="auto"/>
              </w:rPr>
            </w:pPr>
            <w:r>
              <w:rPr>
                <w:rFonts w:ascii="Arial" w:cs="Arial" w:eastAsia="Arial" w:hAnsi="Arial"/>
                <w:sz w:val="12"/>
                <w:szCs w:val="12"/>
                <w:color w:val="auto"/>
              </w:rPr>
              <w:t>4,231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4,000</w:t>
            </w:r>
          </w:p>
        </w:tc>
        <w:tc>
          <w:tcPr>
            <w:tcW w:w="140" w:type="dxa"/>
            <w:vAlign w:val="bottom"/>
          </w:tcPr>
          <w:p>
            <w:pPr>
              <w:spacing w:after="0"/>
              <w:rPr>
                <w:sz w:val="10"/>
                <w:szCs w:val="10"/>
                <w:color w:val="auto"/>
              </w:rPr>
            </w:pPr>
          </w:p>
        </w:tc>
        <w:tc>
          <w:tcPr>
            <w:tcW w:w="110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8,231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120" w:type="dxa"/>
            <w:vAlign w:val="bottom"/>
            <w:gridSpan w:val="2"/>
          </w:tcPr>
          <w:p>
            <w:pPr>
              <w:ind w:left="120"/>
              <w:spacing w:after="0" w:line="109" w:lineRule="exact"/>
              <w:rPr>
                <w:sz w:val="20"/>
                <w:szCs w:val="20"/>
                <w:color w:val="auto"/>
              </w:rPr>
            </w:pPr>
            <w:r>
              <w:rPr>
                <w:rFonts w:ascii="Arial" w:cs="Arial" w:eastAsia="Arial" w:hAnsi="Arial"/>
                <w:sz w:val="12"/>
                <w:szCs w:val="12"/>
                <w:color w:val="auto"/>
              </w:rPr>
              <w:t>Preferred Membership Units (2.78% fully diluted, 9%</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60" w:type="dxa"/>
            <w:vAlign w:val="bottom"/>
            <w:gridSpan w:val="3"/>
          </w:tcPr>
          <w:p>
            <w:pPr>
              <w:spacing w:after="0"/>
              <w:rPr>
                <w:sz w:val="20"/>
                <w:szCs w:val="20"/>
                <w:color w:val="auto"/>
              </w:rPr>
            </w:pPr>
            <w:r>
              <w:rPr>
                <w:rFonts w:ascii="Arial" w:cs="Arial" w:eastAsia="Arial" w:hAnsi="Arial"/>
                <w:sz w:val="12"/>
                <w:szCs w:val="12"/>
                <w:color w:val="auto"/>
              </w:rPr>
              <w:t>City Gear, LLC</w:t>
            </w:r>
          </w:p>
        </w:tc>
        <w:tc>
          <w:tcPr>
            <w:tcW w:w="3120" w:type="dxa"/>
            <w:vAlign w:val="bottom"/>
            <w:gridSpan w:val="2"/>
          </w:tcPr>
          <w:p>
            <w:pPr>
              <w:ind w:left="120"/>
              <w:spacing w:after="0"/>
              <w:rPr>
                <w:sz w:val="20"/>
                <w:szCs w:val="20"/>
                <w:color w:val="auto"/>
              </w:rPr>
            </w:pPr>
            <w:r>
              <w:rPr>
                <w:rFonts w:ascii="Arial" w:cs="Arial" w:eastAsia="Arial" w:hAnsi="Arial"/>
                <w:sz w:val="12"/>
                <w:szCs w:val="12"/>
                <w:color w:val="auto"/>
              </w:rPr>
              <w:t>dividend)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1,825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(556)</w:t>
            </w:r>
          </w:p>
        </w:tc>
        <w:tc>
          <w:tcPr>
            <w:tcW w:w="1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1,269</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tcPr>
          <w:p>
            <w:pPr>
              <w:spacing w:after="0" w:line="125" w:lineRule="exact"/>
              <w:rPr>
                <w:sz w:val="20"/>
                <w:szCs w:val="20"/>
                <w:color w:val="auto"/>
              </w:rPr>
            </w:pPr>
            <w:r>
              <w:rPr>
                <w:rFonts w:ascii="Arial" w:cs="Arial" w:eastAsia="Arial" w:hAnsi="Arial"/>
                <w:sz w:val="12"/>
                <w:szCs w:val="12"/>
                <w:color w:val="auto"/>
              </w:rPr>
              <w:t>City Gear, LLC</w:t>
            </w:r>
          </w:p>
        </w:tc>
        <w:tc>
          <w:tcPr>
            <w:tcW w:w="3120" w:type="dxa"/>
            <w:vAlign w:val="bottom"/>
            <w:gridSpan w:val="2"/>
          </w:tcPr>
          <w:p>
            <w:pPr>
              <w:ind w:left="120"/>
              <w:spacing w:after="0" w:line="125" w:lineRule="exact"/>
              <w:rPr>
                <w:sz w:val="20"/>
                <w:szCs w:val="20"/>
                <w:color w:val="auto"/>
              </w:rPr>
            </w:pPr>
            <w:r>
              <w:rPr>
                <w:rFonts w:ascii="Arial" w:cs="Arial" w:eastAsia="Arial" w:hAnsi="Arial"/>
                <w:sz w:val="12"/>
                <w:szCs w:val="12"/>
                <w:color w:val="auto"/>
              </w:rPr>
              <w:t>Membership Unit Warrants (11.37% fully diluted)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100"/>
              <w:spacing w:after="0" w:line="125" w:lineRule="exact"/>
              <w:rPr>
                <w:sz w:val="20"/>
                <w:szCs w:val="20"/>
                <w:color w:val="auto"/>
              </w:rPr>
            </w:pPr>
            <w:r>
              <w:rPr>
                <w:rFonts w:ascii="Arial" w:cs="Arial" w:eastAsia="Arial" w:hAnsi="Arial"/>
                <w:sz w:val="12"/>
                <w:szCs w:val="12"/>
                <w:color w:val="auto"/>
              </w:rPr>
              <w:t>1,074</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4,233</w:t>
            </w:r>
          </w:p>
        </w:tc>
        <w:tc>
          <w:tcPr>
            <w:tcW w:w="140" w:type="dxa"/>
            <w:vAlign w:val="bottom"/>
          </w:tcPr>
          <w:p>
            <w:pPr>
              <w:spacing w:after="0"/>
              <w:rPr>
                <w:sz w:val="10"/>
                <w:szCs w:val="10"/>
                <w:color w:val="auto"/>
              </w:rPr>
            </w:pPr>
          </w:p>
        </w:tc>
        <w:tc>
          <w:tcPr>
            <w:tcW w:w="110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5,307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30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tcBorders>
              <w:bottom w:val="single" w:sz="8" w:color="auto"/>
            </w:tcBorders>
            <w:shd w:val="clear" w:color="auto" w:fill="CCFFCC"/>
          </w:tcPr>
          <w:p>
            <w:pPr>
              <w:spacing w:after="0"/>
              <w:rPr>
                <w:sz w:val="11"/>
                <w:szCs w:val="11"/>
                <w:color w:val="auto"/>
              </w:rPr>
            </w:pPr>
          </w:p>
        </w:tc>
        <w:tc>
          <w:tcPr>
            <w:tcW w:w="960" w:type="dxa"/>
            <w:vAlign w:val="bottom"/>
            <w:tcBorders>
              <w:bottom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tcBorders>
              <w:bottom w:val="single" w:sz="8" w:color="auto"/>
            </w:tcBorders>
            <w:shd w:val="clear" w:color="auto" w:fill="CCFFCC"/>
          </w:tcPr>
          <w:p>
            <w:pPr>
              <w:spacing w:after="0"/>
              <w:rPr>
                <w:sz w:val="11"/>
                <w:szCs w:val="11"/>
                <w:color w:val="auto"/>
              </w:rPr>
            </w:pPr>
          </w:p>
        </w:tc>
        <w:tc>
          <w:tcPr>
            <w:tcW w:w="880" w:type="dxa"/>
            <w:vAlign w:val="bottom"/>
            <w:tcBorders>
              <w:bottom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tcBorders>
              <w:bottom w:val="single" w:sz="8" w:color="auto"/>
            </w:tcBorders>
            <w:shd w:val="clear" w:color="auto" w:fill="CCFFCC"/>
          </w:tcPr>
          <w:p>
            <w:pPr>
              <w:spacing w:after="0"/>
              <w:rPr>
                <w:sz w:val="11"/>
                <w:szCs w:val="11"/>
                <w:color w:val="auto"/>
              </w:rPr>
            </w:pPr>
          </w:p>
        </w:tc>
        <w:tc>
          <w:tcPr>
            <w:tcW w:w="860" w:type="dxa"/>
            <w:vAlign w:val="bottom"/>
            <w:tcBorders>
              <w:bottom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40" w:type="dxa"/>
            <w:vAlign w:val="bottom"/>
            <w:tcBorders>
              <w:bottom w:val="single" w:sz="8" w:color="auto"/>
            </w:tcBorders>
            <w:shd w:val="clear" w:color="auto" w:fill="CCFFCC"/>
          </w:tcPr>
          <w:p>
            <w:pPr>
              <w:spacing w:after="0"/>
              <w:rPr>
                <w:sz w:val="11"/>
                <w:szCs w:val="11"/>
                <w:color w:val="auto"/>
              </w:rPr>
            </w:pPr>
          </w:p>
        </w:tc>
        <w:tc>
          <w:tcPr>
            <w:tcW w:w="880" w:type="dxa"/>
            <w:vAlign w:val="bottom"/>
            <w:tcBorders>
              <w:bottom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60" w:type="dxa"/>
            <w:vAlign w:val="bottom"/>
            <w:tcBorders>
              <w:bottom w:val="single" w:sz="8" w:color="auto"/>
            </w:tcBorders>
            <w:shd w:val="clear" w:color="auto" w:fill="CCFFCC"/>
          </w:tcPr>
          <w:p>
            <w:pPr>
              <w:spacing w:after="0"/>
              <w:rPr>
                <w:sz w:val="11"/>
                <w:szCs w:val="11"/>
                <w:color w:val="auto"/>
              </w:rPr>
            </w:pPr>
          </w:p>
        </w:tc>
        <w:tc>
          <w:tcPr>
            <w:tcW w:w="860" w:type="dxa"/>
            <w:vAlign w:val="bottom"/>
            <w:tcBorders>
              <w:bottom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20" w:type="dxa"/>
            <w:vAlign w:val="bottom"/>
            <w:tcBorders>
              <w:bottom w:val="single" w:sz="8" w:color="CCFFCC"/>
            </w:tcBorders>
          </w:tcPr>
          <w:p>
            <w:pPr>
              <w:spacing w:after="0"/>
              <w:rPr>
                <w:sz w:val="10"/>
                <w:szCs w:val="10"/>
                <w:color w:val="auto"/>
              </w:rPr>
            </w:pPr>
          </w:p>
        </w:tc>
        <w:tc>
          <w:tcPr>
            <w:tcW w:w="102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300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825</w:t>
            </w:r>
          </w:p>
        </w:tc>
        <w:tc>
          <w:tcPr>
            <w:tcW w:w="12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7,130</w:t>
            </w:r>
          </w:p>
        </w:tc>
        <w:tc>
          <w:tcPr>
            <w:tcW w:w="10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8,233</w:t>
            </w:r>
          </w:p>
        </w:tc>
        <w:tc>
          <w:tcPr>
            <w:tcW w:w="220" w:type="dxa"/>
            <w:vAlign w:val="bottom"/>
            <w:tcBorders>
              <w:bottom w:val="single" w:sz="8" w:color="CCFFC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(556</w:t>
            </w:r>
          </w:p>
        </w:tc>
        <w:tc>
          <w:tcPr>
            <w:tcW w:w="220" w:type="dxa"/>
            <w:vAlign w:val="bottom"/>
            <w:tcBorders>
              <w:bottom w:val="single" w:sz="8" w:color="CCFFCC"/>
            </w:tcBorders>
          </w:tcPr>
          <w:p>
            <w:pPr>
              <w:jc w:val="right"/>
              <w:ind w:right="140"/>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14,807</w:t>
            </w:r>
          </w:p>
        </w:tc>
        <w:tc>
          <w:tcPr>
            <w:tcW w:w="120" w:type="dxa"/>
            <w:vAlign w:val="bottom"/>
            <w:tcBorders>
              <w:bottom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tcPr>
          <w:p>
            <w:pPr>
              <w:spacing w:after="0" w:line="125" w:lineRule="exact"/>
              <w:rPr>
                <w:sz w:val="20"/>
                <w:szCs w:val="20"/>
                <w:color w:val="auto"/>
              </w:rPr>
            </w:pPr>
            <w:r>
              <w:rPr>
                <w:rFonts w:ascii="Arial" w:cs="Arial" w:eastAsia="Arial" w:hAnsi="Arial"/>
                <w:sz w:val="12"/>
                <w:szCs w:val="12"/>
                <w:color w:val="auto"/>
              </w:rPr>
              <w:t>Corporate Visions, Inc.</w:t>
            </w:r>
          </w:p>
        </w:tc>
        <w:tc>
          <w:tcPr>
            <w:tcW w:w="3120" w:type="dxa"/>
            <w:vAlign w:val="bottom"/>
            <w:gridSpan w:val="2"/>
          </w:tcPr>
          <w:p>
            <w:pPr>
              <w:ind w:left="120"/>
              <w:spacing w:after="0" w:line="125" w:lineRule="exact"/>
              <w:rPr>
                <w:sz w:val="20"/>
                <w:szCs w:val="20"/>
                <w:color w:val="auto"/>
              </w:rPr>
            </w:pPr>
            <w:r>
              <w:rPr>
                <w:rFonts w:ascii="Arial" w:cs="Arial" w:eastAsia="Arial" w:hAnsi="Arial"/>
                <w:sz w:val="12"/>
                <w:szCs w:val="12"/>
                <w:color w:val="auto"/>
              </w:rPr>
              <w:t>Subordinated Debt (14% Cash, 2% PIK)</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1,214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11,174</w:t>
            </w:r>
          </w:p>
        </w:tc>
        <w:tc>
          <w:tcPr>
            <w:tcW w:w="140" w:type="dxa"/>
            <w:vAlign w:val="bottom"/>
          </w:tcPr>
          <w:p>
            <w:pPr>
              <w:spacing w:after="0"/>
              <w:rPr>
                <w:sz w:val="10"/>
                <w:szCs w:val="10"/>
                <w:color w:val="auto"/>
              </w:rPr>
            </w:pPr>
          </w:p>
        </w:tc>
        <w:tc>
          <w:tcPr>
            <w:tcW w:w="110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11,174</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tcPr>
          <w:p>
            <w:pPr>
              <w:spacing w:after="0" w:line="125" w:lineRule="exact"/>
              <w:rPr>
                <w:sz w:val="20"/>
                <w:szCs w:val="20"/>
                <w:color w:val="auto"/>
              </w:rPr>
            </w:pPr>
            <w:r>
              <w:rPr>
                <w:rFonts w:ascii="Arial" w:cs="Arial" w:eastAsia="Arial" w:hAnsi="Arial"/>
                <w:sz w:val="12"/>
                <w:szCs w:val="12"/>
                <w:color w:val="auto"/>
              </w:rPr>
              <w:t>Corporate Visions, Inc.</w:t>
            </w:r>
          </w:p>
        </w:tc>
        <w:tc>
          <w:tcPr>
            <w:tcW w:w="3120" w:type="dxa"/>
            <w:vAlign w:val="bottom"/>
            <w:gridSpan w:val="2"/>
          </w:tcPr>
          <w:p>
            <w:pPr>
              <w:ind w:left="120"/>
              <w:spacing w:after="0" w:line="125" w:lineRule="exact"/>
              <w:rPr>
                <w:sz w:val="20"/>
                <w:szCs w:val="20"/>
                <w:color w:val="auto"/>
              </w:rPr>
            </w:pPr>
            <w:r>
              <w:rPr>
                <w:rFonts w:ascii="Arial" w:cs="Arial" w:eastAsia="Arial" w:hAnsi="Arial"/>
                <w:sz w:val="12"/>
                <w:szCs w:val="12"/>
                <w:color w:val="auto"/>
              </w:rPr>
              <w:t>Common Stock (2,216,463 shares)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100"/>
              <w:spacing w:after="0" w:line="125" w:lineRule="exact"/>
              <w:rPr>
                <w:sz w:val="20"/>
                <w:szCs w:val="20"/>
                <w:color w:val="auto"/>
              </w:rPr>
            </w:pPr>
            <w:r>
              <w:rPr>
                <w:rFonts w:ascii="Arial" w:cs="Arial" w:eastAsia="Arial" w:hAnsi="Arial"/>
                <w:sz w:val="12"/>
                <w:szCs w:val="12"/>
                <w:color w:val="auto"/>
              </w:rPr>
              <w:t>5,928</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3,869</w:t>
            </w:r>
          </w:p>
        </w:tc>
        <w:tc>
          <w:tcPr>
            <w:tcW w:w="140" w:type="dxa"/>
            <w:vAlign w:val="bottom"/>
          </w:tcPr>
          <w:p>
            <w:pPr>
              <w:spacing w:after="0"/>
              <w:rPr>
                <w:sz w:val="10"/>
                <w:szCs w:val="10"/>
                <w:color w:val="auto"/>
              </w:rPr>
            </w:pPr>
          </w:p>
        </w:tc>
        <w:tc>
          <w:tcPr>
            <w:tcW w:w="110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9,797</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tcPr>
          <w:p>
            <w:pPr>
              <w:spacing w:after="0" w:line="125" w:lineRule="exact"/>
              <w:rPr>
                <w:sz w:val="20"/>
                <w:szCs w:val="20"/>
                <w:color w:val="auto"/>
              </w:rPr>
            </w:pPr>
            <w:r>
              <w:rPr>
                <w:rFonts w:ascii="Arial" w:cs="Arial" w:eastAsia="Arial" w:hAnsi="Arial"/>
                <w:sz w:val="12"/>
                <w:szCs w:val="12"/>
                <w:color w:val="auto"/>
              </w:rPr>
              <w:t>Corporate Visions, Inc.</w:t>
            </w:r>
          </w:p>
        </w:tc>
        <w:tc>
          <w:tcPr>
            <w:tcW w:w="3120" w:type="dxa"/>
            <w:vAlign w:val="bottom"/>
            <w:gridSpan w:val="2"/>
          </w:tcPr>
          <w:p>
            <w:pPr>
              <w:ind w:left="120"/>
              <w:spacing w:after="0" w:line="125" w:lineRule="exact"/>
              <w:rPr>
                <w:sz w:val="20"/>
                <w:szCs w:val="20"/>
                <w:color w:val="auto"/>
              </w:rPr>
            </w:pPr>
            <w:r>
              <w:rPr>
                <w:rFonts w:ascii="Arial" w:cs="Arial" w:eastAsia="Arial" w:hAnsi="Arial"/>
                <w:sz w:val="12"/>
                <w:szCs w:val="12"/>
                <w:color w:val="auto"/>
              </w:rPr>
              <w:t>Common Stock Warrant (403,257 shares)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100"/>
              <w:spacing w:after="0" w:line="125" w:lineRule="exact"/>
              <w:rPr>
                <w:sz w:val="20"/>
                <w:szCs w:val="20"/>
                <w:color w:val="auto"/>
              </w:rPr>
            </w:pPr>
            <w:r>
              <w:rPr>
                <w:rFonts w:ascii="Arial" w:cs="Arial" w:eastAsia="Arial" w:hAnsi="Arial"/>
                <w:sz w:val="12"/>
                <w:szCs w:val="12"/>
                <w:color w:val="auto"/>
              </w:rPr>
              <w:t>1,079</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703</w:t>
            </w:r>
          </w:p>
        </w:tc>
        <w:tc>
          <w:tcPr>
            <w:tcW w:w="140" w:type="dxa"/>
            <w:vAlign w:val="bottom"/>
          </w:tcPr>
          <w:p>
            <w:pPr>
              <w:spacing w:after="0"/>
              <w:rPr>
                <w:sz w:val="10"/>
                <w:szCs w:val="10"/>
                <w:color w:val="auto"/>
              </w:rPr>
            </w:pPr>
          </w:p>
        </w:tc>
        <w:tc>
          <w:tcPr>
            <w:tcW w:w="110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1,782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30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tcBorders>
              <w:bottom w:val="single" w:sz="8" w:color="auto"/>
            </w:tcBorders>
            <w:shd w:val="clear" w:color="auto" w:fill="CCFFCC"/>
          </w:tcPr>
          <w:p>
            <w:pPr>
              <w:spacing w:after="0"/>
              <w:rPr>
                <w:sz w:val="11"/>
                <w:szCs w:val="11"/>
                <w:color w:val="auto"/>
              </w:rPr>
            </w:pPr>
          </w:p>
        </w:tc>
        <w:tc>
          <w:tcPr>
            <w:tcW w:w="960" w:type="dxa"/>
            <w:vAlign w:val="bottom"/>
            <w:tcBorders>
              <w:bottom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tcBorders>
              <w:bottom w:val="single" w:sz="8" w:color="auto"/>
            </w:tcBorders>
            <w:shd w:val="clear" w:color="auto" w:fill="CCFFCC"/>
          </w:tcPr>
          <w:p>
            <w:pPr>
              <w:spacing w:after="0"/>
              <w:rPr>
                <w:sz w:val="11"/>
                <w:szCs w:val="11"/>
                <w:color w:val="auto"/>
              </w:rPr>
            </w:pPr>
          </w:p>
        </w:tc>
        <w:tc>
          <w:tcPr>
            <w:tcW w:w="880" w:type="dxa"/>
            <w:vAlign w:val="bottom"/>
            <w:tcBorders>
              <w:bottom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tcBorders>
              <w:bottom w:val="single" w:sz="8" w:color="auto"/>
            </w:tcBorders>
            <w:shd w:val="clear" w:color="auto" w:fill="CCFFCC"/>
          </w:tcPr>
          <w:p>
            <w:pPr>
              <w:spacing w:after="0"/>
              <w:rPr>
                <w:sz w:val="11"/>
                <w:szCs w:val="11"/>
                <w:color w:val="auto"/>
              </w:rPr>
            </w:pPr>
          </w:p>
        </w:tc>
        <w:tc>
          <w:tcPr>
            <w:tcW w:w="860" w:type="dxa"/>
            <w:vAlign w:val="bottom"/>
            <w:tcBorders>
              <w:bottom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40" w:type="dxa"/>
            <w:vAlign w:val="bottom"/>
            <w:tcBorders>
              <w:bottom w:val="single" w:sz="8" w:color="auto"/>
            </w:tcBorders>
            <w:shd w:val="clear" w:color="auto" w:fill="CCFFCC"/>
          </w:tcPr>
          <w:p>
            <w:pPr>
              <w:spacing w:after="0"/>
              <w:rPr>
                <w:sz w:val="11"/>
                <w:szCs w:val="11"/>
                <w:color w:val="auto"/>
              </w:rPr>
            </w:pPr>
          </w:p>
        </w:tc>
        <w:tc>
          <w:tcPr>
            <w:tcW w:w="880" w:type="dxa"/>
            <w:vAlign w:val="bottom"/>
            <w:tcBorders>
              <w:bottom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60" w:type="dxa"/>
            <w:vAlign w:val="bottom"/>
            <w:tcBorders>
              <w:bottom w:val="single" w:sz="8" w:color="auto"/>
            </w:tcBorders>
            <w:shd w:val="clear" w:color="auto" w:fill="CCFFCC"/>
          </w:tcPr>
          <w:p>
            <w:pPr>
              <w:spacing w:after="0"/>
              <w:rPr>
                <w:sz w:val="11"/>
                <w:szCs w:val="11"/>
                <w:color w:val="auto"/>
              </w:rPr>
            </w:pPr>
          </w:p>
        </w:tc>
        <w:tc>
          <w:tcPr>
            <w:tcW w:w="860" w:type="dxa"/>
            <w:vAlign w:val="bottom"/>
            <w:tcBorders>
              <w:bottom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20" w:type="dxa"/>
            <w:vAlign w:val="bottom"/>
            <w:tcBorders>
              <w:bottom w:val="single" w:sz="8" w:color="CCFFCC"/>
            </w:tcBorders>
          </w:tcPr>
          <w:p>
            <w:pPr>
              <w:spacing w:after="0"/>
              <w:rPr>
                <w:sz w:val="10"/>
                <w:szCs w:val="10"/>
                <w:color w:val="auto"/>
              </w:rPr>
            </w:pPr>
          </w:p>
        </w:tc>
        <w:tc>
          <w:tcPr>
            <w:tcW w:w="102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300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1,214</w:t>
            </w:r>
          </w:p>
        </w:tc>
        <w:tc>
          <w:tcPr>
            <w:tcW w:w="12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7,007</w:t>
            </w:r>
          </w:p>
        </w:tc>
        <w:tc>
          <w:tcPr>
            <w:tcW w:w="10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15,746</w:t>
            </w:r>
          </w:p>
        </w:tc>
        <w:tc>
          <w:tcPr>
            <w:tcW w:w="220" w:type="dxa"/>
            <w:vAlign w:val="bottom"/>
            <w:tcBorders>
              <w:bottom w:val="single" w:sz="8" w:color="CCFFC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CCFFC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22,753</w:t>
            </w:r>
          </w:p>
        </w:tc>
        <w:tc>
          <w:tcPr>
            <w:tcW w:w="120" w:type="dxa"/>
            <w:vAlign w:val="bottom"/>
            <w:tcBorders>
              <w:bottom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tcPr>
          <w:p>
            <w:pPr>
              <w:spacing w:after="0" w:line="125" w:lineRule="exact"/>
              <w:rPr>
                <w:sz w:val="20"/>
                <w:szCs w:val="20"/>
                <w:color w:val="auto"/>
              </w:rPr>
            </w:pPr>
            <w:r>
              <w:rPr>
                <w:rFonts w:ascii="Arial" w:cs="Arial" w:eastAsia="Arial" w:hAnsi="Arial"/>
                <w:sz w:val="12"/>
                <w:szCs w:val="12"/>
                <w:color w:val="auto"/>
              </w:rPr>
              <w:t>Fresh Food Concepts, Inc.</w:t>
            </w:r>
          </w:p>
        </w:tc>
        <w:tc>
          <w:tcPr>
            <w:tcW w:w="3120" w:type="dxa"/>
            <w:vAlign w:val="bottom"/>
            <w:gridSpan w:val="2"/>
          </w:tcPr>
          <w:p>
            <w:pPr>
              <w:ind w:left="120"/>
              <w:spacing w:after="0" w:line="125" w:lineRule="exact"/>
              <w:rPr>
                <w:sz w:val="20"/>
                <w:szCs w:val="20"/>
                <w:color w:val="auto"/>
              </w:rPr>
            </w:pPr>
            <w:r>
              <w:rPr>
                <w:rFonts w:ascii="Arial" w:cs="Arial" w:eastAsia="Arial" w:hAnsi="Arial"/>
                <w:sz w:val="12"/>
                <w:szCs w:val="12"/>
                <w:color w:val="auto"/>
              </w:rPr>
              <w:t>Subordinated Debt (13% Cash, 4% PIK)</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67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10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tcPr>
          <w:p>
            <w:pPr>
              <w:spacing w:after="0" w:line="125" w:lineRule="exact"/>
              <w:rPr>
                <w:sz w:val="20"/>
                <w:szCs w:val="20"/>
                <w:color w:val="auto"/>
              </w:rPr>
            </w:pPr>
            <w:r>
              <w:rPr>
                <w:rFonts w:ascii="Arial" w:cs="Arial" w:eastAsia="Arial" w:hAnsi="Arial"/>
                <w:sz w:val="12"/>
                <w:szCs w:val="12"/>
                <w:color w:val="auto"/>
              </w:rPr>
              <w:t>Fresh Food Concepts, Inc.</w:t>
            </w:r>
          </w:p>
        </w:tc>
        <w:tc>
          <w:tcPr>
            <w:tcW w:w="3120" w:type="dxa"/>
            <w:vAlign w:val="bottom"/>
            <w:gridSpan w:val="2"/>
          </w:tcPr>
          <w:p>
            <w:pPr>
              <w:ind w:left="120"/>
              <w:spacing w:after="0" w:line="125" w:lineRule="exact"/>
              <w:rPr>
                <w:sz w:val="20"/>
                <w:szCs w:val="20"/>
                <w:color w:val="auto"/>
              </w:rPr>
            </w:pPr>
            <w:r>
              <w:rPr>
                <w:rFonts w:ascii="Arial" w:cs="Arial" w:eastAsia="Arial" w:hAnsi="Arial"/>
                <w:sz w:val="12"/>
                <w:szCs w:val="12"/>
                <w:color w:val="auto"/>
              </w:rPr>
              <w:t>Class A Common Units (1,500 units)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10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tcPr>
          <w:p>
            <w:pPr>
              <w:spacing w:after="0" w:line="125" w:lineRule="exact"/>
              <w:rPr>
                <w:sz w:val="20"/>
                <w:szCs w:val="20"/>
                <w:color w:val="auto"/>
              </w:rPr>
            </w:pPr>
            <w:r>
              <w:rPr>
                <w:rFonts w:ascii="Arial" w:cs="Arial" w:eastAsia="Arial" w:hAnsi="Arial"/>
                <w:sz w:val="12"/>
                <w:szCs w:val="12"/>
                <w:color w:val="auto"/>
              </w:rPr>
              <w:t>Fresh Food Concepts, Inc.</w:t>
            </w:r>
          </w:p>
        </w:tc>
        <w:tc>
          <w:tcPr>
            <w:tcW w:w="3120" w:type="dxa"/>
            <w:vAlign w:val="bottom"/>
            <w:gridSpan w:val="2"/>
          </w:tcPr>
          <w:p>
            <w:pPr>
              <w:ind w:left="120"/>
              <w:spacing w:after="0" w:line="125" w:lineRule="exact"/>
              <w:rPr>
                <w:sz w:val="20"/>
                <w:szCs w:val="20"/>
                <w:color w:val="auto"/>
              </w:rPr>
            </w:pPr>
            <w:r>
              <w:rPr>
                <w:rFonts w:ascii="Arial" w:cs="Arial" w:eastAsia="Arial" w:hAnsi="Arial"/>
                <w:sz w:val="12"/>
                <w:szCs w:val="12"/>
                <w:color w:val="auto"/>
              </w:rPr>
              <w:t>Class C Common Unit Warrants (165 units)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10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30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tcBorders>
              <w:bottom w:val="single" w:sz="8" w:color="auto"/>
            </w:tcBorders>
            <w:shd w:val="clear" w:color="auto" w:fill="CCFFCC"/>
          </w:tcPr>
          <w:p>
            <w:pPr>
              <w:spacing w:after="0"/>
              <w:rPr>
                <w:sz w:val="11"/>
                <w:szCs w:val="11"/>
                <w:color w:val="auto"/>
              </w:rPr>
            </w:pPr>
          </w:p>
        </w:tc>
        <w:tc>
          <w:tcPr>
            <w:tcW w:w="960" w:type="dxa"/>
            <w:vAlign w:val="bottom"/>
            <w:tcBorders>
              <w:bottom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tcBorders>
              <w:bottom w:val="single" w:sz="8" w:color="auto"/>
            </w:tcBorders>
            <w:shd w:val="clear" w:color="auto" w:fill="CCFFCC"/>
          </w:tcPr>
          <w:p>
            <w:pPr>
              <w:spacing w:after="0"/>
              <w:rPr>
                <w:sz w:val="11"/>
                <w:szCs w:val="11"/>
                <w:color w:val="auto"/>
              </w:rPr>
            </w:pPr>
          </w:p>
        </w:tc>
        <w:tc>
          <w:tcPr>
            <w:tcW w:w="880" w:type="dxa"/>
            <w:vAlign w:val="bottom"/>
            <w:tcBorders>
              <w:bottom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tcBorders>
              <w:bottom w:val="single" w:sz="8" w:color="auto"/>
            </w:tcBorders>
            <w:shd w:val="clear" w:color="auto" w:fill="CCFFCC"/>
          </w:tcPr>
          <w:p>
            <w:pPr>
              <w:spacing w:after="0"/>
              <w:rPr>
                <w:sz w:val="11"/>
                <w:szCs w:val="11"/>
                <w:color w:val="auto"/>
              </w:rPr>
            </w:pPr>
          </w:p>
        </w:tc>
        <w:tc>
          <w:tcPr>
            <w:tcW w:w="860" w:type="dxa"/>
            <w:vAlign w:val="bottom"/>
            <w:tcBorders>
              <w:bottom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40" w:type="dxa"/>
            <w:vAlign w:val="bottom"/>
            <w:tcBorders>
              <w:bottom w:val="single" w:sz="8" w:color="auto"/>
            </w:tcBorders>
            <w:shd w:val="clear" w:color="auto" w:fill="CCFFCC"/>
          </w:tcPr>
          <w:p>
            <w:pPr>
              <w:spacing w:after="0"/>
              <w:rPr>
                <w:sz w:val="11"/>
                <w:szCs w:val="11"/>
                <w:color w:val="auto"/>
              </w:rPr>
            </w:pPr>
          </w:p>
        </w:tc>
        <w:tc>
          <w:tcPr>
            <w:tcW w:w="880" w:type="dxa"/>
            <w:vAlign w:val="bottom"/>
            <w:tcBorders>
              <w:bottom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60" w:type="dxa"/>
            <w:vAlign w:val="bottom"/>
            <w:tcBorders>
              <w:bottom w:val="single" w:sz="8" w:color="auto"/>
            </w:tcBorders>
            <w:shd w:val="clear" w:color="auto" w:fill="CCFFCC"/>
          </w:tcPr>
          <w:p>
            <w:pPr>
              <w:spacing w:after="0"/>
              <w:rPr>
                <w:sz w:val="11"/>
                <w:szCs w:val="11"/>
                <w:color w:val="auto"/>
              </w:rPr>
            </w:pPr>
          </w:p>
        </w:tc>
        <w:tc>
          <w:tcPr>
            <w:tcW w:w="860" w:type="dxa"/>
            <w:vAlign w:val="bottom"/>
            <w:tcBorders>
              <w:bottom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20" w:type="dxa"/>
            <w:vAlign w:val="bottom"/>
            <w:tcBorders>
              <w:bottom w:val="single" w:sz="8" w:color="CCFFCC"/>
            </w:tcBorders>
          </w:tcPr>
          <w:p>
            <w:pPr>
              <w:spacing w:after="0"/>
              <w:rPr>
                <w:sz w:val="10"/>
                <w:szCs w:val="10"/>
                <w:color w:val="auto"/>
              </w:rPr>
            </w:pPr>
          </w:p>
        </w:tc>
        <w:tc>
          <w:tcPr>
            <w:tcW w:w="102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300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67</w:t>
            </w:r>
          </w:p>
        </w:tc>
        <w:tc>
          <w:tcPr>
            <w:tcW w:w="12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CCFFC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CCFFC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tcPr>
          <w:p>
            <w:pPr>
              <w:spacing w:after="0" w:line="125" w:lineRule="exact"/>
              <w:rPr>
                <w:sz w:val="20"/>
                <w:szCs w:val="20"/>
                <w:color w:val="auto"/>
              </w:rPr>
            </w:pPr>
            <w:r>
              <w:rPr>
                <w:rFonts w:ascii="Arial" w:cs="Arial" w:eastAsia="Arial" w:hAnsi="Arial"/>
                <w:sz w:val="12"/>
                <w:szCs w:val="12"/>
                <w:color w:val="auto"/>
              </w:rPr>
              <w:t>GA Communications, Inc.</w:t>
            </w:r>
          </w:p>
        </w:tc>
        <w:tc>
          <w:tcPr>
            <w:tcW w:w="3120" w:type="dxa"/>
            <w:vAlign w:val="bottom"/>
            <w:gridSpan w:val="2"/>
          </w:tcPr>
          <w:p>
            <w:pPr>
              <w:ind w:left="120"/>
              <w:spacing w:after="0" w:line="125" w:lineRule="exact"/>
              <w:rPr>
                <w:sz w:val="20"/>
                <w:szCs w:val="20"/>
                <w:color w:val="auto"/>
              </w:rPr>
            </w:pPr>
            <w:r>
              <w:rPr>
                <w:rFonts w:ascii="Arial" w:cs="Arial" w:eastAsia="Arial" w:hAnsi="Arial"/>
                <w:sz w:val="12"/>
                <w:szCs w:val="12"/>
                <w:color w:val="auto"/>
              </w:rPr>
              <w:t>Subordinated Debt (12.5% Cash)</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420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100"/>
              <w:spacing w:after="0" w:line="125" w:lineRule="exact"/>
              <w:rPr>
                <w:sz w:val="20"/>
                <w:szCs w:val="20"/>
                <w:color w:val="auto"/>
              </w:rPr>
            </w:pPr>
            <w:r>
              <w:rPr>
                <w:rFonts w:ascii="Arial" w:cs="Arial" w:eastAsia="Arial" w:hAnsi="Arial"/>
                <w:sz w:val="12"/>
                <w:szCs w:val="12"/>
                <w:color w:val="auto"/>
              </w:rPr>
              <w:t>13,000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100" w:type="dxa"/>
            <w:vAlign w:val="bottom"/>
            <w:gridSpan w:val="2"/>
          </w:tcPr>
          <w:p>
            <w:pPr>
              <w:jc w:val="right"/>
              <w:ind w:right="140"/>
              <w:spacing w:after="0" w:line="125" w:lineRule="exact"/>
              <w:rPr>
                <w:sz w:val="20"/>
                <w:szCs w:val="20"/>
                <w:color w:val="auto"/>
              </w:rPr>
            </w:pPr>
            <w:r>
              <w:rPr>
                <w:rFonts w:ascii="Arial" w:cs="Arial" w:eastAsia="Arial" w:hAnsi="Arial"/>
                <w:sz w:val="12"/>
                <w:szCs w:val="12"/>
                <w:color w:val="auto"/>
              </w:rPr>
              <w:t>(13,000)</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tcPr>
          <w:p>
            <w:pPr>
              <w:spacing w:after="0" w:line="125" w:lineRule="exact"/>
              <w:rPr>
                <w:sz w:val="20"/>
                <w:szCs w:val="20"/>
                <w:color w:val="auto"/>
              </w:rPr>
            </w:pPr>
            <w:r>
              <w:rPr>
                <w:rFonts w:ascii="Arial" w:cs="Arial" w:eastAsia="Arial" w:hAnsi="Arial"/>
                <w:sz w:val="12"/>
                <w:szCs w:val="12"/>
                <w:color w:val="auto"/>
              </w:rPr>
              <w:t>GA Communications, Inc.</w:t>
            </w:r>
          </w:p>
        </w:tc>
        <w:tc>
          <w:tcPr>
            <w:tcW w:w="3120" w:type="dxa"/>
            <w:vAlign w:val="bottom"/>
            <w:gridSpan w:val="2"/>
          </w:tcPr>
          <w:p>
            <w:pPr>
              <w:ind w:left="120"/>
              <w:spacing w:after="0" w:line="125" w:lineRule="exact"/>
              <w:rPr>
                <w:sz w:val="20"/>
                <w:szCs w:val="20"/>
                <w:color w:val="auto"/>
              </w:rPr>
            </w:pPr>
            <w:r>
              <w:rPr>
                <w:rFonts w:ascii="Arial" w:cs="Arial" w:eastAsia="Arial" w:hAnsi="Arial"/>
                <w:sz w:val="12"/>
                <w:szCs w:val="12"/>
                <w:color w:val="auto"/>
              </w:rPr>
              <w:t>Series A-1 Preferred Stock (1,998 shares)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100"/>
              <w:spacing w:after="0" w:line="125" w:lineRule="exact"/>
              <w:rPr>
                <w:sz w:val="20"/>
                <w:szCs w:val="20"/>
                <w:color w:val="auto"/>
              </w:rPr>
            </w:pPr>
            <w:r>
              <w:rPr>
                <w:rFonts w:ascii="Arial" w:cs="Arial" w:eastAsia="Arial" w:hAnsi="Arial"/>
                <w:sz w:val="12"/>
                <w:szCs w:val="12"/>
                <w:color w:val="auto"/>
              </w:rPr>
              <w:t>2,194</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176</w:t>
            </w:r>
          </w:p>
        </w:tc>
        <w:tc>
          <w:tcPr>
            <w:tcW w:w="140" w:type="dxa"/>
            <w:vAlign w:val="bottom"/>
          </w:tcPr>
          <w:p>
            <w:pPr>
              <w:spacing w:after="0"/>
              <w:rPr>
                <w:sz w:val="10"/>
                <w:szCs w:val="10"/>
                <w:color w:val="auto"/>
              </w:rPr>
            </w:pPr>
          </w:p>
        </w:tc>
        <w:tc>
          <w:tcPr>
            <w:tcW w:w="110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2,370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tcPr>
          <w:p>
            <w:pPr>
              <w:spacing w:after="0" w:line="125" w:lineRule="exact"/>
              <w:rPr>
                <w:sz w:val="20"/>
                <w:szCs w:val="20"/>
                <w:color w:val="auto"/>
              </w:rPr>
            </w:pPr>
            <w:r>
              <w:rPr>
                <w:rFonts w:ascii="Arial" w:cs="Arial" w:eastAsia="Arial" w:hAnsi="Arial"/>
                <w:sz w:val="12"/>
                <w:szCs w:val="12"/>
                <w:color w:val="auto"/>
              </w:rPr>
              <w:t>GA Communications, Inc.</w:t>
            </w:r>
          </w:p>
        </w:tc>
        <w:tc>
          <w:tcPr>
            <w:tcW w:w="3120" w:type="dxa"/>
            <w:vAlign w:val="bottom"/>
            <w:gridSpan w:val="2"/>
          </w:tcPr>
          <w:p>
            <w:pPr>
              <w:ind w:left="120"/>
              <w:spacing w:after="0" w:line="125" w:lineRule="exact"/>
              <w:rPr>
                <w:sz w:val="20"/>
                <w:szCs w:val="20"/>
                <w:color w:val="auto"/>
              </w:rPr>
            </w:pPr>
            <w:r>
              <w:rPr>
                <w:rFonts w:ascii="Arial" w:cs="Arial" w:eastAsia="Arial" w:hAnsi="Arial"/>
                <w:sz w:val="12"/>
                <w:szCs w:val="12"/>
                <w:color w:val="auto"/>
              </w:rPr>
              <w:t>Series B-1 Common Stock (200,000 shares)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100"/>
              <w:spacing w:after="0" w:line="125" w:lineRule="exact"/>
              <w:rPr>
                <w:sz w:val="20"/>
                <w:szCs w:val="20"/>
                <w:color w:val="auto"/>
              </w:rPr>
            </w:pPr>
            <w:r>
              <w:rPr>
                <w:rFonts w:ascii="Arial" w:cs="Arial" w:eastAsia="Arial" w:hAnsi="Arial"/>
                <w:sz w:val="12"/>
                <w:szCs w:val="12"/>
                <w:color w:val="auto"/>
              </w:rPr>
              <w:t>3,260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100" w:type="dxa"/>
            <w:vAlign w:val="bottom"/>
            <w:gridSpan w:val="2"/>
          </w:tcPr>
          <w:p>
            <w:pPr>
              <w:jc w:val="right"/>
              <w:ind w:right="140"/>
              <w:spacing w:after="0" w:line="125" w:lineRule="exact"/>
              <w:rPr>
                <w:sz w:val="20"/>
                <w:szCs w:val="20"/>
                <w:color w:val="auto"/>
              </w:rPr>
            </w:pPr>
            <w:r>
              <w:rPr>
                <w:rFonts w:ascii="Arial" w:cs="Arial" w:eastAsia="Arial" w:hAnsi="Arial"/>
                <w:sz w:val="12"/>
                <w:szCs w:val="12"/>
                <w:color w:val="auto"/>
              </w:rPr>
              <w:t>(719)</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2,541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30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tcBorders>
              <w:bottom w:val="single" w:sz="8" w:color="auto"/>
            </w:tcBorders>
            <w:shd w:val="clear" w:color="auto" w:fill="CCFFCC"/>
          </w:tcPr>
          <w:p>
            <w:pPr>
              <w:spacing w:after="0"/>
              <w:rPr>
                <w:sz w:val="11"/>
                <w:szCs w:val="11"/>
                <w:color w:val="auto"/>
              </w:rPr>
            </w:pPr>
          </w:p>
        </w:tc>
        <w:tc>
          <w:tcPr>
            <w:tcW w:w="960" w:type="dxa"/>
            <w:vAlign w:val="bottom"/>
            <w:tcBorders>
              <w:bottom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tcBorders>
              <w:bottom w:val="single" w:sz="8" w:color="auto"/>
            </w:tcBorders>
            <w:shd w:val="clear" w:color="auto" w:fill="CCFFCC"/>
          </w:tcPr>
          <w:p>
            <w:pPr>
              <w:spacing w:after="0"/>
              <w:rPr>
                <w:sz w:val="11"/>
                <w:szCs w:val="11"/>
                <w:color w:val="auto"/>
              </w:rPr>
            </w:pPr>
          </w:p>
        </w:tc>
        <w:tc>
          <w:tcPr>
            <w:tcW w:w="880" w:type="dxa"/>
            <w:vAlign w:val="bottom"/>
            <w:tcBorders>
              <w:bottom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tcBorders>
              <w:bottom w:val="single" w:sz="8" w:color="auto"/>
            </w:tcBorders>
            <w:shd w:val="clear" w:color="auto" w:fill="CCFFCC"/>
          </w:tcPr>
          <w:p>
            <w:pPr>
              <w:spacing w:after="0"/>
              <w:rPr>
                <w:sz w:val="11"/>
                <w:szCs w:val="11"/>
                <w:color w:val="auto"/>
              </w:rPr>
            </w:pPr>
          </w:p>
        </w:tc>
        <w:tc>
          <w:tcPr>
            <w:tcW w:w="860" w:type="dxa"/>
            <w:vAlign w:val="bottom"/>
            <w:tcBorders>
              <w:bottom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40" w:type="dxa"/>
            <w:vAlign w:val="bottom"/>
            <w:tcBorders>
              <w:bottom w:val="single" w:sz="8" w:color="auto"/>
            </w:tcBorders>
            <w:shd w:val="clear" w:color="auto" w:fill="CCFFCC"/>
          </w:tcPr>
          <w:p>
            <w:pPr>
              <w:spacing w:after="0"/>
              <w:rPr>
                <w:sz w:val="11"/>
                <w:szCs w:val="11"/>
                <w:color w:val="auto"/>
              </w:rPr>
            </w:pPr>
          </w:p>
        </w:tc>
        <w:tc>
          <w:tcPr>
            <w:tcW w:w="880" w:type="dxa"/>
            <w:vAlign w:val="bottom"/>
            <w:tcBorders>
              <w:bottom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60" w:type="dxa"/>
            <w:vAlign w:val="bottom"/>
            <w:tcBorders>
              <w:bottom w:val="single" w:sz="8" w:color="auto"/>
            </w:tcBorders>
            <w:shd w:val="clear" w:color="auto" w:fill="CCFFCC"/>
          </w:tcPr>
          <w:p>
            <w:pPr>
              <w:spacing w:after="0"/>
              <w:rPr>
                <w:sz w:val="11"/>
                <w:szCs w:val="11"/>
                <w:color w:val="auto"/>
              </w:rPr>
            </w:pPr>
          </w:p>
        </w:tc>
        <w:tc>
          <w:tcPr>
            <w:tcW w:w="860" w:type="dxa"/>
            <w:vAlign w:val="bottom"/>
            <w:tcBorders>
              <w:bottom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20" w:type="dxa"/>
            <w:vAlign w:val="bottom"/>
            <w:tcBorders>
              <w:bottom w:val="single" w:sz="8" w:color="CCFFCC"/>
            </w:tcBorders>
          </w:tcPr>
          <w:p>
            <w:pPr>
              <w:spacing w:after="0"/>
              <w:rPr>
                <w:sz w:val="10"/>
                <w:szCs w:val="10"/>
                <w:color w:val="auto"/>
              </w:rPr>
            </w:pPr>
          </w:p>
        </w:tc>
        <w:tc>
          <w:tcPr>
            <w:tcW w:w="102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300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420</w:t>
            </w:r>
          </w:p>
        </w:tc>
        <w:tc>
          <w:tcPr>
            <w:tcW w:w="12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18,454</w:t>
            </w:r>
          </w:p>
        </w:tc>
        <w:tc>
          <w:tcPr>
            <w:tcW w:w="10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176</w:t>
            </w:r>
          </w:p>
        </w:tc>
        <w:tc>
          <w:tcPr>
            <w:tcW w:w="220" w:type="dxa"/>
            <w:vAlign w:val="bottom"/>
            <w:tcBorders>
              <w:bottom w:val="single" w:sz="8" w:color="CCFFC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(13,719</w:t>
            </w:r>
          </w:p>
        </w:tc>
        <w:tc>
          <w:tcPr>
            <w:tcW w:w="220" w:type="dxa"/>
            <w:vAlign w:val="bottom"/>
            <w:tcBorders>
              <w:bottom w:val="single" w:sz="8" w:color="CCFFCC"/>
            </w:tcBorders>
          </w:tcPr>
          <w:p>
            <w:pPr>
              <w:jc w:val="right"/>
              <w:ind w:right="140"/>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4,911</w:t>
            </w:r>
          </w:p>
        </w:tc>
        <w:tc>
          <w:tcPr>
            <w:tcW w:w="120" w:type="dxa"/>
            <w:vAlign w:val="bottom"/>
            <w:tcBorders>
              <w:bottom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tcPr>
          <w:p>
            <w:pPr>
              <w:spacing w:after="0" w:line="125" w:lineRule="exact"/>
              <w:rPr>
                <w:sz w:val="20"/>
                <w:szCs w:val="20"/>
                <w:color w:val="auto"/>
              </w:rPr>
            </w:pPr>
            <w:r>
              <w:rPr>
                <w:rFonts w:ascii="Arial" w:cs="Arial" w:eastAsia="Arial" w:hAnsi="Arial"/>
                <w:sz w:val="12"/>
                <w:szCs w:val="12"/>
                <w:color w:val="auto"/>
              </w:rPr>
              <w:t>Impresa Aerospace Holdings, LLC</w:t>
            </w:r>
          </w:p>
        </w:tc>
        <w:tc>
          <w:tcPr>
            <w:tcW w:w="3120" w:type="dxa"/>
            <w:vAlign w:val="bottom"/>
            <w:gridSpan w:val="2"/>
          </w:tcPr>
          <w:p>
            <w:pPr>
              <w:ind w:left="120"/>
              <w:spacing w:after="0" w:line="125" w:lineRule="exact"/>
              <w:rPr>
                <w:sz w:val="20"/>
                <w:szCs w:val="20"/>
                <w:color w:val="auto"/>
              </w:rPr>
            </w:pPr>
            <w:r>
              <w:rPr>
                <w:rFonts w:ascii="Arial" w:cs="Arial" w:eastAsia="Arial" w:hAnsi="Arial"/>
                <w:sz w:val="12"/>
                <w:szCs w:val="12"/>
                <w:color w:val="auto"/>
              </w:rPr>
              <w:t>Subordinated Debt (4.1% Cash)</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822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100"/>
              <w:spacing w:after="0" w:line="125" w:lineRule="exact"/>
              <w:rPr>
                <w:sz w:val="20"/>
                <w:szCs w:val="20"/>
                <w:color w:val="auto"/>
              </w:rPr>
            </w:pPr>
            <w:r>
              <w:rPr>
                <w:rFonts w:ascii="Arial" w:cs="Arial" w:eastAsia="Arial" w:hAnsi="Arial"/>
                <w:sz w:val="12"/>
                <w:szCs w:val="12"/>
                <w:color w:val="auto"/>
              </w:rPr>
              <w:t>5,219</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4,845</w:t>
            </w:r>
          </w:p>
        </w:tc>
        <w:tc>
          <w:tcPr>
            <w:tcW w:w="140" w:type="dxa"/>
            <w:vAlign w:val="bottom"/>
          </w:tcPr>
          <w:p>
            <w:pPr>
              <w:spacing w:after="0"/>
              <w:rPr>
                <w:sz w:val="10"/>
                <w:szCs w:val="10"/>
                <w:color w:val="auto"/>
              </w:rPr>
            </w:pPr>
          </w:p>
        </w:tc>
        <w:tc>
          <w:tcPr>
            <w:tcW w:w="110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10,064</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gridSpan w:val="2"/>
          </w:tcPr>
          <w:p>
            <w:pPr>
              <w:spacing w:after="0" w:line="125" w:lineRule="exact"/>
              <w:rPr>
                <w:sz w:val="20"/>
                <w:szCs w:val="20"/>
                <w:color w:val="auto"/>
              </w:rPr>
            </w:pPr>
            <w:r>
              <w:rPr>
                <w:rFonts w:ascii="Arial" w:cs="Arial" w:eastAsia="Arial" w:hAnsi="Arial"/>
                <w:sz w:val="12"/>
                <w:szCs w:val="12"/>
                <w:color w:val="auto"/>
              </w:rPr>
              <w:t>Impresa Aerospace Holdings, LLC</w:t>
            </w:r>
          </w:p>
        </w:tc>
        <w:tc>
          <w:tcPr>
            <w:tcW w:w="3120" w:type="dxa"/>
            <w:vAlign w:val="bottom"/>
            <w:gridSpan w:val="2"/>
          </w:tcPr>
          <w:p>
            <w:pPr>
              <w:ind w:left="120"/>
              <w:spacing w:after="0" w:line="125" w:lineRule="exact"/>
              <w:rPr>
                <w:sz w:val="20"/>
                <w:szCs w:val="20"/>
                <w:color w:val="auto"/>
              </w:rPr>
            </w:pPr>
            <w:r>
              <w:rPr>
                <w:rFonts w:ascii="Arial" w:cs="Arial" w:eastAsia="Arial" w:hAnsi="Arial"/>
                <w:sz w:val="12"/>
                <w:szCs w:val="12"/>
                <w:color w:val="auto"/>
              </w:rPr>
              <w:t>Class A Membership Units (1,006,621 units)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10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040" w:type="dxa"/>
            <w:vAlign w:val="bottom"/>
            <w:gridSpan w:val="2"/>
          </w:tcPr>
          <w:p>
            <w:pPr>
              <w:spacing w:after="0"/>
              <w:rPr>
                <w:sz w:val="20"/>
                <w:szCs w:val="20"/>
                <w:color w:val="auto"/>
              </w:rPr>
            </w:pPr>
            <w:r>
              <w:rPr>
                <w:rFonts w:ascii="Arial" w:cs="Arial" w:eastAsia="Arial" w:hAnsi="Arial"/>
                <w:sz w:val="12"/>
                <w:szCs w:val="12"/>
                <w:color w:val="auto"/>
              </w:rPr>
              <w:t>Impresa Aerospace Holdings, LLC</w:t>
            </w:r>
          </w:p>
        </w:tc>
        <w:tc>
          <w:tcPr>
            <w:tcW w:w="3120" w:type="dxa"/>
            <w:vAlign w:val="bottom"/>
            <w:gridSpan w:val="2"/>
          </w:tcPr>
          <w:p>
            <w:pPr>
              <w:ind w:left="120"/>
              <w:spacing w:after="0"/>
              <w:rPr>
                <w:sz w:val="20"/>
                <w:szCs w:val="20"/>
                <w:color w:val="auto"/>
              </w:rPr>
            </w:pPr>
            <w:r>
              <w:rPr>
                <w:rFonts w:ascii="Arial" w:cs="Arial" w:eastAsia="Arial" w:hAnsi="Arial"/>
                <w:sz w:val="12"/>
                <w:szCs w:val="12"/>
                <w:color w:val="auto"/>
              </w:rPr>
              <w:t>Class C Membership Units (362,416 units)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62" w:right="2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Amount of</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25" w:lineRule="exact"/>
              <w:rPr>
                <w:sz w:val="20"/>
                <w:szCs w:val="20"/>
                <w:color w:val="auto"/>
              </w:rPr>
            </w:pPr>
            <w:r>
              <w:rPr>
                <w:rFonts w:ascii="Arial" w:cs="Arial" w:eastAsia="Arial" w:hAnsi="Arial"/>
                <w:sz w:val="12"/>
                <w:szCs w:val="12"/>
                <w:b w:val="1"/>
                <w:bCs w:val="1"/>
                <w:color w:val="auto"/>
                <w:w w:val="90"/>
              </w:rPr>
              <w:t>Interest, Fees or</w:t>
            </w: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9"/>
              </w:rPr>
              <w:t>December</w:t>
            </w: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86"/>
              </w:rPr>
              <w:t>Gross</w:t>
            </w:r>
          </w:p>
        </w:tc>
        <w:tc>
          <w:tcPr>
            <w:tcW w:w="124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6"/>
              </w:rPr>
              <w:t>Gross</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9"/>
              </w:rPr>
              <w:t>December</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25" w:lineRule="exact"/>
              <w:rPr>
                <w:sz w:val="20"/>
                <w:szCs w:val="20"/>
                <w:color w:val="auto"/>
              </w:rPr>
            </w:pPr>
            <w:r>
              <w:rPr>
                <w:rFonts w:ascii="Arial" w:cs="Arial" w:eastAsia="Arial" w:hAnsi="Arial"/>
                <w:sz w:val="12"/>
                <w:szCs w:val="12"/>
                <w:b w:val="1"/>
                <w:bCs w:val="1"/>
                <w:color w:val="auto"/>
                <w:w w:val="90"/>
              </w:rPr>
              <w:t>Dividends</w:t>
            </w:r>
          </w:p>
        </w:tc>
        <w:tc>
          <w:tcPr>
            <w:tcW w:w="124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60"/>
              <w:spacing w:after="0" w:line="136" w:lineRule="exact"/>
              <w:rPr>
                <w:sz w:val="20"/>
                <w:szCs w:val="20"/>
                <w:color w:val="auto"/>
              </w:rPr>
            </w:pPr>
            <w:r>
              <w:rPr>
                <w:rFonts w:ascii="Arial" w:cs="Arial" w:eastAsia="Arial" w:hAnsi="Arial"/>
                <w:sz w:val="12"/>
                <w:szCs w:val="12"/>
                <w:b w:val="1"/>
                <w:bCs w:val="1"/>
                <w:color w:val="auto"/>
                <w:w w:val="91"/>
              </w:rPr>
              <w:t>Credits</w:t>
            </w:r>
          </w:p>
        </w:tc>
        <w:tc>
          <w:tcPr>
            <w:tcW w:w="10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31, 2012</w:t>
            </w:r>
          </w:p>
        </w:tc>
        <w:tc>
          <w:tcPr>
            <w:tcW w:w="220" w:type="dxa"/>
            <w:vAlign w:val="bottom"/>
          </w:tcPr>
          <w:p>
            <w:pPr>
              <w:spacing w:after="0"/>
              <w:rPr>
                <w:sz w:val="11"/>
                <w:szCs w:val="11"/>
                <w:color w:val="auto"/>
              </w:rPr>
            </w:pPr>
          </w:p>
        </w:tc>
        <w:tc>
          <w:tcPr>
            <w:tcW w:w="124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0"/>
              </w:rPr>
              <w:t>Additions</w:t>
            </w:r>
          </w:p>
        </w:tc>
        <w:tc>
          <w:tcPr>
            <w:tcW w:w="124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88"/>
              </w:rPr>
              <w:t>Reductions</w:t>
            </w:r>
          </w:p>
        </w:tc>
        <w:tc>
          <w:tcPr>
            <w:tcW w:w="10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31, 2013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60" w:type="dxa"/>
            <w:vAlign w:val="bottom"/>
            <w:gridSpan w:val="2"/>
          </w:tcPr>
          <w:p>
            <w:pPr>
              <w:spacing w:after="0"/>
              <w:rPr>
                <w:sz w:val="20"/>
                <w:szCs w:val="20"/>
                <w:color w:val="auto"/>
              </w:rPr>
            </w:pPr>
            <w:r>
              <w:rPr>
                <w:rFonts w:ascii="Arial" w:cs="Arial" w:eastAsia="Arial" w:hAnsi="Arial"/>
                <w:sz w:val="12"/>
                <w:szCs w:val="12"/>
                <w:b w:val="1"/>
                <w:bCs w:val="1"/>
                <w:color w:val="auto"/>
              </w:rPr>
              <w:t>Portfolio Company</w:t>
            </w:r>
          </w:p>
        </w:tc>
        <w:tc>
          <w:tcPr>
            <w:tcW w:w="120" w:type="dxa"/>
            <w:vAlign w:val="bottom"/>
          </w:tcPr>
          <w:p>
            <w:pPr>
              <w:spacing w:after="0"/>
              <w:rPr>
                <w:sz w:val="12"/>
                <w:szCs w:val="12"/>
                <w:color w:val="auto"/>
              </w:rPr>
            </w:pPr>
          </w:p>
        </w:tc>
        <w:tc>
          <w:tcPr>
            <w:tcW w:w="3120" w:type="dxa"/>
            <w:vAlign w:val="bottom"/>
            <w:gridSpan w:val="2"/>
          </w:tcPr>
          <w:p>
            <w:pPr>
              <w:ind w:left="1000"/>
              <w:spacing w:after="0"/>
              <w:rPr>
                <w:sz w:val="20"/>
                <w:szCs w:val="20"/>
                <w:color w:val="auto"/>
              </w:rPr>
            </w:pPr>
            <w:r>
              <w:rPr>
                <w:rFonts w:ascii="Arial" w:cs="Arial" w:eastAsia="Arial" w:hAnsi="Arial"/>
                <w:sz w:val="12"/>
                <w:szCs w:val="12"/>
                <w:b w:val="1"/>
                <w:bCs w:val="1"/>
                <w:color w:val="auto"/>
              </w:rPr>
              <w:t>Type of Investment</w:t>
            </w:r>
          </w:p>
        </w:tc>
        <w:tc>
          <w:tcPr>
            <w:tcW w:w="12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to Income(1)</w:t>
            </w: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Value</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5"/>
              </w:rPr>
              <w:t>(2)</w:t>
            </w: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5"/>
              </w:rPr>
              <w:t>(3)</w:t>
            </w:r>
          </w:p>
        </w:tc>
        <w:tc>
          <w:tcPr>
            <w:tcW w:w="220" w:type="dxa"/>
            <w:vAlign w:val="bottom"/>
          </w:tcPr>
          <w:p>
            <w:pPr>
              <w:spacing w:after="0"/>
              <w:rPr>
                <w:sz w:val="12"/>
                <w:szCs w:val="12"/>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Value</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2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Impresa Aerospace Holdings,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Class F Membership Units (604,504 units)</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581</w:t>
            </w:r>
          </w:p>
        </w:tc>
        <w:tc>
          <w:tcPr>
            <w:tcW w:w="124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(581)</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4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4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822</w:t>
            </w:r>
          </w:p>
        </w:tc>
        <w:tc>
          <w:tcPr>
            <w:tcW w:w="24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5,219</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5,426</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(581</w:t>
            </w:r>
          </w:p>
        </w:tc>
        <w:tc>
          <w:tcPr>
            <w:tcW w:w="220" w:type="dxa"/>
            <w:vAlign w:val="bottom"/>
            <w:shd w:val="clear" w:color="auto" w:fill="CCFFCC"/>
          </w:tcPr>
          <w:p>
            <w:pPr>
              <w:jc w:val="right"/>
              <w:ind w:right="140"/>
              <w:spacing w:after="0"/>
              <w:rPr>
                <w:sz w:val="20"/>
                <w:szCs w:val="20"/>
                <w:color w:val="auto"/>
              </w:rPr>
            </w:pPr>
            <w:r>
              <w:rPr>
                <w:rFonts w:ascii="Arial" w:cs="Arial" w:eastAsia="Arial" w:hAnsi="Arial"/>
                <w:sz w:val="8"/>
                <w:szCs w:val="8"/>
                <w:color w:val="auto"/>
                <w:w w:val="73"/>
              </w:rPr>
              <w:t>)</w:t>
            </w: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10,064</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J&amp;J Produce Holdings, Inc.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Subordinated Debt (13% Cash)</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683</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5,182</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5,182</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J&amp;J Produce Holdings, Inc.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Common Stock (8,182 units)</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1,005</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(71)</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934</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J&amp;J Produce Holdings, Inc.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Common Stock Warrants (4,506 shares)</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1020" w:type="dxa"/>
            <w:vAlign w:val="bottom"/>
            <w:shd w:val="clear" w:color="auto" w:fill="CCFFCC"/>
          </w:tcPr>
          <w:p>
            <w:pPr>
              <w:jc w:val="right"/>
              <w:spacing w:after="0" w:line="125" w:lineRule="exact"/>
              <w:rPr>
                <w:sz w:val="20"/>
                <w:szCs w:val="20"/>
                <w:color w:val="auto"/>
              </w:rPr>
            </w:pPr>
            <w:r>
              <w:rPr>
                <w:rFonts w:ascii="Arial" w:cs="Arial" w:eastAsia="Arial" w:hAnsi="Arial"/>
                <w:sz w:val="12"/>
                <w:szCs w:val="12"/>
                <w:color w:val="auto"/>
              </w:rPr>
              <w:t>535</w:t>
            </w:r>
          </w:p>
        </w:tc>
        <w:tc>
          <w:tcPr>
            <w:tcW w:w="220" w:type="dxa"/>
            <w:vAlign w:val="bottom"/>
            <w:shd w:val="clear" w:color="auto" w:fill="CCFFCC"/>
          </w:tcPr>
          <w:p>
            <w:pPr>
              <w:spacing w:after="0"/>
              <w:rPr>
                <w:sz w:val="10"/>
                <w:szCs w:val="10"/>
                <w:color w:val="auto"/>
              </w:rPr>
            </w:pP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(20)</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515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4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4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683</w:t>
            </w:r>
          </w:p>
        </w:tc>
        <w:tc>
          <w:tcPr>
            <w:tcW w:w="24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6,722</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(91</w:t>
            </w:r>
          </w:p>
        </w:tc>
        <w:tc>
          <w:tcPr>
            <w:tcW w:w="220" w:type="dxa"/>
            <w:vAlign w:val="bottom"/>
            <w:shd w:val="clear" w:color="auto" w:fill="CCFFCC"/>
          </w:tcPr>
          <w:p>
            <w:pPr>
              <w:jc w:val="right"/>
              <w:ind w:right="140"/>
              <w:spacing w:after="0"/>
              <w:rPr>
                <w:sz w:val="20"/>
                <w:szCs w:val="20"/>
                <w:color w:val="auto"/>
              </w:rPr>
            </w:pPr>
            <w:r>
              <w:rPr>
                <w:rFonts w:ascii="Arial" w:cs="Arial" w:eastAsia="Arial" w:hAnsi="Arial"/>
                <w:sz w:val="8"/>
                <w:szCs w:val="8"/>
                <w:color w:val="auto"/>
                <w:w w:val="73"/>
              </w:rPr>
              <w:t>)</w:t>
            </w: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6,631</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LJS Partners,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Common Stock (1,500,000 shares)</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1,308</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15,112</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(490)</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14,622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4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4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1,308</w:t>
            </w:r>
          </w:p>
        </w:tc>
        <w:tc>
          <w:tcPr>
            <w:tcW w:w="24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15,112</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(490</w:t>
            </w:r>
          </w:p>
        </w:tc>
        <w:tc>
          <w:tcPr>
            <w:tcW w:w="220" w:type="dxa"/>
            <w:vAlign w:val="bottom"/>
            <w:shd w:val="clear" w:color="auto" w:fill="CCFFCC"/>
          </w:tcPr>
          <w:p>
            <w:pPr>
              <w:jc w:val="right"/>
              <w:ind w:right="140"/>
              <w:spacing w:after="0"/>
              <w:rPr>
                <w:sz w:val="20"/>
                <w:szCs w:val="20"/>
                <w:color w:val="auto"/>
              </w:rPr>
            </w:pPr>
            <w:r>
              <w:rPr>
                <w:rFonts w:ascii="Arial" w:cs="Arial" w:eastAsia="Arial" w:hAnsi="Arial"/>
                <w:sz w:val="8"/>
                <w:szCs w:val="8"/>
                <w:color w:val="auto"/>
                <w:w w:val="73"/>
              </w:rPr>
              <w:t>)</w:t>
            </w: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14,622</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MJC Holdings,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Subordinated Debt (14%, 2% PIK at company's option)</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1,064</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7,571</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10</w:t>
            </w:r>
          </w:p>
        </w:tc>
        <w:tc>
          <w:tcPr>
            <w:tcW w:w="124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(81)</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7,500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MJC Holdings,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Series A Preferred Units (2,000,000 units)</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328</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2,762</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2,462</w:t>
            </w:r>
          </w:p>
        </w:tc>
        <w:tc>
          <w:tcPr>
            <w:tcW w:w="124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5,224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4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4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1,392</w:t>
            </w:r>
          </w:p>
        </w:tc>
        <w:tc>
          <w:tcPr>
            <w:tcW w:w="24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10,333</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2,472</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(81</w:t>
            </w:r>
          </w:p>
        </w:tc>
        <w:tc>
          <w:tcPr>
            <w:tcW w:w="220" w:type="dxa"/>
            <w:vAlign w:val="bottom"/>
            <w:shd w:val="clear" w:color="auto" w:fill="CCFFCC"/>
          </w:tcPr>
          <w:p>
            <w:pPr>
              <w:jc w:val="right"/>
              <w:ind w:right="140"/>
              <w:spacing w:after="0"/>
              <w:rPr>
                <w:sz w:val="20"/>
                <w:szCs w:val="20"/>
                <w:color w:val="auto"/>
              </w:rPr>
            </w:pPr>
            <w:r>
              <w:rPr>
                <w:rFonts w:ascii="Arial" w:cs="Arial" w:eastAsia="Arial" w:hAnsi="Arial"/>
                <w:sz w:val="8"/>
                <w:szCs w:val="8"/>
                <w:color w:val="auto"/>
                <w:w w:val="73"/>
              </w:rPr>
              <w:t>)</w:t>
            </w: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12,724</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MMI Holdings,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Senior Secured Debt (12% Cash)</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322</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2,600</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2,600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MMI Holdings,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Subordinated Debt (6% Cash)</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10</w:t>
            </w:r>
          </w:p>
        </w:tc>
        <w:tc>
          <w:tcPr>
            <w:tcW w:w="1020" w:type="dxa"/>
            <w:vAlign w:val="bottom"/>
            <w:shd w:val="clear" w:color="auto" w:fill="CCFFCC"/>
          </w:tcPr>
          <w:p>
            <w:pPr>
              <w:jc w:val="right"/>
              <w:spacing w:after="0" w:line="125" w:lineRule="exact"/>
              <w:rPr>
                <w:sz w:val="20"/>
                <w:szCs w:val="20"/>
                <w:color w:val="auto"/>
              </w:rPr>
            </w:pPr>
            <w:r>
              <w:rPr>
                <w:rFonts w:ascii="Arial" w:cs="Arial" w:eastAsia="Arial" w:hAnsi="Arial"/>
                <w:sz w:val="12"/>
                <w:szCs w:val="12"/>
                <w:color w:val="auto"/>
              </w:rPr>
              <w:t>200</w:t>
            </w:r>
          </w:p>
        </w:tc>
        <w:tc>
          <w:tcPr>
            <w:tcW w:w="220" w:type="dxa"/>
            <w:vAlign w:val="bottom"/>
            <w:shd w:val="clear" w:color="auto" w:fill="CCFFCC"/>
          </w:tcPr>
          <w:p>
            <w:pPr>
              <w:spacing w:after="0"/>
              <w:rPr>
                <w:sz w:val="10"/>
                <w:szCs w:val="10"/>
                <w:color w:val="auto"/>
              </w:rPr>
            </w:pP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200</w:t>
            </w:r>
          </w:p>
        </w:tc>
        <w:tc>
          <w:tcPr>
            <w:tcW w:w="124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400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MMI Holdings,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Preferred Units (1,000 units)</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1020" w:type="dxa"/>
            <w:vAlign w:val="bottom"/>
            <w:shd w:val="clear" w:color="auto" w:fill="CCFFCC"/>
          </w:tcPr>
          <w:p>
            <w:pPr>
              <w:jc w:val="right"/>
              <w:spacing w:after="0" w:line="125" w:lineRule="exact"/>
              <w:rPr>
                <w:sz w:val="20"/>
                <w:szCs w:val="20"/>
                <w:color w:val="auto"/>
              </w:rPr>
            </w:pPr>
            <w:r>
              <w:rPr>
                <w:rFonts w:ascii="Arial" w:cs="Arial" w:eastAsia="Arial" w:hAnsi="Arial"/>
                <w:sz w:val="12"/>
                <w:szCs w:val="12"/>
                <w:color w:val="auto"/>
              </w:rPr>
              <w:t>575</w:t>
            </w:r>
          </w:p>
        </w:tc>
        <w:tc>
          <w:tcPr>
            <w:tcW w:w="220" w:type="dxa"/>
            <w:vAlign w:val="bottom"/>
            <w:shd w:val="clear" w:color="auto" w:fill="CCFFCC"/>
          </w:tcPr>
          <w:p>
            <w:pPr>
              <w:spacing w:after="0"/>
              <w:rPr>
                <w:sz w:val="10"/>
                <w:szCs w:val="10"/>
                <w:color w:val="auto"/>
              </w:rPr>
            </w:pP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625</w:t>
            </w:r>
          </w:p>
        </w:tc>
        <w:tc>
          <w:tcPr>
            <w:tcW w:w="124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MMI Holdings,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Common Units (45 units)</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1020" w:type="dxa"/>
            <w:vAlign w:val="bottom"/>
            <w:shd w:val="clear" w:color="auto" w:fill="CCFFCC"/>
          </w:tcPr>
          <w:p>
            <w:pPr>
              <w:jc w:val="right"/>
              <w:spacing w:after="0" w:line="125" w:lineRule="exact"/>
              <w:rPr>
                <w:sz w:val="20"/>
                <w:szCs w:val="20"/>
                <w:color w:val="auto"/>
              </w:rPr>
            </w:pPr>
            <w:r>
              <w:rPr>
                <w:rFonts w:ascii="Arial" w:cs="Arial" w:eastAsia="Arial" w:hAnsi="Arial"/>
                <w:sz w:val="12"/>
                <w:szCs w:val="12"/>
                <w:color w:val="auto"/>
              </w:rPr>
              <w:t>187</w:t>
            </w:r>
          </w:p>
        </w:tc>
        <w:tc>
          <w:tcPr>
            <w:tcW w:w="220" w:type="dxa"/>
            <w:vAlign w:val="bottom"/>
            <w:shd w:val="clear" w:color="auto" w:fill="CCFFCC"/>
          </w:tcPr>
          <w:p>
            <w:pPr>
              <w:spacing w:after="0"/>
              <w:rPr>
                <w:sz w:val="10"/>
                <w:szCs w:val="10"/>
                <w:color w:val="auto"/>
              </w:rPr>
            </w:pPr>
          </w:p>
        </w:tc>
        <w:tc>
          <w:tcPr>
            <w:tcW w:w="10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24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(62)</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125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4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4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332</w:t>
            </w:r>
          </w:p>
        </w:tc>
        <w:tc>
          <w:tcPr>
            <w:tcW w:w="24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3,562</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825</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(62</w:t>
            </w:r>
          </w:p>
        </w:tc>
        <w:tc>
          <w:tcPr>
            <w:tcW w:w="220" w:type="dxa"/>
            <w:vAlign w:val="bottom"/>
            <w:shd w:val="clear" w:color="auto" w:fill="CCFFCC"/>
          </w:tcPr>
          <w:p>
            <w:pPr>
              <w:jc w:val="right"/>
              <w:ind w:right="140"/>
              <w:spacing w:after="0"/>
              <w:rPr>
                <w:sz w:val="20"/>
                <w:szCs w:val="20"/>
                <w:color w:val="auto"/>
              </w:rPr>
            </w:pPr>
            <w:r>
              <w:rPr>
                <w:rFonts w:ascii="Arial" w:cs="Arial" w:eastAsia="Arial" w:hAnsi="Arial"/>
                <w:sz w:val="8"/>
                <w:szCs w:val="8"/>
                <w:color w:val="auto"/>
                <w:w w:val="73"/>
              </w:rPr>
              <w:t>)</w:t>
            </w: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4,325</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MTI Holdings,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Subordinated Debt (12% Cash)</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407</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8,000</w:t>
            </w:r>
          </w:p>
        </w:tc>
        <w:tc>
          <w:tcPr>
            <w:tcW w:w="124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8,000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MTI Holdings,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Capital Units (2,000,000 units)</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2,823</w:t>
            </w:r>
          </w:p>
        </w:tc>
        <w:tc>
          <w:tcPr>
            <w:tcW w:w="124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2,823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4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4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407</w:t>
            </w:r>
          </w:p>
        </w:tc>
        <w:tc>
          <w:tcPr>
            <w:tcW w:w="24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10,823</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10,823</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Source Capital ABUTEC,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Senior Secured Debt (12% Cash, 3% PIK)</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611</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5,000</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125</w:t>
            </w:r>
          </w:p>
        </w:tc>
        <w:tc>
          <w:tcPr>
            <w:tcW w:w="124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5,125</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Source Capital ABUTEC,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Preferred Membership Units (15.5% fully diluted)</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1,240</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(1,180)</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4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4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611</w:t>
            </w:r>
          </w:p>
        </w:tc>
        <w:tc>
          <w:tcPr>
            <w:tcW w:w="24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6,240</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125</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(1,180</w:t>
            </w:r>
          </w:p>
        </w:tc>
        <w:tc>
          <w:tcPr>
            <w:tcW w:w="220" w:type="dxa"/>
            <w:vAlign w:val="bottom"/>
            <w:shd w:val="clear" w:color="auto" w:fill="CCFFCC"/>
          </w:tcPr>
          <w:p>
            <w:pPr>
              <w:jc w:val="right"/>
              <w:ind w:right="140"/>
              <w:spacing w:after="0"/>
              <w:rPr>
                <w:sz w:val="20"/>
                <w:szCs w:val="20"/>
                <w:color w:val="auto"/>
              </w:rPr>
            </w:pPr>
            <w:r>
              <w:rPr>
                <w:rFonts w:ascii="Arial" w:cs="Arial" w:eastAsia="Arial" w:hAnsi="Arial"/>
                <w:sz w:val="8"/>
                <w:szCs w:val="8"/>
                <w:color w:val="auto"/>
                <w:w w:val="73"/>
              </w:rPr>
              <w:t>)</w:t>
            </w: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5,185</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Source Capital Penray,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Subordinated Debt (13% Cash)</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330</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2,447</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53</w:t>
            </w:r>
          </w:p>
        </w:tc>
        <w:tc>
          <w:tcPr>
            <w:tcW w:w="124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2,500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Source Capital Penray,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Membership Units (11.3% fully diluted)</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1020" w:type="dxa"/>
            <w:vAlign w:val="bottom"/>
            <w:shd w:val="clear" w:color="auto" w:fill="CCFFCC"/>
          </w:tcPr>
          <w:p>
            <w:pPr>
              <w:jc w:val="right"/>
              <w:spacing w:after="0" w:line="125" w:lineRule="exact"/>
              <w:rPr>
                <w:sz w:val="20"/>
                <w:szCs w:val="20"/>
                <w:color w:val="auto"/>
              </w:rPr>
            </w:pPr>
            <w:r>
              <w:rPr>
                <w:rFonts w:ascii="Arial" w:cs="Arial" w:eastAsia="Arial" w:hAnsi="Arial"/>
                <w:sz w:val="12"/>
                <w:szCs w:val="12"/>
                <w:color w:val="auto"/>
              </w:rPr>
              <w:t>539</w:t>
            </w:r>
          </w:p>
        </w:tc>
        <w:tc>
          <w:tcPr>
            <w:tcW w:w="220" w:type="dxa"/>
            <w:vAlign w:val="bottom"/>
            <w:shd w:val="clear" w:color="auto" w:fill="CCFFCC"/>
          </w:tcPr>
          <w:p>
            <w:pPr>
              <w:spacing w:after="0"/>
              <w:rPr>
                <w:sz w:val="10"/>
                <w:szCs w:val="10"/>
                <w:color w:val="auto"/>
              </w:rPr>
            </w:pP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271</w:t>
            </w:r>
          </w:p>
        </w:tc>
        <w:tc>
          <w:tcPr>
            <w:tcW w:w="124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810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Source Capital Penray,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Common Stock Warrants (6.65% fully diluted)</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1020" w:type="dxa"/>
            <w:vAlign w:val="bottom"/>
            <w:shd w:val="clear" w:color="auto" w:fill="CCFFCC"/>
          </w:tcPr>
          <w:p>
            <w:pPr>
              <w:jc w:val="right"/>
              <w:spacing w:after="0" w:line="125" w:lineRule="exact"/>
              <w:rPr>
                <w:sz w:val="20"/>
                <w:szCs w:val="20"/>
                <w:color w:val="auto"/>
              </w:rPr>
            </w:pPr>
            <w:r>
              <w:rPr>
                <w:rFonts w:ascii="Arial" w:cs="Arial" w:eastAsia="Arial" w:hAnsi="Arial"/>
                <w:sz w:val="12"/>
                <w:szCs w:val="12"/>
                <w:color w:val="auto"/>
              </w:rPr>
              <w:t>297</w:t>
            </w:r>
          </w:p>
        </w:tc>
        <w:tc>
          <w:tcPr>
            <w:tcW w:w="220" w:type="dxa"/>
            <w:vAlign w:val="bottom"/>
            <w:shd w:val="clear" w:color="auto" w:fill="CCFFCC"/>
          </w:tcPr>
          <w:p>
            <w:pPr>
              <w:spacing w:after="0"/>
              <w:rPr>
                <w:sz w:val="10"/>
                <w:szCs w:val="10"/>
                <w:color w:val="auto"/>
              </w:rPr>
            </w:pP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279</w:t>
            </w:r>
          </w:p>
        </w:tc>
        <w:tc>
          <w:tcPr>
            <w:tcW w:w="124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576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4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4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330</w:t>
            </w:r>
          </w:p>
        </w:tc>
        <w:tc>
          <w:tcPr>
            <w:tcW w:w="24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3,283</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603</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3,886</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Source Capital SSCR,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Senior Secured Term Debt (14% Cash)</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1,764</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11,777</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3,011</w:t>
            </w:r>
          </w:p>
        </w:tc>
        <w:tc>
          <w:tcPr>
            <w:tcW w:w="124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(2,673)</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12,115</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Source Capital SSCR,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Senior Secured Term Debt (14% Cash, 5% PIK)</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112</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2,078</w:t>
            </w:r>
          </w:p>
        </w:tc>
        <w:tc>
          <w:tcPr>
            <w:tcW w:w="124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(120)</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1,958</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Source Capital SSCR,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Preferred Membership Units (14,718 units)</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1,114</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295</w:t>
            </w:r>
          </w:p>
        </w:tc>
        <w:tc>
          <w:tcPr>
            <w:tcW w:w="124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(1,409)</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Source Capital SSCR,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Membership Unit Warrants (0.987% fully diluted)</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4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4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1,876</w:t>
            </w:r>
          </w:p>
        </w:tc>
        <w:tc>
          <w:tcPr>
            <w:tcW w:w="24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12,891</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5,384</w:t>
            </w:r>
          </w:p>
        </w:tc>
        <w:tc>
          <w:tcPr>
            <w:tcW w:w="220" w:type="dxa"/>
            <w:vAlign w:val="bottom"/>
            <w:shd w:val="clear" w:color="auto" w:fill="CCFFCC"/>
          </w:tcPr>
          <w:p>
            <w:pPr>
              <w:spacing w:after="0"/>
              <w:rPr>
                <w:sz w:val="10"/>
                <w:szCs w:val="10"/>
                <w:color w:val="auto"/>
              </w:rPr>
            </w:pP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(4,202</w:t>
            </w:r>
          </w:p>
        </w:tc>
        <w:tc>
          <w:tcPr>
            <w:tcW w:w="220" w:type="dxa"/>
            <w:vAlign w:val="bottom"/>
            <w:shd w:val="clear" w:color="auto" w:fill="CCFFCC"/>
          </w:tcPr>
          <w:p>
            <w:pPr>
              <w:jc w:val="right"/>
              <w:ind w:right="140"/>
              <w:spacing w:after="0"/>
              <w:rPr>
                <w:sz w:val="20"/>
                <w:szCs w:val="20"/>
                <w:color w:val="auto"/>
              </w:rPr>
            </w:pPr>
            <w:r>
              <w:rPr>
                <w:rFonts w:ascii="Arial" w:cs="Arial" w:eastAsia="Arial" w:hAnsi="Arial"/>
                <w:sz w:val="8"/>
                <w:szCs w:val="8"/>
                <w:color w:val="auto"/>
                <w:w w:val="73"/>
              </w:rPr>
              <w:t>)</w:t>
            </w:r>
          </w:p>
        </w:tc>
        <w:tc>
          <w:tcPr>
            <w:tcW w:w="102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14,073</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Source Recycling,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Subordinated Debt (13% Cash)</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2,931</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1,019</w:t>
            </w:r>
          </w:p>
        </w:tc>
        <w:tc>
          <w:tcPr>
            <w:tcW w:w="10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3,950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Source Recycling, LLC</w:t>
            </w:r>
          </w:p>
        </w:tc>
        <w:tc>
          <w:tcPr>
            <w:tcW w:w="3240" w:type="dxa"/>
            <w:vAlign w:val="bottom"/>
            <w:gridSpan w:val="3"/>
            <w:shd w:val="clear" w:color="auto" w:fill="CCFFCC"/>
          </w:tcPr>
          <w:p>
            <w:pPr>
              <w:ind w:left="120"/>
              <w:spacing w:after="0" w:line="125" w:lineRule="exact"/>
              <w:rPr>
                <w:sz w:val="20"/>
                <w:szCs w:val="20"/>
                <w:color w:val="auto"/>
              </w:rPr>
            </w:pPr>
            <w:r>
              <w:rPr>
                <w:rFonts w:ascii="Arial" w:cs="Arial" w:eastAsia="Arial" w:hAnsi="Arial"/>
                <w:sz w:val="12"/>
                <w:szCs w:val="12"/>
                <w:color w:val="auto"/>
              </w:rPr>
              <w:t>Membership Units (68,658 units)</w:t>
            </w:r>
          </w:p>
        </w:tc>
        <w:tc>
          <w:tcPr>
            <w:tcW w:w="1280" w:type="dxa"/>
            <w:vAlign w:val="bottom"/>
            <w:gridSpan w:val="2"/>
            <w:shd w:val="clear" w:color="auto" w:fill="CCFFCC"/>
          </w:tcPr>
          <w:p>
            <w:pPr>
              <w:jc w:val="right"/>
              <w:ind w:right="24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199</w:t>
            </w:r>
          </w:p>
        </w:tc>
        <w:tc>
          <w:tcPr>
            <w:tcW w:w="124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(199)</w:t>
            </w:r>
          </w:p>
        </w:tc>
        <w:tc>
          <w:tcPr>
            <w:tcW w:w="114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62" w:right="219" w:bottom="1440" w:gutter="0" w:footer="0" w:header="0"/>
        </w:sectPr>
      </w:pPr>
    </w:p>
    <w:bookmarkStart w:id="90" w:name="page91"/>
    <w:bookmarkEnd w:id="90"/>
    <w:tbl>
      <w:tblPr>
        <w:tblLayout w:type="fixed"/>
        <w:tblInd w:w="1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Amount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90"/>
              </w:rPr>
              <w:t>Interest, Fees 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89"/>
              </w:rPr>
              <w:t>December</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2"/>
                <w:szCs w:val="12"/>
                <w:b w:val="1"/>
                <w:bCs w:val="1"/>
                <w:color w:val="auto"/>
                <w:w w:val="86"/>
              </w:rPr>
              <w:t>Gross</w:t>
            </w:r>
          </w:p>
        </w:tc>
        <w:tc>
          <w:tcPr>
            <w:tcW w:w="140" w:type="dxa"/>
            <w:vAlign w:val="bottom"/>
          </w:tcPr>
          <w:p>
            <w:pPr>
              <w:spacing w:after="0"/>
              <w:rPr>
                <w:sz w:val="10"/>
                <w:szCs w:val="10"/>
                <w:color w:val="auto"/>
              </w:rPr>
            </w:pPr>
          </w:p>
        </w:tc>
        <w:tc>
          <w:tcPr>
            <w:tcW w:w="1260" w:type="dxa"/>
            <w:vAlign w:val="bottom"/>
            <w:gridSpan w:val="3"/>
            <w:vMerge w:val="restart"/>
          </w:tcPr>
          <w:p>
            <w:pPr>
              <w:jc w:val="center"/>
              <w:ind w:right="470"/>
              <w:spacing w:after="0"/>
              <w:rPr>
                <w:sz w:val="20"/>
                <w:szCs w:val="20"/>
                <w:color w:val="auto"/>
              </w:rPr>
            </w:pPr>
            <w:r>
              <w:rPr>
                <w:rFonts w:ascii="Arial" w:cs="Arial" w:eastAsia="Arial" w:hAnsi="Arial"/>
                <w:sz w:val="12"/>
                <w:szCs w:val="12"/>
                <w:b w:val="1"/>
                <w:bCs w:val="1"/>
                <w:color w:val="auto"/>
                <w:w w:val="86"/>
              </w:rPr>
              <w:t>Gross</w:t>
            </w: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89"/>
              </w:rPr>
              <w:t>December</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90"/>
              </w:rPr>
              <w:t>Dividends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1"/>
              </w:rPr>
              <w:t>Credits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80"/>
              <w:spacing w:after="0" w:line="136" w:lineRule="exact"/>
              <w:rPr>
                <w:sz w:val="20"/>
                <w:szCs w:val="20"/>
                <w:color w:val="auto"/>
              </w:rPr>
            </w:pPr>
            <w:r>
              <w:rPr>
                <w:rFonts w:ascii="Arial" w:cs="Arial" w:eastAsia="Arial" w:hAnsi="Arial"/>
                <w:sz w:val="12"/>
                <w:szCs w:val="12"/>
                <w:b w:val="1"/>
                <w:bCs w:val="1"/>
                <w:color w:val="auto"/>
                <w:w w:val="89"/>
              </w:rPr>
              <w:t>31, 2012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380"/>
              <w:spacing w:after="0" w:line="136" w:lineRule="exact"/>
              <w:rPr>
                <w:sz w:val="20"/>
                <w:szCs w:val="20"/>
                <w:color w:val="auto"/>
              </w:rPr>
            </w:pPr>
            <w:r>
              <w:rPr>
                <w:rFonts w:ascii="Arial" w:cs="Arial" w:eastAsia="Arial" w:hAnsi="Arial"/>
                <w:sz w:val="12"/>
                <w:szCs w:val="12"/>
                <w:b w:val="1"/>
                <w:bCs w:val="1"/>
                <w:color w:val="auto"/>
                <w:w w:val="90"/>
              </w:rPr>
              <w:t>Additions</w:t>
            </w:r>
          </w:p>
        </w:tc>
        <w:tc>
          <w:tcPr>
            <w:tcW w:w="140" w:type="dxa"/>
            <w:vAlign w:val="bottom"/>
          </w:tcPr>
          <w:p>
            <w:pPr>
              <w:spacing w:after="0"/>
              <w:rPr>
                <w:sz w:val="11"/>
                <w:szCs w:val="11"/>
                <w:color w:val="auto"/>
              </w:rPr>
            </w:pPr>
          </w:p>
        </w:tc>
        <w:tc>
          <w:tcPr>
            <w:tcW w:w="1260" w:type="dxa"/>
            <w:vAlign w:val="bottom"/>
            <w:gridSpan w:val="3"/>
          </w:tcPr>
          <w:p>
            <w:pPr>
              <w:jc w:val="center"/>
              <w:ind w:right="470"/>
              <w:spacing w:after="0" w:line="136" w:lineRule="exact"/>
              <w:rPr>
                <w:sz w:val="20"/>
                <w:szCs w:val="20"/>
                <w:color w:val="auto"/>
              </w:rPr>
            </w:pPr>
            <w:r>
              <w:rPr>
                <w:rFonts w:ascii="Arial" w:cs="Arial" w:eastAsia="Arial" w:hAnsi="Arial"/>
                <w:sz w:val="12"/>
                <w:szCs w:val="12"/>
                <w:b w:val="1"/>
                <w:bCs w:val="1"/>
                <w:color w:val="auto"/>
                <w:w w:val="88"/>
              </w:rPr>
              <w:t>Reductions</w:t>
            </w:r>
          </w:p>
        </w:tc>
        <w:tc>
          <w:tcPr>
            <w:tcW w:w="860" w:type="dxa"/>
            <w:vAlign w:val="bottom"/>
          </w:tcPr>
          <w:p>
            <w:pPr>
              <w:jc w:val="center"/>
              <w:ind w:right="100"/>
              <w:spacing w:after="0" w:line="136" w:lineRule="exact"/>
              <w:rPr>
                <w:sz w:val="20"/>
                <w:szCs w:val="20"/>
                <w:color w:val="auto"/>
              </w:rPr>
            </w:pPr>
            <w:r>
              <w:rPr>
                <w:rFonts w:ascii="Arial" w:cs="Arial" w:eastAsia="Arial" w:hAnsi="Arial"/>
                <w:sz w:val="12"/>
                <w:szCs w:val="12"/>
                <w:b w:val="1"/>
                <w:bCs w:val="1"/>
                <w:color w:val="auto"/>
                <w:w w:val="89"/>
              </w:rPr>
              <w:t>31, 2013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60" w:type="dxa"/>
            <w:vAlign w:val="bottom"/>
            <w:gridSpan w:val="2"/>
          </w:tcPr>
          <w:p>
            <w:pPr>
              <w:spacing w:after="0"/>
              <w:rPr>
                <w:sz w:val="20"/>
                <w:szCs w:val="20"/>
                <w:color w:val="auto"/>
              </w:rPr>
            </w:pPr>
            <w:r>
              <w:rPr>
                <w:rFonts w:ascii="Arial" w:cs="Arial" w:eastAsia="Arial" w:hAnsi="Arial"/>
                <w:sz w:val="12"/>
                <w:szCs w:val="12"/>
                <w:b w:val="1"/>
                <w:bCs w:val="1"/>
                <w:color w:val="auto"/>
              </w:rPr>
              <w:t>Portfolio Company</w:t>
            </w:r>
          </w:p>
        </w:tc>
        <w:tc>
          <w:tcPr>
            <w:tcW w:w="120" w:type="dxa"/>
            <w:vAlign w:val="bottom"/>
          </w:tcPr>
          <w:p>
            <w:pPr>
              <w:spacing w:after="0"/>
              <w:rPr>
                <w:sz w:val="12"/>
                <w:szCs w:val="12"/>
                <w:color w:val="auto"/>
              </w:rPr>
            </w:pPr>
          </w:p>
        </w:tc>
        <w:tc>
          <w:tcPr>
            <w:tcW w:w="3000" w:type="dxa"/>
            <w:vAlign w:val="bottom"/>
          </w:tcPr>
          <w:p>
            <w:pPr>
              <w:ind w:left="1000"/>
              <w:spacing w:after="0"/>
              <w:rPr>
                <w:sz w:val="20"/>
                <w:szCs w:val="20"/>
                <w:color w:val="auto"/>
              </w:rPr>
            </w:pPr>
            <w:r>
              <w:rPr>
                <w:rFonts w:ascii="Arial" w:cs="Arial" w:eastAsia="Arial" w:hAnsi="Arial"/>
                <w:sz w:val="12"/>
                <w:szCs w:val="12"/>
                <w:b w:val="1"/>
                <w:bCs w:val="1"/>
                <w:color w:val="auto"/>
              </w:rPr>
              <w:t>Type of Investment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to Income(1)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Value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00"/>
              <w:spacing w:after="0"/>
              <w:rPr>
                <w:sz w:val="20"/>
                <w:szCs w:val="20"/>
                <w:color w:val="auto"/>
              </w:rPr>
            </w:pPr>
            <w:r>
              <w:rPr>
                <w:rFonts w:ascii="Arial" w:cs="Arial" w:eastAsia="Arial" w:hAnsi="Arial"/>
                <w:sz w:val="12"/>
                <w:szCs w:val="12"/>
                <w:b w:val="1"/>
                <w:bCs w:val="1"/>
                <w:color w:val="auto"/>
                <w:w w:val="95"/>
              </w:rPr>
              <w:t>(2)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0"/>
              <w:spacing w:after="0"/>
              <w:rPr>
                <w:sz w:val="20"/>
                <w:szCs w:val="20"/>
                <w:color w:val="auto"/>
              </w:rPr>
            </w:pPr>
            <w:r>
              <w:rPr>
                <w:rFonts w:ascii="Arial" w:cs="Arial" w:eastAsia="Arial" w:hAnsi="Arial"/>
                <w:sz w:val="12"/>
                <w:szCs w:val="12"/>
                <w:b w:val="1"/>
                <w:bCs w:val="1"/>
                <w:color w:val="auto"/>
                <w:w w:val="95"/>
              </w:rPr>
              <w:t>(3)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Value</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2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Source Recycling, LLC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Membership Unit Warrants (1% fully diluted)</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tcBorders>
              <w:bottom w:val="single" w:sz="8" w:color="auto"/>
            </w:tcBorders>
            <w:shd w:val="clear" w:color="auto" w:fill="CCFFCC"/>
          </w:tcPr>
          <w:p>
            <w:pPr>
              <w:spacing w:after="0"/>
              <w:rPr>
                <w:sz w:val="10"/>
                <w:szCs w:val="10"/>
                <w:color w:val="auto"/>
              </w:rPr>
            </w:pPr>
          </w:p>
        </w:tc>
        <w:tc>
          <w:tcPr>
            <w:tcW w:w="9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2,931</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1,218</w:t>
            </w:r>
          </w:p>
        </w:tc>
        <w:tc>
          <w:tcPr>
            <w:tcW w:w="2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(199</w:t>
            </w:r>
          </w:p>
        </w:tc>
        <w:tc>
          <w:tcPr>
            <w:tcW w:w="220" w:type="dxa"/>
            <w:vAlign w:val="bottom"/>
            <w:shd w:val="clear" w:color="auto" w:fill="CCFFCC"/>
          </w:tcPr>
          <w:p>
            <w:pPr>
              <w:jc w:val="right"/>
              <w:ind w:right="140"/>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3,950</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Sparus Holdings</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Subordinated Debt (12% Cash)</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878</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7,000</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350</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(350)</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7,000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Sparus Holdings</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Series B Preferred Stock (5,703 shares)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jc w:val="right"/>
              <w:spacing w:after="0" w:line="125" w:lineRule="exact"/>
              <w:rPr>
                <w:sz w:val="20"/>
                <w:szCs w:val="20"/>
                <w:color w:val="auto"/>
              </w:rPr>
            </w:pPr>
            <w:r>
              <w:rPr>
                <w:rFonts w:ascii="Arial" w:cs="Arial" w:eastAsia="Arial" w:hAnsi="Arial"/>
                <w:sz w:val="12"/>
                <w:szCs w:val="12"/>
                <w:color w:val="auto"/>
              </w:rPr>
              <w:t>287</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1,192</w:t>
            </w: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1,479</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Sparus Holdings</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Common Stock Warrants (3,491 shares)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304</w:t>
            </w: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304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tcBorders>
              <w:bottom w:val="single" w:sz="8" w:color="auto"/>
            </w:tcBorders>
            <w:shd w:val="clear" w:color="auto" w:fill="CCFFCC"/>
          </w:tcPr>
          <w:p>
            <w:pPr>
              <w:spacing w:after="0"/>
              <w:rPr>
                <w:sz w:val="10"/>
                <w:szCs w:val="10"/>
                <w:color w:val="auto"/>
              </w:rPr>
            </w:pPr>
          </w:p>
        </w:tc>
        <w:tc>
          <w:tcPr>
            <w:tcW w:w="9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878</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7,287</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1,846</w:t>
            </w:r>
          </w:p>
        </w:tc>
        <w:tc>
          <w:tcPr>
            <w:tcW w:w="2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(350</w:t>
            </w:r>
          </w:p>
        </w:tc>
        <w:tc>
          <w:tcPr>
            <w:tcW w:w="220" w:type="dxa"/>
            <w:vAlign w:val="bottom"/>
            <w:shd w:val="clear" w:color="auto" w:fill="CCFFCC"/>
          </w:tcPr>
          <w:p>
            <w:pPr>
              <w:jc w:val="right"/>
              <w:ind w:right="140"/>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8,783</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2040" w:type="dxa"/>
            <w:vAlign w:val="bottom"/>
            <w:shd w:val="clear" w:color="auto" w:fill="CCFFCC"/>
          </w:tcPr>
          <w:p>
            <w:pPr>
              <w:spacing w:after="0" w:line="109" w:lineRule="exact"/>
              <w:rPr>
                <w:sz w:val="20"/>
                <w:szCs w:val="20"/>
                <w:color w:val="auto"/>
              </w:rPr>
            </w:pPr>
            <w:r>
              <w:rPr>
                <w:rFonts w:ascii="Arial" w:cs="Arial" w:eastAsia="Arial" w:hAnsi="Arial"/>
                <w:sz w:val="12"/>
                <w:szCs w:val="12"/>
                <w:color w:val="auto"/>
                <w:w w:val="95"/>
              </w:rPr>
              <w:t>STX Healthcare Management Services,</w:t>
            </w:r>
          </w:p>
        </w:tc>
        <w:tc>
          <w:tcPr>
            <w:tcW w:w="120" w:type="dxa"/>
            <w:vAlign w:val="bottom"/>
            <w:shd w:val="clear" w:color="auto" w:fill="CCFFCC"/>
          </w:tcPr>
          <w:p>
            <w:pPr>
              <w:spacing w:after="0"/>
              <w:rPr>
                <w:sz w:val="9"/>
                <w:szCs w:val="9"/>
                <w:color w:val="auto"/>
              </w:rPr>
            </w:pPr>
          </w:p>
        </w:tc>
        <w:tc>
          <w:tcPr>
            <w:tcW w:w="30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8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8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2"/>
                <w:szCs w:val="12"/>
                <w:color w:val="auto"/>
              </w:rPr>
              <w:t>Inc.</w:t>
            </w:r>
          </w:p>
        </w:tc>
        <w:tc>
          <w:tcPr>
            <w:tcW w:w="3120" w:type="dxa"/>
            <w:vAlign w:val="bottom"/>
            <w:gridSpan w:val="2"/>
            <w:shd w:val="clear" w:color="auto" w:fill="CCFFCC"/>
          </w:tcPr>
          <w:p>
            <w:pPr>
              <w:ind w:left="120"/>
              <w:spacing w:after="0"/>
              <w:rPr>
                <w:sz w:val="20"/>
                <w:szCs w:val="20"/>
                <w:color w:val="auto"/>
              </w:rPr>
            </w:pPr>
            <w:r>
              <w:rPr>
                <w:rFonts w:ascii="Arial" w:cs="Arial" w:eastAsia="Arial" w:hAnsi="Arial"/>
                <w:sz w:val="12"/>
                <w:szCs w:val="12"/>
                <w:color w:val="auto"/>
              </w:rPr>
              <w:t>Subordinated Debt (14% Cash)</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987</w:t>
            </w: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6,624</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801</w:t>
            </w:r>
          </w:p>
        </w:tc>
        <w:tc>
          <w:tcPr>
            <w:tcW w:w="14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7,425</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2040" w:type="dxa"/>
            <w:vAlign w:val="bottom"/>
            <w:shd w:val="clear" w:color="auto" w:fill="CCFFCC"/>
          </w:tcPr>
          <w:p>
            <w:pPr>
              <w:spacing w:after="0" w:line="109" w:lineRule="exact"/>
              <w:rPr>
                <w:sz w:val="20"/>
                <w:szCs w:val="20"/>
                <w:color w:val="auto"/>
              </w:rPr>
            </w:pPr>
            <w:r>
              <w:rPr>
                <w:rFonts w:ascii="Arial" w:cs="Arial" w:eastAsia="Arial" w:hAnsi="Arial"/>
                <w:sz w:val="12"/>
                <w:szCs w:val="12"/>
                <w:color w:val="auto"/>
                <w:w w:val="95"/>
              </w:rPr>
              <w:t>STX Healthcare Management Services,</w:t>
            </w:r>
          </w:p>
        </w:tc>
        <w:tc>
          <w:tcPr>
            <w:tcW w:w="120" w:type="dxa"/>
            <w:vAlign w:val="bottom"/>
            <w:shd w:val="clear" w:color="auto" w:fill="CCFFCC"/>
          </w:tcPr>
          <w:p>
            <w:pPr>
              <w:spacing w:after="0"/>
              <w:rPr>
                <w:sz w:val="9"/>
                <w:szCs w:val="9"/>
                <w:color w:val="auto"/>
              </w:rPr>
            </w:pPr>
          </w:p>
        </w:tc>
        <w:tc>
          <w:tcPr>
            <w:tcW w:w="30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8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8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2"/>
                <w:szCs w:val="12"/>
                <w:color w:val="auto"/>
              </w:rPr>
              <w:t>Inc.</w:t>
            </w:r>
          </w:p>
        </w:tc>
        <w:tc>
          <w:tcPr>
            <w:tcW w:w="3120" w:type="dxa"/>
            <w:vAlign w:val="bottom"/>
            <w:gridSpan w:val="2"/>
            <w:shd w:val="clear" w:color="auto" w:fill="CCFFCC"/>
          </w:tcPr>
          <w:p>
            <w:pPr>
              <w:ind w:left="120"/>
              <w:spacing w:after="0"/>
              <w:rPr>
                <w:sz w:val="20"/>
                <w:szCs w:val="20"/>
                <w:color w:val="auto"/>
              </w:rPr>
            </w:pPr>
            <w:r>
              <w:rPr>
                <w:rFonts w:ascii="Arial" w:cs="Arial" w:eastAsia="Arial" w:hAnsi="Arial"/>
                <w:sz w:val="12"/>
                <w:szCs w:val="12"/>
                <w:color w:val="auto"/>
              </w:rPr>
              <w:t>Common Stock (1,200,000 shares)</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680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262</w:t>
            </w:r>
          </w:p>
        </w:tc>
        <w:tc>
          <w:tcPr>
            <w:tcW w:w="14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942</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2040" w:type="dxa"/>
            <w:vAlign w:val="bottom"/>
            <w:shd w:val="clear" w:color="auto" w:fill="CCFFCC"/>
          </w:tcPr>
          <w:p>
            <w:pPr>
              <w:spacing w:after="0" w:line="109" w:lineRule="exact"/>
              <w:rPr>
                <w:sz w:val="20"/>
                <w:szCs w:val="20"/>
                <w:color w:val="auto"/>
              </w:rPr>
            </w:pPr>
            <w:r>
              <w:rPr>
                <w:rFonts w:ascii="Arial" w:cs="Arial" w:eastAsia="Arial" w:hAnsi="Arial"/>
                <w:sz w:val="12"/>
                <w:szCs w:val="12"/>
                <w:color w:val="auto"/>
                <w:w w:val="95"/>
              </w:rPr>
              <w:t>STX Healthcare Management Services,</w:t>
            </w:r>
          </w:p>
        </w:tc>
        <w:tc>
          <w:tcPr>
            <w:tcW w:w="120" w:type="dxa"/>
            <w:vAlign w:val="bottom"/>
            <w:shd w:val="clear" w:color="auto" w:fill="CCFFCC"/>
          </w:tcPr>
          <w:p>
            <w:pPr>
              <w:spacing w:after="0"/>
              <w:rPr>
                <w:sz w:val="9"/>
                <w:szCs w:val="9"/>
                <w:color w:val="auto"/>
              </w:rPr>
            </w:pPr>
          </w:p>
        </w:tc>
        <w:tc>
          <w:tcPr>
            <w:tcW w:w="30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8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8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2"/>
                <w:szCs w:val="12"/>
                <w:color w:val="auto"/>
              </w:rPr>
              <w:t>Inc.</w:t>
            </w:r>
          </w:p>
        </w:tc>
        <w:tc>
          <w:tcPr>
            <w:tcW w:w="3120" w:type="dxa"/>
            <w:vAlign w:val="bottom"/>
            <w:gridSpan w:val="2"/>
            <w:shd w:val="clear" w:color="auto" w:fill="CCFFCC"/>
          </w:tcPr>
          <w:p>
            <w:pPr>
              <w:ind w:left="120"/>
              <w:spacing w:after="0"/>
              <w:rPr>
                <w:sz w:val="20"/>
                <w:szCs w:val="20"/>
                <w:color w:val="auto"/>
              </w:rPr>
            </w:pPr>
            <w:r>
              <w:rPr>
                <w:rFonts w:ascii="Arial" w:cs="Arial" w:eastAsia="Arial" w:hAnsi="Arial"/>
                <w:sz w:val="12"/>
                <w:szCs w:val="12"/>
                <w:color w:val="auto"/>
              </w:rPr>
              <w:t>Common Stock Warrants (1,154,254 shares)</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680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226</w:t>
            </w:r>
          </w:p>
        </w:tc>
        <w:tc>
          <w:tcPr>
            <w:tcW w:w="14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906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tcBorders>
              <w:bottom w:val="single" w:sz="8" w:color="auto"/>
            </w:tcBorders>
            <w:shd w:val="clear" w:color="auto" w:fill="CCFFCC"/>
          </w:tcPr>
          <w:p>
            <w:pPr>
              <w:spacing w:after="0"/>
              <w:rPr>
                <w:sz w:val="10"/>
                <w:szCs w:val="10"/>
                <w:color w:val="auto"/>
              </w:rPr>
            </w:pPr>
          </w:p>
        </w:tc>
        <w:tc>
          <w:tcPr>
            <w:tcW w:w="9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987</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7,984</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1,289</w:t>
            </w:r>
          </w:p>
        </w:tc>
        <w:tc>
          <w:tcPr>
            <w:tcW w:w="2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9,273</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Take 5 Oil Change, LLC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Senior Secured Debt (10% Cash)</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561</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12,000</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40"/>
              <w:spacing w:after="0" w:line="125" w:lineRule="exact"/>
              <w:rPr>
                <w:sz w:val="20"/>
                <w:szCs w:val="20"/>
                <w:color w:val="auto"/>
              </w:rPr>
            </w:pPr>
            <w:r>
              <w:rPr>
                <w:rFonts w:ascii="Arial" w:cs="Arial" w:eastAsia="Arial" w:hAnsi="Arial"/>
                <w:sz w:val="12"/>
                <w:szCs w:val="12"/>
                <w:color w:val="auto"/>
              </w:rPr>
              <w:t>(12,000)</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Take 5 Oil Change, LLC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Common Stock (10,692 shares)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1,248</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356</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1,604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tcBorders>
              <w:bottom w:val="single" w:sz="8" w:color="auto"/>
            </w:tcBorders>
            <w:shd w:val="clear" w:color="auto" w:fill="CCFFCC"/>
          </w:tcPr>
          <w:p>
            <w:pPr>
              <w:spacing w:after="0"/>
              <w:rPr>
                <w:sz w:val="10"/>
                <w:szCs w:val="10"/>
                <w:color w:val="auto"/>
              </w:rPr>
            </w:pPr>
          </w:p>
        </w:tc>
        <w:tc>
          <w:tcPr>
            <w:tcW w:w="9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561</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13,248</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356</w:t>
            </w:r>
          </w:p>
        </w:tc>
        <w:tc>
          <w:tcPr>
            <w:tcW w:w="2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(12,000</w:t>
            </w:r>
          </w:p>
        </w:tc>
        <w:tc>
          <w:tcPr>
            <w:tcW w:w="220" w:type="dxa"/>
            <w:vAlign w:val="bottom"/>
            <w:shd w:val="clear" w:color="auto" w:fill="CCFFCC"/>
          </w:tcPr>
          <w:p>
            <w:pPr>
              <w:jc w:val="right"/>
              <w:ind w:right="140"/>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1,604</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TCE Holdings, Inc.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Subordinated Debt (12% Cash, 2% PIK)</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529</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12,088</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12,088</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TCE Holdings, Inc.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Subordinated Debt (12% Cash, 2% PIK)</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415</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9,633</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9,633</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TCE Holdings, Inc.</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Class A Common Stock (3,600 shares)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3,600</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3,600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tcBorders>
              <w:bottom w:val="single" w:sz="8" w:color="auto"/>
            </w:tcBorders>
            <w:shd w:val="clear" w:color="auto" w:fill="CCFFCC"/>
          </w:tcPr>
          <w:p>
            <w:pPr>
              <w:spacing w:after="0"/>
              <w:rPr>
                <w:sz w:val="10"/>
                <w:szCs w:val="10"/>
                <w:color w:val="auto"/>
              </w:rPr>
            </w:pPr>
          </w:p>
        </w:tc>
        <w:tc>
          <w:tcPr>
            <w:tcW w:w="9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944</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25,321</w:t>
            </w:r>
          </w:p>
        </w:tc>
        <w:tc>
          <w:tcPr>
            <w:tcW w:w="2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25,321</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V12 Holdings</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Bridge Note (0% Cash)</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jc w:val="right"/>
              <w:spacing w:after="0" w:line="125" w:lineRule="exact"/>
              <w:rPr>
                <w:sz w:val="20"/>
                <w:szCs w:val="20"/>
                <w:color w:val="auto"/>
              </w:rPr>
            </w:pPr>
            <w:r>
              <w:rPr>
                <w:rFonts w:ascii="Arial" w:cs="Arial" w:eastAsia="Arial" w:hAnsi="Arial"/>
                <w:sz w:val="12"/>
                <w:szCs w:val="12"/>
                <w:color w:val="auto"/>
              </w:rPr>
              <w:t>280</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383</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663</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V12 Holdings</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Tier 2 Note (0% Cash)</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jc w:val="right"/>
              <w:spacing w:after="0" w:line="125" w:lineRule="exact"/>
              <w:rPr>
                <w:sz w:val="20"/>
                <w:szCs w:val="20"/>
                <w:color w:val="auto"/>
              </w:rPr>
            </w:pPr>
            <w:r>
              <w:rPr>
                <w:rFonts w:ascii="Arial" w:cs="Arial" w:eastAsia="Arial" w:hAnsi="Arial"/>
                <w:sz w:val="12"/>
                <w:szCs w:val="12"/>
                <w:color w:val="auto"/>
              </w:rPr>
              <w:t>34</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47</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V12 Holdings</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Senior Subordinated Note (0% Cash)</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3,598</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3,598</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V12 Holdings</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Tier 3 Note (0% Cash)</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jc w:val="right"/>
              <w:spacing w:after="0" w:line="125" w:lineRule="exact"/>
              <w:rPr>
                <w:sz w:val="20"/>
                <w:szCs w:val="20"/>
                <w:color w:val="auto"/>
              </w:rPr>
            </w:pPr>
            <w:r>
              <w:rPr>
                <w:rFonts w:ascii="Arial" w:cs="Arial" w:eastAsia="Arial" w:hAnsi="Arial"/>
                <w:sz w:val="12"/>
                <w:szCs w:val="12"/>
                <w:color w:val="auto"/>
              </w:rPr>
              <w:t>297</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17</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314</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V12 Holdings</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Jr. Subordinated Note (0% Cash)</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jc w:val="right"/>
              <w:spacing w:after="0" w:line="125" w:lineRule="exact"/>
              <w:rPr>
                <w:sz w:val="20"/>
                <w:szCs w:val="20"/>
                <w:color w:val="auto"/>
              </w:rPr>
            </w:pPr>
            <w:r>
              <w:rPr>
                <w:rFonts w:ascii="Arial" w:cs="Arial" w:eastAsia="Arial" w:hAnsi="Arial"/>
                <w:sz w:val="12"/>
                <w:szCs w:val="12"/>
                <w:color w:val="auto"/>
              </w:rPr>
              <w:t>26</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379</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405</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V12 Holdings</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Tier 4 Note (0% Cash)</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V12 Holdings</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Series A-1 Preferred Stock (255,102 shares)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V12 Holdings</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Series A-3 Preferred Stock (88,194 shares)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V12 Holdings</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Series A-5 Preferred Stock (20,530 shares)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40" w:type="dxa"/>
            <w:vAlign w:val="bottom"/>
            <w:shd w:val="clear" w:color="auto" w:fill="CCFFCC"/>
          </w:tcPr>
          <w:p>
            <w:pPr>
              <w:spacing w:after="0" w:line="125" w:lineRule="exact"/>
              <w:rPr>
                <w:sz w:val="20"/>
                <w:szCs w:val="20"/>
                <w:color w:val="auto"/>
              </w:rPr>
            </w:pPr>
            <w:r>
              <w:rPr>
                <w:rFonts w:ascii="Arial" w:cs="Arial" w:eastAsia="Arial" w:hAnsi="Arial"/>
                <w:sz w:val="12"/>
                <w:szCs w:val="12"/>
                <w:color w:val="auto"/>
              </w:rPr>
              <w:t>V12 Holdings</w:t>
            </w:r>
          </w:p>
        </w:tc>
        <w:tc>
          <w:tcPr>
            <w:tcW w:w="3120" w:type="dxa"/>
            <w:vAlign w:val="bottom"/>
            <w:gridSpan w:val="2"/>
            <w:shd w:val="clear" w:color="auto" w:fill="CCFFCC"/>
          </w:tcPr>
          <w:p>
            <w:pPr>
              <w:ind w:left="120"/>
              <w:spacing w:after="0" w:line="125" w:lineRule="exact"/>
              <w:rPr>
                <w:sz w:val="20"/>
                <w:szCs w:val="20"/>
                <w:color w:val="auto"/>
              </w:rPr>
            </w:pPr>
            <w:r>
              <w:rPr>
                <w:rFonts w:ascii="Arial" w:cs="Arial" w:eastAsia="Arial" w:hAnsi="Arial"/>
                <w:sz w:val="12"/>
                <w:szCs w:val="12"/>
                <w:color w:val="auto"/>
              </w:rPr>
              <w:t>Common Stock Warrants (2,063,629 warrants)</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00"/>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220"/>
              <w:spacing w:after="0" w:line="125" w:lineRule="exact"/>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20"/>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30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CCFFC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tcBorders>
              <w:bottom w:val="single" w:sz="8" w:color="auto"/>
            </w:tcBorders>
            <w:shd w:val="clear" w:color="auto" w:fill="CCFFCC"/>
          </w:tcPr>
          <w:p>
            <w:pPr>
              <w:spacing w:after="0"/>
              <w:rPr>
                <w:sz w:val="10"/>
                <w:szCs w:val="10"/>
                <w:color w:val="auto"/>
              </w:rPr>
            </w:pPr>
          </w:p>
        </w:tc>
        <w:tc>
          <w:tcPr>
            <w:tcW w:w="9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637</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4,424</w:t>
            </w:r>
          </w:p>
        </w:tc>
        <w:tc>
          <w:tcPr>
            <w:tcW w:w="2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spacing w:after="0"/>
              <w:rPr>
                <w:sz w:val="10"/>
                <w:szCs w:val="10"/>
                <w:color w:val="auto"/>
              </w:rPr>
            </w:pP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color w:val="auto"/>
              </w:rPr>
              <w:t>5,061</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4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300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CCFFCC"/>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CCFFC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CCFFC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40" w:type="dxa"/>
            <w:vAlign w:val="bottom"/>
            <w:shd w:val="clear" w:color="auto" w:fill="CCFFCC"/>
          </w:tcPr>
          <w:p>
            <w:pPr>
              <w:spacing w:after="0" w:line="116" w:lineRule="exact"/>
              <w:rPr>
                <w:sz w:val="20"/>
                <w:szCs w:val="20"/>
                <w:color w:val="auto"/>
              </w:rPr>
            </w:pPr>
            <w:r>
              <w:rPr>
                <w:rFonts w:ascii="Arial" w:cs="Arial" w:eastAsia="Arial" w:hAnsi="Arial"/>
                <w:sz w:val="12"/>
                <w:szCs w:val="12"/>
                <w:b w:val="1"/>
                <w:bCs w:val="1"/>
                <w:color w:val="auto"/>
              </w:rPr>
              <w:t>Total Affiliate Investments</w:t>
            </w:r>
          </w:p>
        </w:tc>
        <w:tc>
          <w:tcPr>
            <w:tcW w:w="120" w:type="dxa"/>
            <w:vAlign w:val="bottom"/>
            <w:shd w:val="clear" w:color="auto" w:fill="CCFFCC"/>
          </w:tcPr>
          <w:p>
            <w:pPr>
              <w:spacing w:after="0"/>
              <w:rPr>
                <w:sz w:val="10"/>
                <w:szCs w:val="10"/>
                <w:color w:val="auto"/>
              </w:rPr>
            </w:pPr>
          </w:p>
        </w:tc>
        <w:tc>
          <w:tcPr>
            <w:tcW w:w="30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b w:val="1"/>
                <w:bCs w:val="1"/>
                <w:color w:val="auto"/>
              </w:rPr>
              <w:t>14,478</w:t>
            </w: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b w:val="1"/>
                <w:bCs w:val="1"/>
                <w:color w:val="auto"/>
              </w:rPr>
              <w:t>136,809</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b w:val="1"/>
                <w:bCs w:val="1"/>
                <w:color w:val="auto"/>
              </w:rPr>
              <w:t>85,800</w:t>
            </w:r>
          </w:p>
        </w:tc>
        <w:tc>
          <w:tcPr>
            <w:tcW w:w="220" w:type="dxa"/>
            <w:vAlign w:val="bottom"/>
            <w:shd w:val="clear" w:color="auto" w:fill="CCFFCC"/>
          </w:tcPr>
          <w:p>
            <w:pPr>
              <w:spacing w:after="0"/>
              <w:rPr>
                <w:sz w:val="10"/>
                <w:szCs w:val="10"/>
                <w:color w:val="auto"/>
              </w:rPr>
            </w:pPr>
          </w:p>
        </w:tc>
        <w:tc>
          <w:tcPr>
            <w:tcW w:w="1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b w:val="1"/>
                <w:bCs w:val="1"/>
                <w:color w:val="auto"/>
              </w:rPr>
              <w:t>(33,511</w:t>
            </w:r>
          </w:p>
        </w:tc>
        <w:tc>
          <w:tcPr>
            <w:tcW w:w="220" w:type="dxa"/>
            <w:vAlign w:val="bottom"/>
            <w:shd w:val="clear" w:color="auto" w:fill="CCFFCC"/>
          </w:tcPr>
          <w:p>
            <w:pPr>
              <w:jc w:val="right"/>
              <w:ind w:right="140"/>
              <w:spacing w:after="0"/>
              <w:rPr>
                <w:sz w:val="20"/>
                <w:szCs w:val="20"/>
                <w:color w:val="auto"/>
              </w:rPr>
            </w:pPr>
            <w:r>
              <w:rPr>
                <w:rFonts w:ascii="Arial" w:cs="Arial" w:eastAsia="Arial" w:hAnsi="Arial"/>
                <w:sz w:val="8"/>
                <w:szCs w:val="8"/>
                <w:b w:val="1"/>
                <w:bCs w:val="1"/>
                <w:color w:val="auto"/>
                <w:w w:val="73"/>
              </w:rPr>
              <w:t>)</w:t>
            </w:r>
          </w:p>
        </w:tc>
        <w:tc>
          <w:tcPr>
            <w:tcW w:w="1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FFCC"/>
          </w:tcPr>
          <w:p>
            <w:pPr>
              <w:jc w:val="right"/>
              <w:spacing w:after="0" w:line="116" w:lineRule="exact"/>
              <w:rPr>
                <w:sz w:val="20"/>
                <w:szCs w:val="20"/>
                <w:color w:val="auto"/>
              </w:rPr>
            </w:pPr>
            <w:r>
              <w:rPr>
                <w:rFonts w:ascii="Arial" w:cs="Arial" w:eastAsia="Arial" w:hAnsi="Arial"/>
                <w:sz w:val="12"/>
                <w:szCs w:val="12"/>
                <w:b w:val="1"/>
                <w:bCs w:val="1"/>
                <w:color w:val="auto"/>
              </w:rPr>
              <w:t>189,098</w:t>
            </w: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50" w:hanging="250"/>
        <w:spacing w:after="0"/>
        <w:tabs>
          <w:tab w:leader="none" w:pos="25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total amount of interest, fees or dividends credited to income for the portion of the year an investment was included in Control or Affiliate categories, respectively.</w:t>
      </w:r>
    </w:p>
    <w:p>
      <w:pPr>
        <w:spacing w:after="0" w:line="29" w:lineRule="exact"/>
        <w:rPr>
          <w:rFonts w:ascii="Arial" w:cs="Arial" w:eastAsia="Arial" w:hAnsi="Arial"/>
          <w:sz w:val="14"/>
          <w:szCs w:val="14"/>
          <w:color w:val="auto"/>
        </w:rPr>
      </w:pPr>
    </w:p>
    <w:p>
      <w:pPr>
        <w:ind w:left="10" w:right="140" w:hanging="10"/>
        <w:spacing w:after="0" w:line="251" w:lineRule="auto"/>
        <w:tabs>
          <w:tab w:leader="none" w:pos="261" w:val="left"/>
        </w:tabs>
        <w:numPr>
          <w:ilvl w:val="0"/>
          <w:numId w:val="58"/>
        </w:numPr>
        <w:rPr>
          <w:rFonts w:ascii="Arial" w:cs="Arial" w:eastAsia="Arial" w:hAnsi="Arial"/>
          <w:sz w:val="15"/>
          <w:szCs w:val="15"/>
          <w:color w:val="auto"/>
        </w:rPr>
      </w:pPr>
      <w:r>
        <w:rPr>
          <w:rFonts w:ascii="Arial" w:cs="Arial" w:eastAsia="Arial" w:hAnsi="Arial"/>
          <w:sz w:val="15"/>
          <w:szCs w:val="15"/>
          <w:color w:val="auto"/>
        </w:rPr>
        <w:t>Gross additions include increase in the cost basis of investments resulting from new portfolio investment, follow-on investments and accrued PIK interest. Gross additions also include net increases in unrealized appreciation.</w:t>
      </w:r>
    </w:p>
    <w:p>
      <w:pPr>
        <w:spacing w:after="0" w:line="1" w:lineRule="exact"/>
        <w:rPr>
          <w:rFonts w:ascii="Arial" w:cs="Arial" w:eastAsia="Arial" w:hAnsi="Arial"/>
          <w:sz w:val="15"/>
          <w:szCs w:val="15"/>
          <w:color w:val="auto"/>
        </w:rPr>
      </w:pPr>
    </w:p>
    <w:p>
      <w:pPr>
        <w:ind w:left="210" w:hanging="210"/>
        <w:spacing w:after="0"/>
        <w:tabs>
          <w:tab w:leader="none" w:pos="210" w:val="left"/>
        </w:tabs>
        <w:numPr>
          <w:ilvl w:val="0"/>
          <w:numId w:val="58"/>
        </w:numPr>
        <w:rPr>
          <w:rFonts w:ascii="Arial" w:cs="Arial" w:eastAsia="Arial" w:hAnsi="Arial"/>
          <w:sz w:val="15"/>
          <w:szCs w:val="15"/>
          <w:color w:val="auto"/>
        </w:rPr>
      </w:pPr>
      <w:r>
        <w:rPr>
          <w:rFonts w:ascii="Arial" w:cs="Arial" w:eastAsia="Arial" w:hAnsi="Arial"/>
          <w:sz w:val="15"/>
          <w:szCs w:val="15"/>
          <w:color w:val="auto"/>
        </w:rPr>
        <w:t>Gross reductions include decreases in the total cost basis of investments resulting from principal or PIK repayments, sales and net unrealized depreciation.</w:t>
      </w:r>
    </w:p>
    <w:p>
      <w:pPr>
        <w:spacing w:after="0" w:line="361"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6884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50"/>
          </w:cols>
          <w:pgMar w:left="230" w:top="762" w:right="219" w:bottom="1440" w:gutter="0" w:footer="0" w:header="0"/>
        </w:sectPr>
      </w:pPr>
    </w:p>
    <w:bookmarkStart w:id="91" w:name="page92"/>
    <w:bookmarkEnd w:id="91"/>
    <w:p>
      <w:pPr>
        <w:spacing w:after="0"/>
        <w:rPr>
          <w:sz w:val="20"/>
          <w:szCs w:val="20"/>
          <w:color w:val="auto"/>
        </w:rPr>
      </w:pPr>
      <w:r>
        <w:rPr>
          <w:rFonts w:ascii="Arial" w:cs="Arial" w:eastAsia="Arial" w:hAnsi="Arial"/>
          <w:sz w:val="15"/>
          <w:szCs w:val="15"/>
          <w:b w:val="1"/>
          <w:bCs w:val="1"/>
          <w:color w:val="auto"/>
        </w:rPr>
        <w:t>Note 4. Agreements</w:t>
      </w:r>
    </w:p>
    <w:p>
      <w:pPr>
        <w:spacing w:after="0" w:line="193" w:lineRule="exact"/>
        <w:rPr>
          <w:sz w:val="20"/>
          <w:szCs w:val="20"/>
          <w:color w:val="auto"/>
        </w:rPr>
      </w:pPr>
    </w:p>
    <w:p>
      <w:pPr>
        <w:ind w:right="100" w:firstLine="738"/>
        <w:spacing w:after="0" w:line="312" w:lineRule="auto"/>
        <w:rPr>
          <w:sz w:val="20"/>
          <w:szCs w:val="20"/>
          <w:color w:val="auto"/>
        </w:rPr>
      </w:pPr>
      <w:r>
        <w:rPr>
          <w:rFonts w:ascii="Arial" w:cs="Arial" w:eastAsia="Arial" w:hAnsi="Arial"/>
          <w:sz w:val="13"/>
          <w:szCs w:val="13"/>
          <w:color w:val="auto"/>
        </w:rPr>
        <w:t>On September 24, 2013, the Company entered into an investment advisory agreement (the “Investment Advisory Agreement”) with our Investment Advisor, which was approved by the Board of Directors of the Company on June 10, 2013. The initial term of the Investment Advisory Agreement is two years, with automatic, one-year renewals at the end of each year subject to certain approvals by our Board of Directors and/or our stockholders. Subject to the overall supervision of our Board of Directors, our investment adviser manages our day-to-day operations, and provides investment advisory and management services to us. Under the terms of our Investment Advisory Agreement, The Investment Advisor:</w:t>
      </w:r>
    </w:p>
    <w:p>
      <w:pPr>
        <w:spacing w:after="0" w:line="128" w:lineRule="exact"/>
        <w:rPr>
          <w:sz w:val="20"/>
          <w:szCs w:val="20"/>
          <w:color w:val="auto"/>
        </w:rPr>
      </w:pPr>
    </w:p>
    <w:p>
      <w:pPr>
        <w:ind w:left="1180" w:hanging="364"/>
        <w:spacing w:after="0"/>
        <w:tabs>
          <w:tab w:leader="none" w:pos="11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determines the composition of our portfolio, the nature and timing of the changes to our portfolio and the manner of implementing such changes;</w:t>
      </w:r>
    </w:p>
    <w:p>
      <w:pPr>
        <w:spacing w:after="0" w:line="189" w:lineRule="exact"/>
        <w:rPr>
          <w:rFonts w:ascii="Arial" w:cs="Arial" w:eastAsia="Arial" w:hAnsi="Arial"/>
          <w:sz w:val="15"/>
          <w:szCs w:val="15"/>
          <w:color w:val="auto"/>
        </w:rPr>
      </w:pPr>
    </w:p>
    <w:p>
      <w:pPr>
        <w:ind w:left="1180" w:hanging="364"/>
        <w:spacing w:after="0"/>
        <w:tabs>
          <w:tab w:leader="none" w:pos="11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identifies, evaluates and negotiates the structure of the investments we make (including performing due diligence on our prospective portfolio companies);</w:t>
      </w:r>
    </w:p>
    <w:p>
      <w:pPr>
        <w:spacing w:after="0" w:line="189" w:lineRule="exact"/>
        <w:rPr>
          <w:rFonts w:ascii="Arial" w:cs="Arial" w:eastAsia="Arial" w:hAnsi="Arial"/>
          <w:sz w:val="15"/>
          <w:szCs w:val="15"/>
          <w:color w:val="auto"/>
        </w:rPr>
      </w:pPr>
    </w:p>
    <w:p>
      <w:pPr>
        <w:ind w:left="1180" w:hanging="364"/>
        <w:spacing w:after="0"/>
        <w:tabs>
          <w:tab w:leader="none" w:pos="11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closes and monitors the investments we make; and</w:t>
      </w:r>
    </w:p>
    <w:p>
      <w:pPr>
        <w:spacing w:after="0" w:line="189" w:lineRule="exact"/>
        <w:rPr>
          <w:rFonts w:ascii="Arial" w:cs="Arial" w:eastAsia="Arial" w:hAnsi="Arial"/>
          <w:sz w:val="15"/>
          <w:szCs w:val="15"/>
          <w:color w:val="auto"/>
        </w:rPr>
      </w:pPr>
    </w:p>
    <w:p>
      <w:pPr>
        <w:ind w:left="1180" w:hanging="364"/>
        <w:spacing w:after="0"/>
        <w:tabs>
          <w:tab w:leader="none" w:pos="11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provides us with other investment advisory, research and related services as we may from time to time require.</w:t>
      </w:r>
    </w:p>
    <w:p>
      <w:pPr>
        <w:spacing w:after="0" w:line="189" w:lineRule="exact"/>
        <w:rPr>
          <w:sz w:val="20"/>
          <w:szCs w:val="20"/>
          <w:color w:val="auto"/>
        </w:rPr>
      </w:pPr>
    </w:p>
    <w:p>
      <w:pPr>
        <w:ind w:right="20" w:firstLine="738"/>
        <w:spacing w:after="0" w:line="276" w:lineRule="auto"/>
        <w:rPr>
          <w:sz w:val="20"/>
          <w:szCs w:val="20"/>
          <w:color w:val="auto"/>
        </w:rPr>
      </w:pPr>
      <w:r>
        <w:rPr>
          <w:rFonts w:ascii="Arial" w:cs="Arial" w:eastAsia="Arial" w:hAnsi="Arial"/>
          <w:sz w:val="15"/>
          <w:szCs w:val="15"/>
          <w:color w:val="auto"/>
        </w:rPr>
        <w:t>The Investment Advisor’s services under the Investment Advisory Agreement are not exclusive, and it is free to furnish similar services to other entities so long as its services to us are not impaired.</w:t>
      </w:r>
    </w:p>
    <w:p>
      <w:pPr>
        <w:spacing w:after="0" w:line="146" w:lineRule="exact"/>
        <w:rPr>
          <w:sz w:val="20"/>
          <w:szCs w:val="20"/>
          <w:color w:val="auto"/>
        </w:rPr>
      </w:pPr>
    </w:p>
    <w:p>
      <w:pPr>
        <w:ind w:right="440" w:firstLine="738"/>
        <w:spacing w:after="0" w:line="276" w:lineRule="auto"/>
        <w:rPr>
          <w:sz w:val="20"/>
          <w:szCs w:val="20"/>
          <w:color w:val="auto"/>
        </w:rPr>
      </w:pPr>
      <w:r>
        <w:rPr>
          <w:rFonts w:ascii="Arial" w:cs="Arial" w:eastAsia="Arial" w:hAnsi="Arial"/>
          <w:sz w:val="15"/>
          <w:szCs w:val="15"/>
          <w:color w:val="auto"/>
        </w:rPr>
        <w:t>Pursuant to the Investment Advisory Agreement, we have agreed to pay the Investment Advisor a fee for investment advisory and management services consisting of two components — a base management fee and an incentive fee.</w:t>
      </w:r>
    </w:p>
    <w:p>
      <w:pPr>
        <w:spacing w:after="0" w:line="146" w:lineRule="exact"/>
        <w:rPr>
          <w:sz w:val="20"/>
          <w:szCs w:val="20"/>
          <w:color w:val="auto"/>
        </w:rPr>
      </w:pPr>
    </w:p>
    <w:p>
      <w:pPr>
        <w:ind w:right="40" w:firstLine="738"/>
        <w:spacing w:after="0" w:line="255" w:lineRule="auto"/>
        <w:rPr>
          <w:sz w:val="20"/>
          <w:szCs w:val="20"/>
          <w:color w:val="auto"/>
        </w:rPr>
      </w:pPr>
      <w:r>
        <w:rPr>
          <w:rFonts w:ascii="Arial" w:cs="Arial" w:eastAsia="Arial" w:hAnsi="Arial"/>
          <w:sz w:val="15"/>
          <w:szCs w:val="15"/>
          <w:color w:val="auto"/>
        </w:rPr>
        <w:t>The base management fee is calculated at an annual rate of 1.75% of our gross assets, which is our total assets as reflected on our Statements of Assets and Liabilities and includes any borrowings for investment purposes. Although we do not anticipate making significant investments in derivative financial instruments, the fair value of any such investments, which will not necessarily equal their notional value, will be included in our calculation of gross assets. For services rendered under the Investment Advisory Agreement, the base management fee is payable quarterly in arrears. The base management fee will initially be calculated based on the value of our gross assets at the end of the first calendar quarter subsequent to our IPO, and thereafter based on the average value of our gross assets at the end of the two most recently completed calendar quarters, and appropriately adjusted for any share issuances or repurchases during the current calendar quarter. For the first twelve months following our IPO, the Investment Advisor has agreed to waive the portion of the base management fee payable on cash and cash equivalents held at the Company level, excluding cash and cash equivalents held by the Legacy Funds that were acquired by the Company in connection with the Formation Transactions.</w:t>
      </w:r>
    </w:p>
    <w:p>
      <w:pPr>
        <w:spacing w:after="0" w:line="163" w:lineRule="exact"/>
        <w:rPr>
          <w:sz w:val="20"/>
          <w:szCs w:val="20"/>
          <w:color w:val="auto"/>
        </w:rPr>
      </w:pPr>
    </w:p>
    <w:p>
      <w:pPr>
        <w:ind w:firstLine="738"/>
        <w:spacing w:after="0" w:line="312" w:lineRule="auto"/>
        <w:rPr>
          <w:sz w:val="20"/>
          <w:szCs w:val="20"/>
          <w:color w:val="auto"/>
        </w:rPr>
      </w:pPr>
      <w:r>
        <w:rPr>
          <w:rFonts w:ascii="Arial" w:cs="Arial" w:eastAsia="Arial" w:hAnsi="Arial"/>
          <w:sz w:val="13"/>
          <w:szCs w:val="13"/>
          <w:color w:val="auto"/>
        </w:rPr>
        <w:t>Prior to the formation transaction, the management fee charged by each Legacy Fund for each fiscal quarter was the lesser of (a) an amount equal to an annual rate of .625% of the sum of (i) the Legacy Fund’s regulatory capital and (ii) the amount of an assumed two tiers of outstanding leverage based on such regulatory capital, or (b) an amount negotiated between the General Partner and the Management Company. The management fee was reduced by certain fees ultimately received by the Management Company from the portfolio companies. Payments of the management fee were made quarterly in advance. Certain direct expenses such as legal, audit, tax, and limited partner expense were the responsibility of the Legacy Fund.</w:t>
      </w:r>
    </w:p>
    <w:p>
      <w:pPr>
        <w:spacing w:after="0" w:line="128" w:lineRule="exact"/>
        <w:rPr>
          <w:sz w:val="20"/>
          <w:szCs w:val="20"/>
          <w:color w:val="auto"/>
        </w:rPr>
      </w:pPr>
    </w:p>
    <w:p>
      <w:pPr>
        <w:ind w:left="720"/>
        <w:spacing w:after="0"/>
        <w:rPr>
          <w:sz w:val="20"/>
          <w:szCs w:val="20"/>
          <w:color w:val="auto"/>
        </w:rPr>
      </w:pPr>
      <w:r>
        <w:rPr>
          <w:rFonts w:ascii="Arial" w:cs="Arial" w:eastAsia="Arial" w:hAnsi="Arial"/>
          <w:sz w:val="15"/>
          <w:szCs w:val="15"/>
          <w:color w:val="auto"/>
        </w:rPr>
        <w:t>The incentive fee consists of the following two parts: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92" w:name="page93"/>
    <w:bookmarkEnd w:id="92"/>
    <w:p>
      <w:pPr>
        <w:ind w:firstLine="738"/>
        <w:spacing w:after="0" w:line="297" w:lineRule="auto"/>
        <w:rPr>
          <w:sz w:val="20"/>
          <w:szCs w:val="20"/>
          <w:color w:val="auto"/>
        </w:rPr>
      </w:pPr>
      <w:r>
        <w:rPr>
          <w:rFonts w:ascii="Arial" w:cs="Arial" w:eastAsia="Arial" w:hAnsi="Arial"/>
          <w:sz w:val="13"/>
          <w:szCs w:val="13"/>
          <w:color w:val="auto"/>
        </w:rPr>
        <w:t>The first part of the incentive fee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Our net investment income used to calculate this part of the incentive fee is also included in the amount of our gross assets used to calculate the 1.75% base management fee. We pay the Investment Advisor an incentive fee with respect to our pre-incentive fee net investment income in each calendar quarter as follows:</w:t>
      </w:r>
    </w:p>
    <w:p>
      <w:pPr>
        <w:spacing w:after="0" w:line="141" w:lineRule="exact"/>
        <w:rPr>
          <w:sz w:val="20"/>
          <w:szCs w:val="20"/>
          <w:color w:val="auto"/>
        </w:rPr>
      </w:pPr>
    </w:p>
    <w:p>
      <w:pPr>
        <w:ind w:left="1180" w:hanging="364"/>
        <w:spacing w:after="0"/>
        <w:tabs>
          <w:tab w:leader="none" w:pos="11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no incentive fee in any calendar quarter in which our pre-incentive fee net investment income does not exceed the hurdle of 2.0%;</w:t>
      </w:r>
    </w:p>
    <w:p>
      <w:pPr>
        <w:spacing w:after="0" w:line="189" w:lineRule="exact"/>
        <w:rPr>
          <w:rFonts w:ascii="Arial" w:cs="Arial" w:eastAsia="Arial" w:hAnsi="Arial"/>
          <w:sz w:val="15"/>
          <w:szCs w:val="15"/>
          <w:color w:val="auto"/>
        </w:rPr>
      </w:pPr>
    </w:p>
    <w:p>
      <w:pPr>
        <w:jc w:val="both"/>
        <w:ind w:left="1180" w:right="140" w:hanging="364"/>
        <w:spacing w:after="0" w:line="260" w:lineRule="auto"/>
        <w:tabs>
          <w:tab w:leader="none" w:pos="11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100% of our pre-incentive fee net investment income with respect to that portion of such pre-incentive fee net investment income, if any, that exceeds the hurdle but is less than 2.5% in any calendar quarter (10.0% annualized). We refer to this portion of our pre-incentive fee net investment income (which exceeds the hurdle but is less than 2.5%) as the “catch-up.” The “catch-up” is meant to provide our investment adviser with 20% of our pre-incentive fee net investment income as if a hurdle did not apply if this net investment income exceeds 2.5% in any calendar quarter; and</w:t>
      </w:r>
    </w:p>
    <w:p>
      <w:pPr>
        <w:spacing w:after="0" w:line="157" w:lineRule="exact"/>
        <w:rPr>
          <w:rFonts w:ascii="Arial" w:cs="Arial" w:eastAsia="Arial" w:hAnsi="Arial"/>
          <w:sz w:val="15"/>
          <w:szCs w:val="15"/>
          <w:color w:val="auto"/>
        </w:rPr>
      </w:pPr>
    </w:p>
    <w:p>
      <w:pPr>
        <w:ind w:left="1180" w:right="280" w:hanging="364"/>
        <w:spacing w:after="0" w:line="264" w:lineRule="auto"/>
        <w:tabs>
          <w:tab w:leader="none" w:pos="11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20% of the amount of our pre-incentive fee net investment income, if any, that exceeds 2.5% in any calendar quarter (10.0% annualized) is payable to Capitala Investment Advisors (once the hurdle is reached and the catch-up is achieved, 20% of all preincentive fee investment income thereafter is allocated to the Investment Advisor).</w:t>
      </w:r>
    </w:p>
    <w:p>
      <w:pPr>
        <w:spacing w:after="0" w:line="155" w:lineRule="exact"/>
        <w:rPr>
          <w:sz w:val="20"/>
          <w:szCs w:val="20"/>
          <w:color w:val="auto"/>
        </w:rPr>
      </w:pPr>
    </w:p>
    <w:p>
      <w:pPr>
        <w:ind w:right="140" w:firstLine="738"/>
        <w:spacing w:after="0" w:line="306"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Advisory Agreement, as of the termination date), commencing with the 2013 calendar year,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 provided that, the incentive fee determined as of December 31, 2013 will be calculated for a period of shorter than twelve calendar months to take into account any realized capital gains computed net of all realized capital losses and unrealized capital depreciation from the inception of the Company.</w:t>
      </w:r>
    </w:p>
    <w:p>
      <w:pPr>
        <w:spacing w:after="0" w:line="133" w:lineRule="exact"/>
        <w:rPr>
          <w:sz w:val="20"/>
          <w:szCs w:val="20"/>
          <w:color w:val="auto"/>
        </w:rPr>
      </w:pPr>
    </w:p>
    <w:p>
      <w:pPr>
        <w:ind w:right="60" w:firstLine="738"/>
        <w:spacing w:after="0" w:line="280" w:lineRule="auto"/>
        <w:rPr>
          <w:sz w:val="20"/>
          <w:szCs w:val="20"/>
          <w:color w:val="auto"/>
        </w:rPr>
      </w:pPr>
      <w:r>
        <w:rPr>
          <w:rFonts w:ascii="Arial" w:cs="Arial" w:eastAsia="Arial" w:hAnsi="Arial"/>
          <w:sz w:val="14"/>
          <w:szCs w:val="14"/>
          <w:color w:val="auto"/>
        </w:rPr>
        <w:t>We will defer cash payment of the portion of any incentive fee otherwise earned by our Investment Advisor that would, when taken together with all other incentive fees paid to our Investment Advisor during the most recent 12 full calendar month period ending on or prior to the date such payment is to be made, exceed 20% of the sum of (a) our pre-incentive fee net investment income during such period, (b) our net unrealized appreciation or depreciation during such period and (c) our net realized capital gains or losses during such period. Any deferred incentive fees will be carried over for payment in subsequent calculation periods to the extent such payment is payable under the Investment Advisory Agreement. Such deferred amounts will be calculated using a period of shorter than 12 full calendar months until 12 full calendar months have passed since completion of our IPO.</w:t>
      </w:r>
    </w:p>
    <w:p>
      <w:pPr>
        <w:spacing w:after="0" w:line="147" w:lineRule="exact"/>
        <w:rPr>
          <w:sz w:val="20"/>
          <w:szCs w:val="20"/>
          <w:color w:val="auto"/>
        </w:rPr>
      </w:pPr>
    </w:p>
    <w:p>
      <w:pPr>
        <w:ind w:right="100" w:firstLine="738"/>
        <w:spacing w:after="0" w:line="264" w:lineRule="auto"/>
        <w:rPr>
          <w:sz w:val="20"/>
          <w:szCs w:val="20"/>
          <w:color w:val="auto"/>
        </w:rPr>
      </w:pPr>
      <w:r>
        <w:rPr>
          <w:rFonts w:ascii="Arial" w:cs="Arial" w:eastAsia="Arial" w:hAnsi="Arial"/>
          <w:sz w:val="15"/>
          <w:szCs w:val="15"/>
          <w:color w:val="auto"/>
        </w:rPr>
        <w:t>For the years ended December 31, 2013, 2012 and 2011 we incurred $5.1 million, $4.2 million and $2.7 million in base management fees, respectively. For the years ended December 31, 2013, 2012 and 2011, our investment advisor waived fees of $0.3 million, $0.2 million and $0, respectively. For the year ended December 31, 2013, we incurred $1.5 million in incentive fees related to pre-incentive fee net investment income.</w:t>
      </w:r>
    </w:p>
    <w:p>
      <w:pPr>
        <w:spacing w:after="0" w:line="155" w:lineRule="exact"/>
        <w:rPr>
          <w:sz w:val="20"/>
          <w:szCs w:val="20"/>
          <w:color w:val="auto"/>
        </w:rPr>
      </w:pPr>
    </w:p>
    <w:p>
      <w:pPr>
        <w:ind w:firstLine="738"/>
        <w:spacing w:after="0" w:line="256" w:lineRule="auto"/>
        <w:rPr>
          <w:sz w:val="20"/>
          <w:szCs w:val="20"/>
          <w:color w:val="auto"/>
        </w:rPr>
      </w:pPr>
      <w:r>
        <w:rPr>
          <w:rFonts w:ascii="Arial" w:cs="Arial" w:eastAsia="Arial" w:hAnsi="Arial"/>
          <w:sz w:val="15"/>
          <w:szCs w:val="15"/>
          <w:color w:val="auto"/>
        </w:rPr>
        <w:t>On September 24, 2013, the Company entered into a separate administration agreement (the “Administration Agreement”) with Capitala Advisors Corp., our Administrator, pursuant to which our Administrator has agreed to furnish us with office facilities, equipment and clerical, bookkeeping and record keeping services at such facilities. Our Administrator also performs, or oversees the performance of, our required administrative services, which include, among other things, being responsible for the financial records that we are required to maintain and preparing reports to our stockholders.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w:t>
      </w:r>
    </w:p>
    <w:p>
      <w:pPr>
        <w:spacing w:after="0" w:line="163" w:lineRule="exact"/>
        <w:rPr>
          <w:sz w:val="20"/>
          <w:szCs w:val="20"/>
          <w:color w:val="auto"/>
        </w:rPr>
      </w:pPr>
    </w:p>
    <w:p>
      <w:pPr>
        <w:ind w:right="20" w:firstLine="738"/>
        <w:spacing w:after="0" w:line="277" w:lineRule="auto"/>
        <w:rPr>
          <w:sz w:val="20"/>
          <w:szCs w:val="20"/>
          <w:color w:val="auto"/>
        </w:rPr>
      </w:pPr>
      <w:r>
        <w:rPr>
          <w:rFonts w:ascii="Arial" w:cs="Arial" w:eastAsia="Arial" w:hAnsi="Arial"/>
          <w:sz w:val="14"/>
          <w:szCs w:val="14"/>
          <w:color w:val="auto"/>
        </w:rPr>
        <w:t>Payments under the Administration Agreement are equal to an amount based upon our allocable portion of our Administrator’s overhead in performing its obligations under the Administration Agreement, including rent, the fees and expenses associated with performing compliance functions and our allocable portion of the compensation of our chief financial officer, chief compliance officer and our allocable portion of the compensation of any administrative support staff. Under the Administration Agreement, our Administrator will also provide on our behalf managerial assistance to those portfolio companies that request such assistance. The Administration Agreement will have an initial term of two years and may be renewed with the approval of our Board of Directors. The Administration Agreement may be terminated by either party without penalty upon 60 days’ written notice to the other party. To the extent that our Administrator outsources any of its functions, we will pay the fees associated with such functions on a direct basis without any incremental profit to our Administrator. Stockholder approval is not required to amend the Administration Agreement.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85" w:right="239" w:bottom="1440" w:gutter="0" w:footer="0" w:header="0"/>
        </w:sectPr>
      </w:pPr>
    </w:p>
    <w:bookmarkStart w:id="93" w:name="page94"/>
    <w:bookmarkEnd w:id="93"/>
    <w:p>
      <w:pPr>
        <w:ind w:right="60" w:firstLine="738"/>
        <w:spacing w:after="0" w:line="284" w:lineRule="auto"/>
        <w:rPr>
          <w:sz w:val="20"/>
          <w:szCs w:val="20"/>
          <w:color w:val="auto"/>
        </w:rPr>
      </w:pPr>
      <w:r>
        <w:rPr>
          <w:rFonts w:ascii="Arial" w:cs="Arial" w:eastAsia="Arial" w:hAnsi="Arial"/>
          <w:sz w:val="14"/>
          <w:szCs w:val="14"/>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Related Party Transactions</w:t>
      </w:r>
    </w:p>
    <w:p>
      <w:pPr>
        <w:spacing w:after="0" w:line="193" w:lineRule="exact"/>
        <w:rPr>
          <w:sz w:val="20"/>
          <w:szCs w:val="20"/>
          <w:color w:val="auto"/>
        </w:rPr>
      </w:pPr>
    </w:p>
    <w:p>
      <w:pPr>
        <w:ind w:right="720" w:firstLine="738"/>
        <w:spacing w:after="0" w:line="276" w:lineRule="auto"/>
        <w:rPr>
          <w:sz w:val="20"/>
          <w:szCs w:val="20"/>
          <w:color w:val="auto"/>
        </w:rPr>
      </w:pPr>
      <w:r>
        <w:rPr>
          <w:rFonts w:ascii="Arial" w:cs="Arial" w:eastAsia="Arial" w:hAnsi="Arial"/>
          <w:sz w:val="15"/>
          <w:szCs w:val="15"/>
          <w:color w:val="auto"/>
        </w:rPr>
        <w:t>At December 31, 2013 and December 31, 2012, the Company had the following receivables from (payables to) related parties relating to certain capital contributions, management fees, incentive fees and reimbursable expenses (dollars in thousands):</w:t>
      </w:r>
    </w:p>
    <w:p>
      <w:pPr>
        <w:spacing w:after="0" w:line="142" w:lineRule="exact"/>
        <w:rPr>
          <w:sz w:val="20"/>
          <w:szCs w:val="20"/>
          <w:color w:val="auto"/>
        </w:rPr>
      </w:pPr>
    </w:p>
    <w:tbl>
      <w:tblPr>
        <w:tblLayout w:type="fixed"/>
        <w:tblInd w:w="1080" w:type="dxa"/>
        <w:tblCellMar>
          <w:top w:w="0" w:type="dxa"/>
          <w:left w:w="0" w:type="dxa"/>
          <w:bottom w:w="0" w:type="dxa"/>
          <w:right w:w="0" w:type="dxa"/>
        </w:tblCellMar>
      </w:tblPr>
      <w:tr>
        <w:trPr>
          <w:trHeight w:val="181"/>
        </w:trPr>
        <w:tc>
          <w:tcPr>
            <w:tcW w:w="5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right"/>
              <w:ind w:right="405"/>
              <w:spacing w:after="0"/>
              <w:rPr>
                <w:sz w:val="20"/>
                <w:szCs w:val="20"/>
                <w:color w:val="auto"/>
              </w:rPr>
            </w:pPr>
            <w:r>
              <w:rPr>
                <w:rFonts w:ascii="Arial" w:cs="Arial" w:eastAsia="Arial" w:hAnsi="Arial"/>
                <w:sz w:val="15"/>
                <w:szCs w:val="15"/>
                <w:b w:val="1"/>
                <w:bCs w:val="1"/>
                <w:color w:val="auto"/>
                <w:w w:val="98"/>
              </w:rPr>
              <w:t>December 31,</w:t>
            </w:r>
          </w:p>
        </w:tc>
        <w:tc>
          <w:tcPr>
            <w:tcW w:w="180" w:type="dxa"/>
            <w:vAlign w:val="bottom"/>
          </w:tcPr>
          <w:p>
            <w:pPr>
              <w:spacing w:after="0"/>
              <w:rPr>
                <w:sz w:val="15"/>
                <w:szCs w:val="15"/>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8"/>
              </w:rPr>
              <w:t>December 31,</w:t>
            </w:r>
          </w:p>
        </w:tc>
      </w:tr>
      <w:tr>
        <w:trPr>
          <w:trHeight w:val="195"/>
        </w:trPr>
        <w:tc>
          <w:tcPr>
            <w:tcW w:w="542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2013</w:t>
            </w:r>
          </w:p>
        </w:tc>
        <w:tc>
          <w:tcPr>
            <w:tcW w:w="18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2012</w:t>
            </w:r>
          </w:p>
        </w:tc>
        <w:tc>
          <w:tcPr>
            <w:tcW w:w="80" w:type="dxa"/>
            <w:vAlign w:val="bottom"/>
            <w:tcBorders>
              <w:bottom w:val="single" w:sz="8" w:color="CCFFCC"/>
            </w:tcBorders>
          </w:tcPr>
          <w:p>
            <w:pPr>
              <w:spacing w:after="0"/>
              <w:rPr>
                <w:sz w:val="16"/>
                <w:szCs w:val="16"/>
                <w:color w:val="auto"/>
              </w:rPr>
            </w:pPr>
          </w:p>
        </w:tc>
      </w:tr>
      <w:tr>
        <w:trPr>
          <w:trHeight w:val="173"/>
        </w:trPr>
        <w:tc>
          <w:tcPr>
            <w:tcW w:w="5420" w:type="dxa"/>
            <w:vAlign w:val="bottom"/>
            <w:shd w:val="clear" w:color="auto" w:fill="CCFFCC"/>
          </w:tcPr>
          <w:p>
            <w:pPr>
              <w:spacing w:after="0"/>
              <w:rPr>
                <w:sz w:val="20"/>
                <w:szCs w:val="20"/>
                <w:color w:val="auto"/>
              </w:rPr>
            </w:pPr>
            <w:r>
              <w:rPr>
                <w:rFonts w:ascii="Arial" w:cs="Arial" w:eastAsia="Arial" w:hAnsi="Arial"/>
                <w:sz w:val="15"/>
                <w:szCs w:val="15"/>
                <w:color w:val="auto"/>
              </w:rPr>
              <w:t>CapitalSouth Corporation</w:t>
            </w:r>
          </w:p>
        </w:tc>
        <w:tc>
          <w:tcPr>
            <w:tcW w:w="180" w:type="dxa"/>
            <w:vAlign w:val="bottom"/>
            <w:shd w:val="clear" w:color="auto" w:fill="CCFFCC"/>
          </w:tcPr>
          <w:p>
            <w:pPr>
              <w:jc w:val="right"/>
              <w:ind w:right="7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252</w:t>
            </w:r>
          </w:p>
        </w:tc>
        <w:tc>
          <w:tcPr>
            <w:tcW w:w="180" w:type="dxa"/>
            <w:vAlign w:val="bottom"/>
            <w:shd w:val="clear" w:color="auto" w:fill="CCFFCC"/>
          </w:tcPr>
          <w:p>
            <w:pPr>
              <w:spacing w:after="0"/>
              <w:rPr>
                <w:sz w:val="15"/>
                <w:szCs w:val="15"/>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256</w:t>
            </w:r>
          </w:p>
        </w:tc>
        <w:tc>
          <w:tcPr>
            <w:tcW w:w="80" w:type="dxa"/>
            <w:vAlign w:val="bottom"/>
            <w:shd w:val="clear" w:color="auto" w:fill="CCFFCC"/>
          </w:tcPr>
          <w:p>
            <w:pPr>
              <w:spacing w:after="0"/>
              <w:rPr>
                <w:sz w:val="15"/>
                <w:szCs w:val="15"/>
                <w:color w:val="auto"/>
              </w:rPr>
            </w:pPr>
          </w:p>
        </w:tc>
      </w:tr>
      <w:tr>
        <w:trPr>
          <w:trHeight w:val="181"/>
        </w:trPr>
        <w:tc>
          <w:tcPr>
            <w:tcW w:w="5420" w:type="dxa"/>
            <w:vAlign w:val="bottom"/>
          </w:tcPr>
          <w:p>
            <w:pPr>
              <w:spacing w:after="0"/>
              <w:rPr>
                <w:sz w:val="20"/>
                <w:szCs w:val="20"/>
                <w:color w:val="auto"/>
              </w:rPr>
            </w:pPr>
            <w:r>
              <w:rPr>
                <w:rFonts w:ascii="Arial" w:cs="Arial" w:eastAsia="Arial" w:hAnsi="Arial"/>
                <w:sz w:val="15"/>
                <w:szCs w:val="15"/>
                <w:color w:val="auto"/>
              </w:rPr>
              <w:t>Phoenix Holdings-NC, Inc.</w:t>
            </w:r>
          </w:p>
        </w:tc>
        <w:tc>
          <w:tcPr>
            <w:tcW w:w="180" w:type="dxa"/>
            <w:vAlign w:val="bottom"/>
          </w:tcPr>
          <w:p>
            <w:pPr>
              <w:spacing w:after="0"/>
              <w:rPr>
                <w:sz w:val="15"/>
                <w:szCs w:val="15"/>
                <w:color w:val="auto"/>
              </w:rPr>
            </w:pPr>
          </w:p>
        </w:tc>
        <w:tc>
          <w:tcPr>
            <w:tcW w:w="1460" w:type="dxa"/>
            <w:vAlign w:val="bottom"/>
            <w:gridSpan w:val="2"/>
          </w:tcPr>
          <w:p>
            <w:pPr>
              <w:jc w:val="right"/>
              <w:ind w:right="105"/>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5"/>
                <w:szCs w:val="15"/>
                <w:color w:val="auto"/>
              </w:rPr>
              <w:t>(161)</w:t>
            </w:r>
          </w:p>
        </w:tc>
      </w:tr>
      <w:tr>
        <w:trPr>
          <w:trHeight w:val="181"/>
        </w:trPr>
        <w:tc>
          <w:tcPr>
            <w:tcW w:w="5420" w:type="dxa"/>
            <w:vAlign w:val="bottom"/>
            <w:shd w:val="clear" w:color="auto" w:fill="CCFFCC"/>
          </w:tcPr>
          <w:p>
            <w:pPr>
              <w:spacing w:after="0"/>
              <w:rPr>
                <w:sz w:val="20"/>
                <w:szCs w:val="20"/>
                <w:color w:val="auto"/>
              </w:rPr>
            </w:pPr>
            <w:r>
              <w:rPr>
                <w:rFonts w:ascii="Arial" w:cs="Arial" w:eastAsia="Arial" w:hAnsi="Arial"/>
                <w:sz w:val="15"/>
                <w:szCs w:val="15"/>
                <w:color w:val="auto"/>
              </w:rPr>
              <w:t>Shareholders/Limited Partners</w:t>
            </w:r>
          </w:p>
        </w:tc>
        <w:tc>
          <w:tcPr>
            <w:tcW w:w="18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5"/>
              <w:spacing w:after="0"/>
              <w:rPr>
                <w:sz w:val="20"/>
                <w:szCs w:val="20"/>
                <w:color w:val="auto"/>
              </w:rPr>
            </w:pPr>
            <w:r>
              <w:rPr>
                <w:rFonts w:ascii="Arial" w:cs="Arial" w:eastAsia="Arial" w:hAnsi="Arial"/>
                <w:sz w:val="15"/>
                <w:szCs w:val="15"/>
                <w:color w:val="auto"/>
              </w:rPr>
              <w:t>267</w:t>
            </w:r>
          </w:p>
        </w:tc>
        <w:tc>
          <w:tcPr>
            <w:tcW w:w="180" w:type="dxa"/>
            <w:vAlign w:val="bottom"/>
            <w:shd w:val="clear" w:color="auto" w:fill="CCFFCC"/>
          </w:tcPr>
          <w:p>
            <w:pPr>
              <w:spacing w:after="0"/>
              <w:rPr>
                <w:sz w:val="15"/>
                <w:szCs w:val="15"/>
                <w:color w:val="auto"/>
              </w:rPr>
            </w:pP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5"/>
                <w:szCs w:val="15"/>
                <w:color w:val="auto"/>
              </w:rPr>
              <w:t>138</w:t>
            </w:r>
          </w:p>
        </w:tc>
      </w:tr>
      <w:tr>
        <w:trPr>
          <w:trHeight w:val="181"/>
        </w:trPr>
        <w:tc>
          <w:tcPr>
            <w:tcW w:w="5420" w:type="dxa"/>
            <w:vAlign w:val="bottom"/>
          </w:tcPr>
          <w:p>
            <w:pPr>
              <w:spacing w:after="0"/>
              <w:rPr>
                <w:sz w:val="20"/>
                <w:szCs w:val="20"/>
                <w:color w:val="auto"/>
              </w:rPr>
            </w:pPr>
            <w:r>
              <w:rPr>
                <w:rFonts w:ascii="Arial" w:cs="Arial" w:eastAsia="Arial" w:hAnsi="Arial"/>
                <w:sz w:val="15"/>
                <w:szCs w:val="15"/>
                <w:color w:val="auto"/>
              </w:rPr>
              <w:t>CapitalSouth Partners Fund III, L.P.</w:t>
            </w:r>
          </w:p>
        </w:tc>
        <w:tc>
          <w:tcPr>
            <w:tcW w:w="180" w:type="dxa"/>
            <w:vAlign w:val="bottom"/>
          </w:tcPr>
          <w:p>
            <w:pPr>
              <w:spacing w:after="0"/>
              <w:rPr>
                <w:sz w:val="15"/>
                <w:szCs w:val="15"/>
                <w:color w:val="auto"/>
              </w:rPr>
            </w:pPr>
          </w:p>
        </w:tc>
        <w:tc>
          <w:tcPr>
            <w:tcW w:w="1460" w:type="dxa"/>
            <w:vAlign w:val="bottom"/>
            <w:gridSpan w:val="2"/>
          </w:tcPr>
          <w:p>
            <w:pPr>
              <w:jc w:val="right"/>
              <w:ind w:right="105"/>
              <w:spacing w:after="0"/>
              <w:rPr>
                <w:sz w:val="20"/>
                <w:szCs w:val="20"/>
                <w:color w:val="auto"/>
              </w:rPr>
            </w:pPr>
            <w:r>
              <w:rPr>
                <w:rFonts w:ascii="Arial" w:cs="Arial" w:eastAsia="Arial" w:hAnsi="Arial"/>
                <w:sz w:val="15"/>
                <w:szCs w:val="15"/>
                <w:color w:val="auto"/>
              </w:rPr>
              <w:t>1,118</w:t>
            </w:r>
          </w:p>
        </w:tc>
        <w:tc>
          <w:tcPr>
            <w:tcW w:w="18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1,062</w:t>
            </w:r>
          </w:p>
        </w:tc>
      </w:tr>
      <w:tr>
        <w:trPr>
          <w:trHeight w:val="181"/>
        </w:trPr>
        <w:tc>
          <w:tcPr>
            <w:tcW w:w="5420" w:type="dxa"/>
            <w:vAlign w:val="bottom"/>
            <w:shd w:val="clear" w:color="auto" w:fill="CCFFCC"/>
          </w:tcPr>
          <w:p>
            <w:pPr>
              <w:spacing w:after="0"/>
              <w:rPr>
                <w:sz w:val="20"/>
                <w:szCs w:val="20"/>
                <w:color w:val="auto"/>
              </w:rPr>
            </w:pPr>
            <w:r>
              <w:rPr>
                <w:rFonts w:ascii="Arial" w:cs="Arial" w:eastAsia="Arial" w:hAnsi="Arial"/>
                <w:sz w:val="15"/>
                <w:szCs w:val="15"/>
                <w:color w:val="auto"/>
              </w:rPr>
              <w:t>Capitala Investment Advisors</w:t>
            </w:r>
          </w:p>
        </w:tc>
        <w:tc>
          <w:tcPr>
            <w:tcW w:w="18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45"/>
              <w:spacing w:after="0"/>
              <w:rPr>
                <w:sz w:val="20"/>
                <w:szCs w:val="20"/>
                <w:color w:val="auto"/>
              </w:rPr>
            </w:pPr>
            <w:r>
              <w:rPr>
                <w:rFonts w:ascii="Arial" w:cs="Arial" w:eastAsia="Arial" w:hAnsi="Arial"/>
                <w:sz w:val="15"/>
                <w:szCs w:val="15"/>
                <w:color w:val="auto"/>
              </w:rPr>
              <w:t>(2,670)</w:t>
            </w:r>
          </w:p>
        </w:tc>
        <w:tc>
          <w:tcPr>
            <w:tcW w:w="180" w:type="dxa"/>
            <w:vAlign w:val="bottom"/>
            <w:shd w:val="clear" w:color="auto" w:fill="CCFFCC"/>
          </w:tcPr>
          <w:p>
            <w:pPr>
              <w:spacing w:after="0"/>
              <w:rPr>
                <w:sz w:val="15"/>
                <w:szCs w:val="15"/>
                <w:color w:val="auto"/>
              </w:rPr>
            </w:pP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5"/>
                <w:szCs w:val="15"/>
                <w:color w:val="auto"/>
              </w:rPr>
              <w:t>—</w:t>
            </w:r>
          </w:p>
        </w:tc>
      </w:tr>
      <w:tr>
        <w:trPr>
          <w:trHeight w:val="192"/>
        </w:trPr>
        <w:tc>
          <w:tcPr>
            <w:tcW w:w="5420" w:type="dxa"/>
            <w:vAlign w:val="bottom"/>
          </w:tcPr>
          <w:p>
            <w:pPr>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16"/>
                <w:szCs w:val="16"/>
                <w:color w:val="auto"/>
              </w:rPr>
            </w:pPr>
          </w:p>
        </w:tc>
        <w:tc>
          <w:tcPr>
            <w:tcW w:w="1460" w:type="dxa"/>
            <w:vAlign w:val="bottom"/>
            <w:gridSpan w:val="2"/>
          </w:tcPr>
          <w:p>
            <w:pPr>
              <w:jc w:val="right"/>
              <w:ind w:right="105"/>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2</w:t>
            </w:r>
          </w:p>
        </w:tc>
      </w:tr>
      <w:tr>
        <w:trPr>
          <w:trHeight w:val="173"/>
        </w:trPr>
        <w:tc>
          <w:tcPr>
            <w:tcW w:w="5420" w:type="dxa"/>
            <w:vAlign w:val="bottom"/>
            <w:tcBorders>
              <w:top w:val="single" w:sz="8" w:color="CCFFCC"/>
            </w:tcBorders>
            <w:shd w:val="clear" w:color="auto" w:fill="CCFFCC"/>
          </w:tcPr>
          <w:p>
            <w:pPr>
              <w:spacing w:after="0" w:line="171" w:lineRule="exact"/>
              <w:rPr>
                <w:sz w:val="20"/>
                <w:szCs w:val="20"/>
                <w:color w:val="auto"/>
              </w:rPr>
            </w:pPr>
            <w:r>
              <w:rPr>
                <w:rFonts w:ascii="Arial" w:cs="Arial" w:eastAsia="Arial" w:hAnsi="Arial"/>
                <w:sz w:val="15"/>
                <w:szCs w:val="15"/>
                <w:color w:val="auto"/>
              </w:rPr>
              <w:t>Total</w:t>
            </w:r>
          </w:p>
        </w:tc>
        <w:tc>
          <w:tcPr>
            <w:tcW w:w="180" w:type="dxa"/>
            <w:vAlign w:val="bottom"/>
            <w:tcBorders>
              <w:top w:val="single" w:sz="8" w:color="auto"/>
              <w:bottom w:val="single" w:sz="8" w:color="auto"/>
            </w:tcBorders>
            <w:shd w:val="clear" w:color="auto" w:fill="CCFFCC"/>
          </w:tcPr>
          <w:p>
            <w:pPr>
              <w:jc w:val="right"/>
              <w:ind w:right="7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(1,033</w:t>
            </w:r>
          </w:p>
        </w:tc>
        <w:tc>
          <w:tcPr>
            <w:tcW w:w="180" w:type="dxa"/>
            <w:vAlign w:val="bottom"/>
            <w:tcBorders>
              <w:top w:val="single" w:sz="8" w:color="CCFFCC"/>
            </w:tcBorders>
            <w:shd w:val="clear" w:color="auto" w:fill="CCFFCC"/>
          </w:tcPr>
          <w:p>
            <w:pPr>
              <w:jc w:val="right"/>
              <w:ind w:right="45"/>
              <w:spacing w:after="0" w:line="171" w:lineRule="exact"/>
              <w:rPr>
                <w:sz w:val="20"/>
                <w:szCs w:val="20"/>
                <w:color w:val="auto"/>
              </w:rPr>
            </w:pPr>
            <w:r>
              <w:rPr>
                <w:rFonts w:ascii="Arial" w:cs="Arial" w:eastAsia="Arial" w:hAnsi="Arial"/>
                <w:sz w:val="15"/>
                <w:szCs w:val="15"/>
                <w:color w:val="auto"/>
                <w:w w:val="79"/>
              </w:rPr>
              <w:t>)</w:t>
            </w: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1,297</w:t>
            </w:r>
          </w:p>
        </w:tc>
        <w:tc>
          <w:tcPr>
            <w:tcW w:w="80" w:type="dxa"/>
            <w:vAlign w:val="bottom"/>
            <w:tcBorders>
              <w:top w:val="single" w:sz="8" w:color="CCFFCC"/>
            </w:tcBorders>
            <w:shd w:val="clear" w:color="auto" w:fill="CCFFCC"/>
          </w:tcPr>
          <w:p>
            <w:pPr>
              <w:spacing w:after="0"/>
              <w:rPr>
                <w:sz w:val="15"/>
                <w:szCs w:val="15"/>
                <w:color w:val="auto"/>
              </w:rPr>
            </w:pPr>
          </w:p>
        </w:tc>
      </w:tr>
    </w:tbl>
    <w:p>
      <w:pPr>
        <w:spacing w:after="0" w:line="17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These amounts are reflected in the accompanying statements of financial position under the captions, “Due from related parties”, “Incentive fee payable” and “Due to related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parties.”</w:t>
      </w:r>
    </w:p>
    <w:p>
      <w:pPr>
        <w:spacing w:after="0" w:line="180" w:lineRule="exact"/>
        <w:rPr>
          <w:sz w:val="20"/>
          <w:szCs w:val="20"/>
          <w:color w:val="auto"/>
        </w:rPr>
      </w:pPr>
    </w:p>
    <w:p>
      <w:pPr>
        <w:ind w:firstLine="738"/>
        <w:spacing w:after="0" w:line="264" w:lineRule="auto"/>
        <w:rPr>
          <w:sz w:val="20"/>
          <w:szCs w:val="20"/>
          <w:color w:val="auto"/>
        </w:rPr>
      </w:pPr>
      <w:r>
        <w:rPr>
          <w:rFonts w:ascii="Arial" w:cs="Arial" w:eastAsia="Arial" w:hAnsi="Arial"/>
          <w:sz w:val="15"/>
          <w:szCs w:val="15"/>
          <w:color w:val="auto"/>
        </w:rPr>
        <w:t>At times, the Company maintains deposit accounts and certificates of deposit with financial institutions that are shareholders of the Company or were limited partners of a legacy fund prior to the formation transaction. Total deposits with these financial institutions were approximately $2.8 million and $30.3 million at December 31, 2013 and December 31, 2012, respectively.</w:t>
      </w: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6. Borrowings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SBA Debentures</w:t>
      </w:r>
    </w:p>
    <w:p>
      <w:pPr>
        <w:spacing w:after="0" w:line="189" w:lineRule="exact"/>
        <w:rPr>
          <w:sz w:val="20"/>
          <w:szCs w:val="20"/>
          <w:color w:val="auto"/>
        </w:rPr>
      </w:pPr>
    </w:p>
    <w:p>
      <w:pPr>
        <w:ind w:right="60" w:firstLine="738"/>
        <w:spacing w:after="0" w:line="260" w:lineRule="auto"/>
        <w:rPr>
          <w:sz w:val="20"/>
          <w:szCs w:val="20"/>
          <w:color w:val="auto"/>
        </w:rPr>
      </w:pPr>
      <w:r>
        <w:rPr>
          <w:rFonts w:ascii="Arial" w:cs="Arial" w:eastAsia="Arial" w:hAnsi="Arial"/>
          <w:sz w:val="15"/>
          <w:szCs w:val="15"/>
          <w:color w:val="auto"/>
        </w:rPr>
        <w:t>The Company, through its two wholly-owned subsidiaries, uses debenture leverage provided through the SBA to fund a portion of its investment portfolio. As of December 31, 2013, the Company has issued $202.2 million of SBA-guaranteed debentures. The Company has issued all SBA-guaranteed debentures that were permitted under each of the Legacy Funds’ respective SBIC licenses (as applicable), and there are no unused SBA debenture commitments remaining. SBA-guaranteed debentures are secured by a lien on all assets of Fund II and Fund III. As of December 31, 2013, Fund II and Fund III had total assets of approximately $393.7 million.</w:t>
      </w:r>
    </w:p>
    <w:p>
      <w:pPr>
        <w:spacing w:after="0" w:line="157" w:lineRule="exact"/>
        <w:rPr>
          <w:sz w:val="20"/>
          <w:szCs w:val="20"/>
          <w:color w:val="auto"/>
        </w:rPr>
      </w:pPr>
    </w:p>
    <w:p>
      <w:pPr>
        <w:ind w:right="20" w:firstLine="738"/>
        <w:spacing w:after="0" w:line="306" w:lineRule="auto"/>
        <w:rPr>
          <w:sz w:val="20"/>
          <w:szCs w:val="20"/>
          <w:color w:val="auto"/>
        </w:rPr>
      </w:pPr>
      <w:r>
        <w:rPr>
          <w:rFonts w:ascii="Arial" w:cs="Arial" w:eastAsia="Arial" w:hAnsi="Arial"/>
          <w:sz w:val="13"/>
          <w:szCs w:val="13"/>
          <w:color w:val="auto"/>
        </w:rPr>
        <w:t>For the years ended December 31, 2013, 2012 and 2011 we recorded $8.4 million, $7.9 million and $5.5 million, respectively, of interest, annual charges, and financing expenses related to the SBA guaranteed debenture, of which $8.1 million, $7.3 million and $5.0 million, respectively, was attributable to interest expense and $0.3 million, $0.6 million and $0.5 million, respectively, of amortization of commitment and upfront fees. The weighted average interest rate for all SBA-guaranteed debentures as of December 31, 2013 and December 31, 2012 was 3.57% and 3.74%, respectively. In addition to the stated interest rate, the SBA also charges an annual fee on all SBA-guaranteed debentures issued, which is included in the Company’s interest expense. The weighted average annual fee for all SBA-guaranteed debentures as of December 31, 2013 and December 31, 2012 was 0.50% and 0.50%, respectively.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85" w:right="219" w:bottom="1440" w:gutter="0" w:footer="0" w:header="0"/>
        </w:sectPr>
      </w:pPr>
    </w:p>
    <w:bookmarkStart w:id="94" w:name="page95"/>
    <w:bookmarkEnd w:id="94"/>
    <w:p>
      <w:pPr>
        <w:ind w:left="720"/>
        <w:spacing w:after="0"/>
        <w:rPr>
          <w:sz w:val="20"/>
          <w:szCs w:val="20"/>
          <w:color w:val="auto"/>
        </w:rPr>
      </w:pPr>
      <w:r>
        <w:rPr>
          <w:rFonts w:ascii="Arial" w:cs="Arial" w:eastAsia="Arial" w:hAnsi="Arial"/>
          <w:sz w:val="15"/>
          <w:szCs w:val="15"/>
          <w:color w:val="auto"/>
        </w:rPr>
        <w:t>As of December 31, 2013 and December 31, 2012, the Company’s issued and outstanding SBA-guaranteed debentures mature as follows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w w:val="98"/>
              </w:rPr>
              <w:t>December 31,</w:t>
            </w:r>
          </w:p>
        </w:tc>
      </w:tr>
      <w:tr>
        <w:trPr>
          <w:trHeight w:val="195"/>
        </w:trPr>
        <w:tc>
          <w:tcPr>
            <w:tcW w:w="28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Date of Pooling</w:t>
            </w:r>
          </w:p>
        </w:tc>
        <w:tc>
          <w:tcPr>
            <w:tcW w:w="100" w:type="dxa"/>
            <w:vAlign w:val="bottom"/>
            <w:tcBorders>
              <w:bottom w:val="single" w:sz="8" w:color="CCFFCC"/>
            </w:tcBorders>
          </w:tcPr>
          <w:p>
            <w:pPr>
              <w:spacing w:after="0"/>
              <w:rPr>
                <w:sz w:val="16"/>
                <w:szCs w:val="16"/>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Fixed Maturity Date</w:t>
            </w:r>
          </w:p>
        </w:tc>
        <w:tc>
          <w:tcPr>
            <w:tcW w:w="120" w:type="dxa"/>
            <w:vAlign w:val="bottom"/>
            <w:tcBorders>
              <w:bottom w:val="single" w:sz="8" w:color="CCFFCC"/>
            </w:tcBorders>
          </w:tcPr>
          <w:p>
            <w:pPr>
              <w:spacing w:after="0"/>
              <w:rPr>
                <w:sz w:val="16"/>
                <w:szCs w:val="16"/>
                <w:color w:val="auto"/>
              </w:rPr>
            </w:pPr>
          </w:p>
        </w:tc>
        <w:tc>
          <w:tcPr>
            <w:tcW w:w="148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auto"/>
              </w:rPr>
              <w:t>Interest Rate</w:t>
            </w:r>
          </w:p>
        </w:tc>
        <w:tc>
          <w:tcPr>
            <w:tcW w:w="240" w:type="dxa"/>
            <w:vAlign w:val="bottom"/>
            <w:tcBorders>
              <w:bottom w:val="single" w:sz="8" w:color="CCFFCC"/>
            </w:tcBorders>
          </w:tcPr>
          <w:p>
            <w:pPr>
              <w:spacing w:after="0"/>
              <w:rPr>
                <w:sz w:val="16"/>
                <w:szCs w:val="16"/>
                <w:color w:val="auto"/>
              </w:rPr>
            </w:pP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w w:val="96"/>
              </w:rPr>
              <w:t>SBA Annual Charge</w:t>
            </w:r>
          </w:p>
        </w:tc>
        <w:tc>
          <w:tcPr>
            <w:tcW w:w="26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b w:val="1"/>
                <w:bCs w:val="1"/>
                <w:color w:val="auto"/>
              </w:rPr>
              <w:t>2013</w:t>
            </w:r>
          </w:p>
        </w:tc>
        <w:tc>
          <w:tcPr>
            <w:tcW w:w="100" w:type="dxa"/>
            <w:vAlign w:val="bottom"/>
            <w:tcBorders>
              <w:bottom w:val="single" w:sz="8" w:color="CCFFCC"/>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2012</w:t>
            </w:r>
          </w:p>
        </w:tc>
        <w:tc>
          <w:tcPr>
            <w:tcW w:w="120" w:type="dxa"/>
            <w:vAlign w:val="bottom"/>
            <w:tcBorders>
              <w:bottom w:val="single" w:sz="8" w:color="CCFFCC"/>
            </w:tcBorders>
          </w:tcPr>
          <w:p>
            <w:pPr>
              <w:spacing w:after="0"/>
              <w:rPr>
                <w:sz w:val="16"/>
                <w:szCs w:val="16"/>
                <w:color w:val="auto"/>
              </w:rPr>
            </w:pPr>
          </w:p>
        </w:tc>
      </w:tr>
      <w:tr>
        <w:trPr>
          <w:trHeight w:val="173"/>
        </w:trPr>
        <w:tc>
          <w:tcPr>
            <w:tcW w:w="2860" w:type="dxa"/>
            <w:vAlign w:val="bottom"/>
            <w:shd w:val="clear" w:color="auto" w:fill="CCFFCC"/>
          </w:tcPr>
          <w:p>
            <w:pPr>
              <w:spacing w:after="0"/>
              <w:rPr>
                <w:sz w:val="20"/>
                <w:szCs w:val="20"/>
                <w:color w:val="auto"/>
              </w:rPr>
            </w:pPr>
            <w:r>
              <w:rPr>
                <w:rFonts w:ascii="Arial" w:cs="Arial" w:eastAsia="Arial" w:hAnsi="Arial"/>
                <w:sz w:val="15"/>
                <w:szCs w:val="15"/>
                <w:color w:val="auto"/>
              </w:rPr>
              <w:t>March 1, 2004</w:t>
            </w:r>
          </w:p>
        </w:tc>
        <w:tc>
          <w:tcPr>
            <w:tcW w:w="100" w:type="dxa"/>
            <w:vAlign w:val="bottom"/>
            <w:shd w:val="clear" w:color="auto" w:fill="CCFFCC"/>
          </w:tcPr>
          <w:p>
            <w:pPr>
              <w:spacing w:after="0"/>
              <w:rPr>
                <w:sz w:val="15"/>
                <w:szCs w:val="15"/>
                <w:color w:val="auto"/>
              </w:rPr>
            </w:pPr>
          </w:p>
        </w:tc>
        <w:tc>
          <w:tcPr>
            <w:tcW w:w="1600" w:type="dxa"/>
            <w:vAlign w:val="bottom"/>
            <w:shd w:val="clear" w:color="auto" w:fill="CCFFCC"/>
          </w:tcPr>
          <w:p>
            <w:pPr>
              <w:ind w:left="100"/>
              <w:spacing w:after="0"/>
              <w:rPr>
                <w:sz w:val="20"/>
                <w:szCs w:val="20"/>
                <w:color w:val="auto"/>
              </w:rPr>
            </w:pPr>
            <w:r>
              <w:rPr>
                <w:rFonts w:ascii="Arial" w:cs="Arial" w:eastAsia="Arial" w:hAnsi="Arial"/>
                <w:sz w:val="15"/>
                <w:szCs w:val="15"/>
                <w:color w:val="auto"/>
              </w:rPr>
              <w:t>March 1, 2014</w:t>
            </w:r>
          </w:p>
        </w:tc>
        <w:tc>
          <w:tcPr>
            <w:tcW w:w="120" w:type="dxa"/>
            <w:vAlign w:val="bottom"/>
            <w:shd w:val="clear" w:color="auto" w:fill="CCFFCC"/>
          </w:tcPr>
          <w:p>
            <w:pPr>
              <w:spacing w:after="0"/>
              <w:rPr>
                <w:sz w:val="15"/>
                <w:szCs w:val="15"/>
                <w:color w:val="auto"/>
              </w:rPr>
            </w:pPr>
          </w:p>
        </w:tc>
        <w:tc>
          <w:tcPr>
            <w:tcW w:w="17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4.120%</w:t>
            </w:r>
          </w:p>
        </w:tc>
        <w:tc>
          <w:tcPr>
            <w:tcW w:w="17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0.855%</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2,000</w:t>
            </w: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2,000</w:t>
            </w:r>
          </w:p>
        </w:tc>
        <w:tc>
          <w:tcPr>
            <w:tcW w:w="120" w:type="dxa"/>
            <w:vAlign w:val="bottom"/>
            <w:shd w:val="clear" w:color="auto" w:fill="CCFFCC"/>
          </w:tcPr>
          <w:p>
            <w:pPr>
              <w:spacing w:after="0"/>
              <w:rPr>
                <w:sz w:val="15"/>
                <w:szCs w:val="15"/>
                <w:color w:val="auto"/>
              </w:rPr>
            </w:pPr>
          </w:p>
        </w:tc>
      </w:tr>
      <w:tr>
        <w:trPr>
          <w:trHeight w:val="181"/>
        </w:trPr>
        <w:tc>
          <w:tcPr>
            <w:tcW w:w="2960" w:type="dxa"/>
            <w:vAlign w:val="bottom"/>
            <w:gridSpan w:val="2"/>
          </w:tcPr>
          <w:p>
            <w:pPr>
              <w:spacing w:after="0"/>
              <w:rPr>
                <w:sz w:val="20"/>
                <w:szCs w:val="20"/>
                <w:color w:val="auto"/>
              </w:rPr>
            </w:pPr>
            <w:r>
              <w:rPr>
                <w:rFonts w:ascii="Arial" w:cs="Arial" w:eastAsia="Arial" w:hAnsi="Arial"/>
                <w:sz w:val="15"/>
                <w:szCs w:val="15"/>
                <w:color w:val="auto"/>
              </w:rPr>
              <w:t>September 1, 2004</w:t>
            </w:r>
          </w:p>
        </w:tc>
        <w:tc>
          <w:tcPr>
            <w:tcW w:w="1720" w:type="dxa"/>
            <w:vAlign w:val="bottom"/>
            <w:gridSpan w:val="2"/>
          </w:tcPr>
          <w:p>
            <w:pPr>
              <w:ind w:left="100"/>
              <w:spacing w:after="0"/>
              <w:rPr>
                <w:sz w:val="20"/>
                <w:szCs w:val="20"/>
                <w:color w:val="auto"/>
              </w:rPr>
            </w:pPr>
            <w:r>
              <w:rPr>
                <w:rFonts w:ascii="Arial" w:cs="Arial" w:eastAsia="Arial" w:hAnsi="Arial"/>
                <w:sz w:val="15"/>
                <w:szCs w:val="15"/>
                <w:color w:val="auto"/>
              </w:rPr>
              <w:t>September 1, 2014</w:t>
            </w:r>
          </w:p>
        </w:tc>
        <w:tc>
          <w:tcPr>
            <w:tcW w:w="1720" w:type="dxa"/>
            <w:vAlign w:val="bottom"/>
            <w:gridSpan w:val="2"/>
          </w:tcPr>
          <w:p>
            <w:pPr>
              <w:jc w:val="right"/>
              <w:ind w:right="120"/>
              <w:spacing w:after="0"/>
              <w:rPr>
                <w:sz w:val="20"/>
                <w:szCs w:val="20"/>
                <w:color w:val="auto"/>
              </w:rPr>
            </w:pPr>
            <w:r>
              <w:rPr>
                <w:rFonts w:ascii="Arial" w:cs="Arial" w:eastAsia="Arial" w:hAnsi="Arial"/>
                <w:sz w:val="15"/>
                <w:szCs w:val="15"/>
                <w:color w:val="auto"/>
              </w:rPr>
              <w:t>4.684%</w:t>
            </w: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0.855%</w:t>
            </w:r>
          </w:p>
        </w:tc>
        <w:tc>
          <w:tcPr>
            <w:tcW w:w="18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5"/>
                <w:szCs w:val="15"/>
                <w:color w:val="auto"/>
              </w:rPr>
              <w:t>8,000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8,000</w:t>
            </w:r>
          </w:p>
        </w:tc>
      </w:tr>
      <w:tr>
        <w:trPr>
          <w:trHeight w:val="181"/>
        </w:trPr>
        <w:tc>
          <w:tcPr>
            <w:tcW w:w="29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September 1, 2005</w:t>
            </w:r>
          </w:p>
        </w:tc>
        <w:tc>
          <w:tcPr>
            <w:tcW w:w="1720" w:type="dxa"/>
            <w:vAlign w:val="bottom"/>
            <w:gridSpan w:val="2"/>
            <w:shd w:val="clear" w:color="auto" w:fill="CCFFCC"/>
          </w:tcPr>
          <w:p>
            <w:pPr>
              <w:ind w:left="100"/>
              <w:spacing w:after="0"/>
              <w:rPr>
                <w:sz w:val="20"/>
                <w:szCs w:val="20"/>
                <w:color w:val="auto"/>
              </w:rPr>
            </w:pPr>
            <w:r>
              <w:rPr>
                <w:rFonts w:ascii="Arial" w:cs="Arial" w:eastAsia="Arial" w:hAnsi="Arial"/>
                <w:sz w:val="15"/>
                <w:szCs w:val="15"/>
                <w:color w:val="auto"/>
              </w:rPr>
              <w:t>September 1, 2015</w:t>
            </w:r>
          </w:p>
        </w:tc>
        <w:tc>
          <w:tcPr>
            <w:tcW w:w="17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4.941%</w:t>
            </w:r>
          </w:p>
        </w:tc>
        <w:tc>
          <w:tcPr>
            <w:tcW w:w="17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0.871%</w:t>
            </w:r>
          </w:p>
        </w:tc>
        <w:tc>
          <w:tcPr>
            <w:tcW w:w="180" w:type="dxa"/>
            <w:vAlign w:val="bottom"/>
            <w:shd w:val="clear" w:color="auto" w:fill="CCFFCC"/>
          </w:tcPr>
          <w:p>
            <w:pPr>
              <w:spacing w:after="0"/>
              <w:rPr>
                <w:sz w:val="15"/>
                <w:szCs w:val="15"/>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8,000</w:t>
            </w:r>
          </w:p>
        </w:tc>
        <w:tc>
          <w:tcPr>
            <w:tcW w:w="12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8,000</w:t>
            </w:r>
          </w:p>
        </w:tc>
      </w:tr>
      <w:tr>
        <w:trPr>
          <w:trHeight w:val="181"/>
        </w:trPr>
        <w:tc>
          <w:tcPr>
            <w:tcW w:w="2960" w:type="dxa"/>
            <w:vAlign w:val="bottom"/>
            <w:gridSpan w:val="2"/>
          </w:tcPr>
          <w:p>
            <w:pPr>
              <w:spacing w:after="0"/>
              <w:rPr>
                <w:sz w:val="20"/>
                <w:szCs w:val="20"/>
                <w:color w:val="auto"/>
              </w:rPr>
            </w:pPr>
            <w:r>
              <w:rPr>
                <w:rFonts w:ascii="Arial" w:cs="Arial" w:eastAsia="Arial" w:hAnsi="Arial"/>
                <w:sz w:val="15"/>
                <w:szCs w:val="15"/>
                <w:color w:val="auto"/>
              </w:rPr>
              <w:t>March 1, 2006</w:t>
            </w:r>
          </w:p>
        </w:tc>
        <w:tc>
          <w:tcPr>
            <w:tcW w:w="1720" w:type="dxa"/>
            <w:vAlign w:val="bottom"/>
            <w:gridSpan w:val="2"/>
          </w:tcPr>
          <w:p>
            <w:pPr>
              <w:ind w:left="100"/>
              <w:spacing w:after="0"/>
              <w:rPr>
                <w:sz w:val="20"/>
                <w:szCs w:val="20"/>
                <w:color w:val="auto"/>
              </w:rPr>
            </w:pPr>
            <w:r>
              <w:rPr>
                <w:rFonts w:ascii="Arial" w:cs="Arial" w:eastAsia="Arial" w:hAnsi="Arial"/>
                <w:sz w:val="15"/>
                <w:szCs w:val="15"/>
                <w:color w:val="auto"/>
              </w:rPr>
              <w:t>March 1, 2016</w:t>
            </w:r>
          </w:p>
        </w:tc>
        <w:tc>
          <w:tcPr>
            <w:tcW w:w="1720" w:type="dxa"/>
            <w:vAlign w:val="bottom"/>
            <w:gridSpan w:val="2"/>
          </w:tcPr>
          <w:p>
            <w:pPr>
              <w:jc w:val="right"/>
              <w:ind w:right="120"/>
              <w:spacing w:after="0"/>
              <w:rPr>
                <w:sz w:val="20"/>
                <w:szCs w:val="20"/>
                <w:color w:val="auto"/>
              </w:rPr>
            </w:pPr>
            <w:r>
              <w:rPr>
                <w:rFonts w:ascii="Arial" w:cs="Arial" w:eastAsia="Arial" w:hAnsi="Arial"/>
                <w:sz w:val="15"/>
                <w:szCs w:val="15"/>
                <w:color w:val="auto"/>
              </w:rPr>
              <w:t>5.524%</w:t>
            </w: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0.871%</w:t>
            </w:r>
          </w:p>
        </w:tc>
        <w:tc>
          <w:tcPr>
            <w:tcW w:w="18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5"/>
                <w:szCs w:val="15"/>
                <w:color w:val="auto"/>
              </w:rPr>
              <w:t>2,000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2,000</w:t>
            </w:r>
          </w:p>
        </w:tc>
      </w:tr>
      <w:tr>
        <w:trPr>
          <w:trHeight w:val="181"/>
        </w:trPr>
        <w:tc>
          <w:tcPr>
            <w:tcW w:w="29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September 1, 2006</w:t>
            </w:r>
          </w:p>
        </w:tc>
        <w:tc>
          <w:tcPr>
            <w:tcW w:w="1720" w:type="dxa"/>
            <w:vAlign w:val="bottom"/>
            <w:gridSpan w:val="2"/>
            <w:shd w:val="clear" w:color="auto" w:fill="CCFFCC"/>
          </w:tcPr>
          <w:p>
            <w:pPr>
              <w:ind w:left="100"/>
              <w:spacing w:after="0"/>
              <w:rPr>
                <w:sz w:val="20"/>
                <w:szCs w:val="20"/>
                <w:color w:val="auto"/>
              </w:rPr>
            </w:pPr>
            <w:r>
              <w:rPr>
                <w:rFonts w:ascii="Arial" w:cs="Arial" w:eastAsia="Arial" w:hAnsi="Arial"/>
                <w:sz w:val="15"/>
                <w:szCs w:val="15"/>
                <w:color w:val="auto"/>
              </w:rPr>
              <w:t>September 1, 2016</w:t>
            </w:r>
          </w:p>
        </w:tc>
        <w:tc>
          <w:tcPr>
            <w:tcW w:w="17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5.535%</w:t>
            </w:r>
          </w:p>
        </w:tc>
        <w:tc>
          <w:tcPr>
            <w:tcW w:w="17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0.941%</w:t>
            </w:r>
          </w:p>
        </w:tc>
        <w:tc>
          <w:tcPr>
            <w:tcW w:w="180" w:type="dxa"/>
            <w:vAlign w:val="bottom"/>
            <w:shd w:val="clear" w:color="auto" w:fill="CCFFCC"/>
          </w:tcPr>
          <w:p>
            <w:pPr>
              <w:spacing w:after="0"/>
              <w:rPr>
                <w:sz w:val="15"/>
                <w:szCs w:val="15"/>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11,500</w:t>
            </w:r>
          </w:p>
        </w:tc>
        <w:tc>
          <w:tcPr>
            <w:tcW w:w="12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11,500</w:t>
            </w:r>
          </w:p>
        </w:tc>
      </w:tr>
      <w:tr>
        <w:trPr>
          <w:trHeight w:val="181"/>
        </w:trPr>
        <w:tc>
          <w:tcPr>
            <w:tcW w:w="2960" w:type="dxa"/>
            <w:vAlign w:val="bottom"/>
            <w:gridSpan w:val="2"/>
          </w:tcPr>
          <w:p>
            <w:pPr>
              <w:spacing w:after="0"/>
              <w:rPr>
                <w:sz w:val="20"/>
                <w:szCs w:val="20"/>
                <w:color w:val="auto"/>
              </w:rPr>
            </w:pPr>
            <w:r>
              <w:rPr>
                <w:rFonts w:ascii="Arial" w:cs="Arial" w:eastAsia="Arial" w:hAnsi="Arial"/>
                <w:sz w:val="15"/>
                <w:szCs w:val="15"/>
                <w:color w:val="auto"/>
              </w:rPr>
              <w:t>March 1, 2009</w:t>
            </w:r>
          </w:p>
        </w:tc>
        <w:tc>
          <w:tcPr>
            <w:tcW w:w="1720" w:type="dxa"/>
            <w:vAlign w:val="bottom"/>
            <w:gridSpan w:val="2"/>
          </w:tcPr>
          <w:p>
            <w:pPr>
              <w:ind w:left="100"/>
              <w:spacing w:after="0"/>
              <w:rPr>
                <w:sz w:val="20"/>
                <w:szCs w:val="20"/>
                <w:color w:val="auto"/>
              </w:rPr>
            </w:pPr>
            <w:r>
              <w:rPr>
                <w:rFonts w:ascii="Arial" w:cs="Arial" w:eastAsia="Arial" w:hAnsi="Arial"/>
                <w:sz w:val="15"/>
                <w:szCs w:val="15"/>
                <w:color w:val="auto"/>
              </w:rPr>
              <w:t>March 1, 2019</w:t>
            </w:r>
          </w:p>
        </w:tc>
        <w:tc>
          <w:tcPr>
            <w:tcW w:w="1720" w:type="dxa"/>
            <w:vAlign w:val="bottom"/>
            <w:gridSpan w:val="2"/>
          </w:tcPr>
          <w:p>
            <w:pPr>
              <w:jc w:val="right"/>
              <w:ind w:right="120"/>
              <w:spacing w:after="0"/>
              <w:rPr>
                <w:sz w:val="20"/>
                <w:szCs w:val="20"/>
                <w:color w:val="auto"/>
              </w:rPr>
            </w:pPr>
            <w:r>
              <w:rPr>
                <w:rFonts w:ascii="Arial" w:cs="Arial" w:eastAsia="Arial" w:hAnsi="Arial"/>
                <w:sz w:val="15"/>
                <w:szCs w:val="15"/>
                <w:color w:val="auto"/>
              </w:rPr>
              <w:t>4.620%</w:t>
            </w: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0.941%</w:t>
            </w:r>
          </w:p>
        </w:tc>
        <w:tc>
          <w:tcPr>
            <w:tcW w:w="18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5"/>
                <w:szCs w:val="15"/>
                <w:color w:val="auto"/>
              </w:rPr>
              <w:t>5,000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5,000</w:t>
            </w:r>
          </w:p>
        </w:tc>
      </w:tr>
      <w:tr>
        <w:trPr>
          <w:trHeight w:val="181"/>
        </w:trPr>
        <w:tc>
          <w:tcPr>
            <w:tcW w:w="29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September 1, 2010</w:t>
            </w:r>
          </w:p>
        </w:tc>
        <w:tc>
          <w:tcPr>
            <w:tcW w:w="1720" w:type="dxa"/>
            <w:vAlign w:val="bottom"/>
            <w:gridSpan w:val="2"/>
            <w:shd w:val="clear" w:color="auto" w:fill="CCFFCC"/>
          </w:tcPr>
          <w:p>
            <w:pPr>
              <w:ind w:left="100"/>
              <w:spacing w:after="0"/>
              <w:rPr>
                <w:sz w:val="20"/>
                <w:szCs w:val="20"/>
                <w:color w:val="auto"/>
              </w:rPr>
            </w:pPr>
            <w:r>
              <w:rPr>
                <w:rFonts w:ascii="Arial" w:cs="Arial" w:eastAsia="Arial" w:hAnsi="Arial"/>
                <w:sz w:val="15"/>
                <w:szCs w:val="15"/>
                <w:color w:val="auto"/>
              </w:rPr>
              <w:t>September 1, 2020</w:t>
            </w:r>
          </w:p>
        </w:tc>
        <w:tc>
          <w:tcPr>
            <w:tcW w:w="17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3.215%</w:t>
            </w:r>
          </w:p>
        </w:tc>
        <w:tc>
          <w:tcPr>
            <w:tcW w:w="17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0.285%</w:t>
            </w:r>
          </w:p>
        </w:tc>
        <w:tc>
          <w:tcPr>
            <w:tcW w:w="180" w:type="dxa"/>
            <w:vAlign w:val="bottom"/>
            <w:shd w:val="clear" w:color="auto" w:fill="CCFFCC"/>
          </w:tcPr>
          <w:p>
            <w:pPr>
              <w:spacing w:after="0"/>
              <w:rPr>
                <w:sz w:val="15"/>
                <w:szCs w:val="15"/>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19,000</w:t>
            </w:r>
          </w:p>
        </w:tc>
        <w:tc>
          <w:tcPr>
            <w:tcW w:w="12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19,000</w:t>
            </w:r>
          </w:p>
        </w:tc>
      </w:tr>
      <w:tr>
        <w:trPr>
          <w:trHeight w:val="181"/>
        </w:trPr>
        <w:tc>
          <w:tcPr>
            <w:tcW w:w="2960" w:type="dxa"/>
            <w:vAlign w:val="bottom"/>
            <w:gridSpan w:val="2"/>
          </w:tcPr>
          <w:p>
            <w:pPr>
              <w:spacing w:after="0"/>
              <w:rPr>
                <w:sz w:val="20"/>
                <w:szCs w:val="20"/>
                <w:color w:val="auto"/>
              </w:rPr>
            </w:pPr>
            <w:r>
              <w:rPr>
                <w:rFonts w:ascii="Arial" w:cs="Arial" w:eastAsia="Arial" w:hAnsi="Arial"/>
                <w:sz w:val="15"/>
                <w:szCs w:val="15"/>
                <w:color w:val="auto"/>
              </w:rPr>
              <w:t>March 1, 2011</w:t>
            </w:r>
          </w:p>
        </w:tc>
        <w:tc>
          <w:tcPr>
            <w:tcW w:w="1720" w:type="dxa"/>
            <w:vAlign w:val="bottom"/>
            <w:gridSpan w:val="2"/>
          </w:tcPr>
          <w:p>
            <w:pPr>
              <w:ind w:left="100"/>
              <w:spacing w:after="0"/>
              <w:rPr>
                <w:sz w:val="20"/>
                <w:szCs w:val="20"/>
                <w:color w:val="auto"/>
              </w:rPr>
            </w:pPr>
            <w:r>
              <w:rPr>
                <w:rFonts w:ascii="Arial" w:cs="Arial" w:eastAsia="Arial" w:hAnsi="Arial"/>
                <w:sz w:val="15"/>
                <w:szCs w:val="15"/>
                <w:color w:val="auto"/>
              </w:rPr>
              <w:t>March 1, 2021</w:t>
            </w:r>
          </w:p>
        </w:tc>
        <w:tc>
          <w:tcPr>
            <w:tcW w:w="1720" w:type="dxa"/>
            <w:vAlign w:val="bottom"/>
            <w:gridSpan w:val="2"/>
          </w:tcPr>
          <w:p>
            <w:pPr>
              <w:jc w:val="right"/>
              <w:ind w:right="120"/>
              <w:spacing w:after="0"/>
              <w:rPr>
                <w:sz w:val="20"/>
                <w:szCs w:val="20"/>
                <w:color w:val="auto"/>
              </w:rPr>
            </w:pPr>
            <w:r>
              <w:rPr>
                <w:rFonts w:ascii="Arial" w:cs="Arial" w:eastAsia="Arial" w:hAnsi="Arial"/>
                <w:sz w:val="15"/>
                <w:szCs w:val="15"/>
                <w:color w:val="auto"/>
              </w:rPr>
              <w:t>4.084%</w:t>
            </w: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0.515%</w:t>
            </w:r>
          </w:p>
        </w:tc>
        <w:tc>
          <w:tcPr>
            <w:tcW w:w="18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5"/>
                <w:szCs w:val="15"/>
                <w:color w:val="auto"/>
              </w:rPr>
              <w:t>15,700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15,700</w:t>
            </w:r>
          </w:p>
        </w:tc>
      </w:tr>
      <w:tr>
        <w:trPr>
          <w:trHeight w:val="181"/>
        </w:trPr>
        <w:tc>
          <w:tcPr>
            <w:tcW w:w="29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March 1, 2011</w:t>
            </w:r>
          </w:p>
        </w:tc>
        <w:tc>
          <w:tcPr>
            <w:tcW w:w="1720" w:type="dxa"/>
            <w:vAlign w:val="bottom"/>
            <w:gridSpan w:val="2"/>
            <w:shd w:val="clear" w:color="auto" w:fill="CCFFCC"/>
          </w:tcPr>
          <w:p>
            <w:pPr>
              <w:ind w:left="100"/>
              <w:spacing w:after="0"/>
              <w:rPr>
                <w:sz w:val="20"/>
                <w:szCs w:val="20"/>
                <w:color w:val="auto"/>
              </w:rPr>
            </w:pPr>
            <w:r>
              <w:rPr>
                <w:rFonts w:ascii="Arial" w:cs="Arial" w:eastAsia="Arial" w:hAnsi="Arial"/>
                <w:sz w:val="15"/>
                <w:szCs w:val="15"/>
                <w:color w:val="auto"/>
              </w:rPr>
              <w:t>March 1, 2021</w:t>
            </w:r>
          </w:p>
        </w:tc>
        <w:tc>
          <w:tcPr>
            <w:tcW w:w="17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4.084%</w:t>
            </w:r>
          </w:p>
        </w:tc>
        <w:tc>
          <w:tcPr>
            <w:tcW w:w="17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0.285%</w:t>
            </w:r>
          </w:p>
        </w:tc>
        <w:tc>
          <w:tcPr>
            <w:tcW w:w="180" w:type="dxa"/>
            <w:vAlign w:val="bottom"/>
            <w:shd w:val="clear" w:color="auto" w:fill="CCFFCC"/>
          </w:tcPr>
          <w:p>
            <w:pPr>
              <w:spacing w:after="0"/>
              <w:rPr>
                <w:sz w:val="15"/>
                <w:szCs w:val="15"/>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46,000</w:t>
            </w:r>
          </w:p>
        </w:tc>
        <w:tc>
          <w:tcPr>
            <w:tcW w:w="12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46,000</w:t>
            </w:r>
          </w:p>
        </w:tc>
      </w:tr>
      <w:tr>
        <w:trPr>
          <w:trHeight w:val="181"/>
        </w:trPr>
        <w:tc>
          <w:tcPr>
            <w:tcW w:w="2960" w:type="dxa"/>
            <w:vAlign w:val="bottom"/>
            <w:gridSpan w:val="2"/>
          </w:tcPr>
          <w:p>
            <w:pPr>
              <w:spacing w:after="0"/>
              <w:rPr>
                <w:sz w:val="20"/>
                <w:szCs w:val="20"/>
                <w:color w:val="auto"/>
              </w:rPr>
            </w:pPr>
            <w:r>
              <w:rPr>
                <w:rFonts w:ascii="Arial" w:cs="Arial" w:eastAsia="Arial" w:hAnsi="Arial"/>
                <w:sz w:val="15"/>
                <w:szCs w:val="15"/>
                <w:color w:val="auto"/>
              </w:rPr>
              <w:t>March 1, 2012</w:t>
            </w:r>
          </w:p>
        </w:tc>
        <w:tc>
          <w:tcPr>
            <w:tcW w:w="1720" w:type="dxa"/>
            <w:vAlign w:val="bottom"/>
            <w:gridSpan w:val="2"/>
          </w:tcPr>
          <w:p>
            <w:pPr>
              <w:ind w:left="100"/>
              <w:spacing w:after="0"/>
              <w:rPr>
                <w:sz w:val="20"/>
                <w:szCs w:val="20"/>
                <w:color w:val="auto"/>
              </w:rPr>
            </w:pPr>
            <w:r>
              <w:rPr>
                <w:rFonts w:ascii="Arial" w:cs="Arial" w:eastAsia="Arial" w:hAnsi="Arial"/>
                <w:sz w:val="15"/>
                <w:szCs w:val="15"/>
                <w:color w:val="auto"/>
              </w:rPr>
              <w:t>March 1, 2022</w:t>
            </w:r>
          </w:p>
        </w:tc>
        <w:tc>
          <w:tcPr>
            <w:tcW w:w="1720" w:type="dxa"/>
            <w:vAlign w:val="bottom"/>
            <w:gridSpan w:val="2"/>
          </w:tcPr>
          <w:p>
            <w:pPr>
              <w:jc w:val="right"/>
              <w:ind w:right="120"/>
              <w:spacing w:after="0"/>
              <w:rPr>
                <w:sz w:val="20"/>
                <w:szCs w:val="20"/>
                <w:color w:val="auto"/>
              </w:rPr>
            </w:pPr>
            <w:r>
              <w:rPr>
                <w:rFonts w:ascii="Arial" w:cs="Arial" w:eastAsia="Arial" w:hAnsi="Arial"/>
                <w:sz w:val="15"/>
                <w:szCs w:val="15"/>
                <w:color w:val="auto"/>
              </w:rPr>
              <w:t>2.766%</w:t>
            </w: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0.285%</w:t>
            </w:r>
          </w:p>
        </w:tc>
        <w:tc>
          <w:tcPr>
            <w:tcW w:w="18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5"/>
                <w:szCs w:val="15"/>
                <w:color w:val="auto"/>
              </w:rPr>
              <w:t>10,000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10,000</w:t>
            </w:r>
          </w:p>
        </w:tc>
      </w:tr>
      <w:tr>
        <w:trPr>
          <w:trHeight w:val="181"/>
        </w:trPr>
        <w:tc>
          <w:tcPr>
            <w:tcW w:w="29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March 1, 2012</w:t>
            </w:r>
          </w:p>
        </w:tc>
        <w:tc>
          <w:tcPr>
            <w:tcW w:w="1720" w:type="dxa"/>
            <w:vAlign w:val="bottom"/>
            <w:gridSpan w:val="2"/>
            <w:shd w:val="clear" w:color="auto" w:fill="CCFFCC"/>
          </w:tcPr>
          <w:p>
            <w:pPr>
              <w:ind w:left="100"/>
              <w:spacing w:after="0"/>
              <w:rPr>
                <w:sz w:val="20"/>
                <w:szCs w:val="20"/>
                <w:color w:val="auto"/>
              </w:rPr>
            </w:pPr>
            <w:r>
              <w:rPr>
                <w:rFonts w:ascii="Arial" w:cs="Arial" w:eastAsia="Arial" w:hAnsi="Arial"/>
                <w:sz w:val="15"/>
                <w:szCs w:val="15"/>
                <w:color w:val="auto"/>
              </w:rPr>
              <w:t>March 1, 2022</w:t>
            </w:r>
          </w:p>
        </w:tc>
        <w:tc>
          <w:tcPr>
            <w:tcW w:w="17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2.766%</w:t>
            </w:r>
          </w:p>
        </w:tc>
        <w:tc>
          <w:tcPr>
            <w:tcW w:w="17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0.515%</w:t>
            </w:r>
          </w:p>
        </w:tc>
        <w:tc>
          <w:tcPr>
            <w:tcW w:w="180" w:type="dxa"/>
            <w:vAlign w:val="bottom"/>
            <w:shd w:val="clear" w:color="auto" w:fill="CCFFCC"/>
          </w:tcPr>
          <w:p>
            <w:pPr>
              <w:spacing w:after="0"/>
              <w:rPr>
                <w:sz w:val="15"/>
                <w:szCs w:val="15"/>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50,000</w:t>
            </w:r>
          </w:p>
        </w:tc>
        <w:tc>
          <w:tcPr>
            <w:tcW w:w="12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50,000</w:t>
            </w:r>
          </w:p>
        </w:tc>
      </w:tr>
      <w:tr>
        <w:trPr>
          <w:trHeight w:val="192"/>
        </w:trPr>
        <w:tc>
          <w:tcPr>
            <w:tcW w:w="2960" w:type="dxa"/>
            <w:vAlign w:val="bottom"/>
            <w:gridSpan w:val="2"/>
          </w:tcPr>
          <w:p>
            <w:pPr>
              <w:spacing w:after="0"/>
              <w:rPr>
                <w:sz w:val="20"/>
                <w:szCs w:val="20"/>
                <w:color w:val="auto"/>
              </w:rPr>
            </w:pPr>
            <w:r>
              <w:rPr>
                <w:rFonts w:ascii="Arial" w:cs="Arial" w:eastAsia="Arial" w:hAnsi="Arial"/>
                <w:sz w:val="15"/>
                <w:szCs w:val="15"/>
                <w:color w:val="auto"/>
              </w:rPr>
              <w:t>March 1, 2013</w:t>
            </w:r>
          </w:p>
        </w:tc>
        <w:tc>
          <w:tcPr>
            <w:tcW w:w="1720" w:type="dxa"/>
            <w:vAlign w:val="bottom"/>
            <w:gridSpan w:val="2"/>
          </w:tcPr>
          <w:p>
            <w:pPr>
              <w:ind w:left="100"/>
              <w:spacing w:after="0"/>
              <w:rPr>
                <w:sz w:val="20"/>
                <w:szCs w:val="20"/>
                <w:color w:val="auto"/>
              </w:rPr>
            </w:pPr>
            <w:r>
              <w:rPr>
                <w:rFonts w:ascii="Arial" w:cs="Arial" w:eastAsia="Arial" w:hAnsi="Arial"/>
                <w:sz w:val="15"/>
                <w:szCs w:val="15"/>
                <w:color w:val="auto"/>
              </w:rPr>
              <w:t>March 1, 2023</w:t>
            </w:r>
          </w:p>
        </w:tc>
        <w:tc>
          <w:tcPr>
            <w:tcW w:w="1720" w:type="dxa"/>
            <w:vAlign w:val="bottom"/>
            <w:gridSpan w:val="2"/>
          </w:tcPr>
          <w:p>
            <w:pPr>
              <w:jc w:val="right"/>
              <w:ind w:right="120"/>
              <w:spacing w:after="0"/>
              <w:rPr>
                <w:sz w:val="20"/>
                <w:szCs w:val="20"/>
                <w:color w:val="auto"/>
              </w:rPr>
            </w:pPr>
            <w:r>
              <w:rPr>
                <w:rFonts w:ascii="Arial" w:cs="Arial" w:eastAsia="Arial" w:hAnsi="Arial"/>
                <w:sz w:val="15"/>
                <w:szCs w:val="15"/>
                <w:color w:val="auto"/>
              </w:rPr>
              <w:t>2.351%</w:t>
            </w: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0.515%</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20"/>
        </w:trPr>
        <w:tc>
          <w:tcPr>
            <w:tcW w:w="28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80" w:type="dxa"/>
            <w:vAlign w:val="bottom"/>
            <w:shd w:val="clear" w:color="auto" w:fill="CCFFCC"/>
          </w:tcPr>
          <w:p>
            <w:pPr>
              <w:spacing w:after="0" w:line="20" w:lineRule="exact"/>
              <w:rPr>
                <w:sz w:val="1"/>
                <w:szCs w:val="1"/>
                <w:color w:val="auto"/>
              </w:rPr>
            </w:pPr>
          </w:p>
        </w:tc>
        <w:tc>
          <w:tcPr>
            <w:tcW w:w="260" w:type="dxa"/>
            <w:vAlign w:val="bottom"/>
            <w:tcBorders>
              <w:righ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184"/>
        </w:trPr>
        <w:tc>
          <w:tcPr>
            <w:tcW w:w="28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6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480" w:type="dxa"/>
            <w:vAlign w:val="bottom"/>
            <w:shd w:val="clear" w:color="auto" w:fill="CCFFCC"/>
          </w:tcPr>
          <w:p>
            <w:pPr>
              <w:spacing w:after="0"/>
              <w:rPr>
                <w:sz w:val="15"/>
                <w:szCs w:val="15"/>
                <w:color w:val="auto"/>
              </w:rPr>
            </w:pPr>
          </w:p>
        </w:tc>
        <w:tc>
          <w:tcPr>
            <w:tcW w:w="260" w:type="dxa"/>
            <w:vAlign w:val="bottom"/>
            <w:tcBorders>
              <w:right w:val="single" w:sz="8" w:color="CCFFCC"/>
            </w:tcBorders>
            <w:shd w:val="clear" w:color="auto" w:fill="CCFFCC"/>
          </w:tcPr>
          <w:p>
            <w:pPr>
              <w:spacing w:after="0"/>
              <w:rPr>
                <w:sz w:val="15"/>
                <w:szCs w:val="15"/>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202,200</w:t>
            </w:r>
          </w:p>
        </w:tc>
        <w:tc>
          <w:tcPr>
            <w:tcW w:w="320" w:type="dxa"/>
            <w:vAlign w:val="bottom"/>
            <w:gridSpan w:val="2"/>
            <w:shd w:val="clear" w:color="auto" w:fill="CCFFCC"/>
          </w:tcPr>
          <w:p>
            <w:pPr>
              <w:jc w:val="right"/>
              <w:ind w:right="45"/>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177,200</w:t>
            </w:r>
          </w:p>
        </w:tc>
      </w:tr>
      <w:tr>
        <w:trPr>
          <w:trHeight w:val="20"/>
        </w:trPr>
        <w:tc>
          <w:tcPr>
            <w:tcW w:w="28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bl>
    <w:p>
      <w:pPr>
        <w:spacing w:after="0" w:line="170" w:lineRule="exact"/>
        <w:rPr>
          <w:sz w:val="20"/>
          <w:szCs w:val="20"/>
          <w:color w:val="auto"/>
        </w:rPr>
      </w:pPr>
    </w:p>
    <w:p>
      <w:pPr>
        <w:ind w:right="80" w:firstLine="738"/>
        <w:spacing w:after="0" w:line="260" w:lineRule="auto"/>
        <w:rPr>
          <w:sz w:val="20"/>
          <w:szCs w:val="20"/>
          <w:color w:val="auto"/>
        </w:rPr>
      </w:pPr>
      <w:r>
        <w:rPr>
          <w:rFonts w:ascii="Arial" w:cs="Arial" w:eastAsia="Arial" w:hAnsi="Arial"/>
          <w:sz w:val="15"/>
          <w:szCs w:val="15"/>
          <w:color w:val="auto"/>
        </w:rPr>
        <w:t>ASC Topic 820 requires disclosure of the fair value of financial instruments for which it is practical to estimate such value. The Company estimates that the fair value of its SBA-guaranteed debentures is approximately $200.7 million and $185.8 million as of December 31, 2013 and December 31, 2012, respectively. The fair value estimate was based on future contractual cash payments discounted at market interest rates to borrow from the SBA as of the measurement date. Because the market interest rate is considered an unobservable input, SBA-guaranteed debentures are considered a level 3 financial instrument in the fair value hierarchy.</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7. Income Taxes</w:t>
      </w:r>
    </w:p>
    <w:p>
      <w:pPr>
        <w:spacing w:after="0" w:line="193" w:lineRule="exact"/>
        <w:rPr>
          <w:sz w:val="20"/>
          <w:szCs w:val="20"/>
          <w:color w:val="auto"/>
        </w:rPr>
      </w:pPr>
    </w:p>
    <w:p>
      <w:pPr>
        <w:ind w:right="200" w:firstLine="738"/>
        <w:spacing w:after="0" w:line="276" w:lineRule="auto"/>
        <w:rPr>
          <w:sz w:val="20"/>
          <w:szCs w:val="20"/>
          <w:color w:val="auto"/>
        </w:rPr>
      </w:pPr>
      <w:r>
        <w:rPr>
          <w:rFonts w:ascii="Arial" w:cs="Arial" w:eastAsia="Arial" w:hAnsi="Arial"/>
          <w:sz w:val="15"/>
          <w:szCs w:val="15"/>
          <w:color w:val="auto"/>
        </w:rPr>
        <w:t>The Company intends to operate so as to qualify to be taxed as a RIC under Subchapter M of the Code and, as such, will not be subject to federal income tax on the portion of taxable income and gains distributed to stockholders.</w:t>
      </w:r>
    </w:p>
    <w:p>
      <w:pPr>
        <w:spacing w:after="0" w:line="146" w:lineRule="exact"/>
        <w:rPr>
          <w:sz w:val="20"/>
          <w:szCs w:val="20"/>
          <w:color w:val="auto"/>
        </w:rPr>
      </w:pPr>
    </w:p>
    <w:p>
      <w:pPr>
        <w:ind w:right="300" w:firstLine="738"/>
        <w:spacing w:after="0" w:line="312" w:lineRule="auto"/>
        <w:rPr>
          <w:sz w:val="20"/>
          <w:szCs w:val="20"/>
          <w:color w:val="auto"/>
        </w:rPr>
      </w:pPr>
      <w:r>
        <w:rPr>
          <w:rFonts w:ascii="Arial" w:cs="Arial" w:eastAsia="Arial" w:hAnsi="Arial"/>
          <w:sz w:val="13"/>
          <w:szCs w:val="13"/>
          <w:color w:val="auto"/>
        </w:rPr>
        <w:t>To qualify as a RIC, the Company is required to meet certain income and asset diversification tests in addition to distributing at least 90% of its investment company taxable income, as defined by the Code. Because federal income tax regulations differ from GAAP, distributions in accordance with tax regulations may differ from net investment income and realized gains recognized for financial reporting purposes. Differences may be permanent or temporary in nature. Permanent differences are reclassified among capital accounts in the financial statements to reflect their tax character. Differences in classification may also result from the treatment of short-term gains as ordinary income for tax purposes.</w:t>
      </w:r>
    </w:p>
    <w:p>
      <w:pPr>
        <w:spacing w:after="0" w:line="128" w:lineRule="exact"/>
        <w:rPr>
          <w:sz w:val="20"/>
          <w:szCs w:val="20"/>
          <w:color w:val="auto"/>
        </w:rPr>
      </w:pPr>
    </w:p>
    <w:p>
      <w:pPr>
        <w:ind w:right="40" w:firstLine="738"/>
        <w:spacing w:after="0" w:line="356" w:lineRule="auto"/>
        <w:rPr>
          <w:sz w:val="20"/>
          <w:szCs w:val="20"/>
          <w:color w:val="auto"/>
        </w:rPr>
      </w:pPr>
      <w:r>
        <w:rPr>
          <w:rFonts w:ascii="Arial" w:cs="Arial" w:eastAsia="Arial" w:hAnsi="Arial"/>
          <w:sz w:val="13"/>
          <w:szCs w:val="13"/>
          <w:color w:val="auto"/>
        </w:rPr>
        <w:t>The Company's first taxable year is anticipated to end on August 31, 2014. The determination of any permanent or temporary differences, as well as the tax basis of distributable earnings/(deficit), tax character of distributions paid, and tax basis of investments cost and unrealized appreciation/depreciation will not be known until the completion of the tax year.</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Directors Fees</w:t>
      </w:r>
    </w:p>
    <w:p>
      <w:pPr>
        <w:spacing w:after="0" w:line="193" w:lineRule="exact"/>
        <w:rPr>
          <w:sz w:val="20"/>
          <w:szCs w:val="20"/>
          <w:color w:val="auto"/>
        </w:rPr>
      </w:pPr>
    </w:p>
    <w:p>
      <w:pPr>
        <w:ind w:right="80" w:firstLine="738"/>
        <w:spacing w:after="0" w:line="280" w:lineRule="auto"/>
        <w:rPr>
          <w:sz w:val="20"/>
          <w:szCs w:val="20"/>
          <w:color w:val="auto"/>
        </w:rPr>
      </w:pPr>
      <w:r>
        <w:rPr>
          <w:rFonts w:ascii="Arial" w:cs="Arial" w:eastAsia="Arial" w:hAnsi="Arial"/>
          <w:sz w:val="14"/>
          <w:szCs w:val="14"/>
          <w:color w:val="auto"/>
        </w:rPr>
        <w:t>Our independent directors receive an annual fee of $50,000. They also receive $5,000 plus reimbursement of reasonable out-of-pocket expenses incurred in connection with attending each board meeting, and also receive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years ended December 31, 2013, 2012 and 2011, the Company recognized director fee expense of $195,000, $0 and $0, respectively. No compensation is expected to be paid to directors who are “interested persons” of the Company, as such term is defined in Section 2(a)(19) of the 1940 Act.</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 Stockholders’ Equity</w:t>
      </w:r>
    </w:p>
    <w:p>
      <w:pPr>
        <w:spacing w:after="0" w:line="193" w:lineRule="exact"/>
        <w:rPr>
          <w:sz w:val="20"/>
          <w:szCs w:val="20"/>
          <w:color w:val="auto"/>
        </w:rPr>
      </w:pPr>
    </w:p>
    <w:p>
      <w:pPr>
        <w:ind w:right="20" w:firstLine="738"/>
        <w:spacing w:after="0" w:line="260" w:lineRule="auto"/>
        <w:rPr>
          <w:sz w:val="20"/>
          <w:szCs w:val="20"/>
          <w:color w:val="auto"/>
        </w:rPr>
      </w:pPr>
      <w:r>
        <w:rPr>
          <w:rFonts w:ascii="Arial" w:cs="Arial" w:eastAsia="Arial" w:hAnsi="Arial"/>
          <w:sz w:val="15"/>
          <w:szCs w:val="15"/>
          <w:color w:val="auto"/>
        </w:rPr>
        <w:t>On September 24, 2013, we issued 8,974,420 shares of common stock to the limited partners of the Legacy Funds, in exchange for 100% of their membership interests or certain investment assets of such Legacy Fund, as the case may be. On September 30, 2013, we issued 4,000,000 shares of common stock in connection with the closing of our IPO. The shares issued in the IPO were priced at $20.00 per share. We received proceeds of $74.25 million in the IPO, net of underwriters’ discounts and commissions of $5.75 million. As of December 31, 2013, the Company had 12,974,420 shares of common stock outstanding.</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85" w:right="219" w:bottom="1440" w:gutter="0" w:footer="0" w:header="0"/>
        </w:sectPr>
      </w:pPr>
    </w:p>
    <w:bookmarkStart w:id="95" w:name="page96"/>
    <w:bookmarkEnd w:id="95"/>
    <w:p>
      <w:pPr>
        <w:spacing w:after="0"/>
        <w:rPr>
          <w:sz w:val="20"/>
          <w:szCs w:val="20"/>
          <w:color w:val="auto"/>
        </w:rPr>
      </w:pPr>
      <w:r>
        <w:rPr>
          <w:rFonts w:ascii="Arial" w:cs="Arial" w:eastAsia="Arial" w:hAnsi="Arial"/>
          <w:sz w:val="15"/>
          <w:szCs w:val="15"/>
          <w:b w:val="1"/>
          <w:bCs w:val="1"/>
          <w:color w:val="auto"/>
        </w:rPr>
        <w:t>Note 10. Summarized Financial Information of Our Unconsolidated Subsidiary</w:t>
      </w:r>
    </w:p>
    <w:p>
      <w:pPr>
        <w:spacing w:after="0" w:line="193" w:lineRule="exact"/>
        <w:rPr>
          <w:sz w:val="20"/>
          <w:szCs w:val="20"/>
          <w:color w:val="auto"/>
        </w:rPr>
      </w:pPr>
    </w:p>
    <w:p>
      <w:pPr>
        <w:ind w:right="60" w:firstLine="738"/>
        <w:spacing w:after="0" w:line="284" w:lineRule="auto"/>
        <w:rPr>
          <w:sz w:val="20"/>
          <w:szCs w:val="20"/>
          <w:color w:val="auto"/>
        </w:rPr>
      </w:pPr>
      <w:r>
        <w:rPr>
          <w:rFonts w:ascii="Arial" w:cs="Arial" w:eastAsia="Arial" w:hAnsi="Arial"/>
          <w:sz w:val="14"/>
          <w:szCs w:val="14"/>
          <w:color w:val="auto"/>
        </w:rPr>
        <w:t>As of and for the years ended December 31, 2013, 2012, and 2011, the Company held investments in two majority owned portfolio companies, Print Direction, Inc. and Navis Holdings, Inc., that are not consolidated in the Company’s financial statements. The income the Company generated from Print Direction, Inc. which includes all interest, dividends, PIK, fees, and unrealized appreciation was $4.4 million, $2.7 million, and $1.6 million for the years ended December 31, 2013, 2012, and 2011, respectively. The income the Company generated from Navis Holdings, Inc. was $1.6 million, ($1.5) million and $5.4 million for the years ended December 31, 2013, 2012, and 2011, respectively.</w:t>
      </w:r>
    </w:p>
    <w:p>
      <w:pPr>
        <w:spacing w:after="0" w:line="143" w:lineRule="exact"/>
        <w:rPr>
          <w:sz w:val="20"/>
          <w:szCs w:val="20"/>
          <w:color w:val="auto"/>
        </w:rPr>
      </w:pPr>
    </w:p>
    <w:p>
      <w:pPr>
        <w:ind w:left="720"/>
        <w:spacing w:after="0"/>
        <w:rPr>
          <w:sz w:val="20"/>
          <w:szCs w:val="20"/>
          <w:color w:val="auto"/>
        </w:rPr>
      </w:pPr>
      <w:r>
        <w:rPr>
          <w:rFonts w:ascii="Arial" w:cs="Arial" w:eastAsia="Arial" w:hAnsi="Arial"/>
          <w:sz w:val="15"/>
          <w:szCs w:val="15"/>
          <w:color w:val="auto"/>
        </w:rPr>
        <w:t>The summarized financial information of our unconsolidated subsidiary was as follows (dollars in thousands):</w:t>
      </w:r>
    </w:p>
    <w:p>
      <w:pPr>
        <w:spacing w:after="0" w:line="197" w:lineRule="exact"/>
        <w:rPr>
          <w:sz w:val="20"/>
          <w:szCs w:val="20"/>
          <w:color w:val="auto"/>
        </w:rPr>
      </w:pPr>
    </w:p>
    <w:tbl>
      <w:tblPr>
        <w:tblLayout w:type="fixed"/>
        <w:tblInd w:w="260" w:type="dxa"/>
        <w:tblCellMar>
          <w:top w:w="0" w:type="dxa"/>
          <w:left w:w="0" w:type="dxa"/>
          <w:bottom w:w="0" w:type="dxa"/>
          <w:right w:w="0" w:type="dxa"/>
        </w:tblCellMar>
      </w:tblPr>
      <w:tr>
        <w:trPr>
          <w:trHeight w:val="194"/>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5"/>
                <w:szCs w:val="15"/>
                <w:b w:val="1"/>
                <w:bCs w:val="1"/>
                <w:color w:val="auto"/>
              </w:rPr>
              <w:t>As of</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360"/>
              <w:spacing w:after="0" w:line="159" w:lineRule="exact"/>
              <w:rPr>
                <w:sz w:val="20"/>
                <w:szCs w:val="20"/>
                <w:color w:val="auto"/>
              </w:rPr>
            </w:pPr>
            <w:r>
              <w:rPr>
                <w:rFonts w:ascii="Arial" w:cs="Arial" w:eastAsia="Arial" w:hAnsi="Arial"/>
                <w:sz w:val="15"/>
                <w:szCs w:val="15"/>
                <w:b w:val="1"/>
                <w:bCs w:val="1"/>
                <w:color w:val="auto"/>
                <w:w w:val="96"/>
              </w:rPr>
              <w:t>December 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65"/>
              <w:spacing w:after="0" w:line="159" w:lineRule="exact"/>
              <w:rPr>
                <w:sz w:val="20"/>
                <w:szCs w:val="20"/>
                <w:color w:val="auto"/>
              </w:rPr>
            </w:pPr>
            <w:r>
              <w:rPr>
                <w:rFonts w:ascii="Arial" w:cs="Arial" w:eastAsia="Arial" w:hAnsi="Arial"/>
                <w:sz w:val="15"/>
                <w:szCs w:val="15"/>
                <w:b w:val="1"/>
                <w:bCs w:val="1"/>
                <w:color w:val="auto"/>
                <w:w w:val="96"/>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Balance Sheet - Print Direction, Inc.</w:t>
            </w:r>
          </w:p>
        </w:tc>
        <w:tc>
          <w:tcPr>
            <w:tcW w:w="160" w:type="dxa"/>
            <w:vAlign w:val="bottom"/>
          </w:tcPr>
          <w:p>
            <w:pPr>
              <w:spacing w:after="0"/>
              <w:rPr>
                <w:sz w:val="16"/>
                <w:szCs w:val="16"/>
                <w:color w:val="auto"/>
              </w:rPr>
            </w:pPr>
          </w:p>
        </w:tc>
        <w:tc>
          <w:tcPr>
            <w:tcW w:w="1220" w:type="dxa"/>
            <w:vAlign w:val="bottom"/>
          </w:tcPr>
          <w:p>
            <w:pPr>
              <w:jc w:val="right"/>
              <w:ind w:right="465"/>
              <w:spacing w:after="0"/>
              <w:rPr>
                <w:sz w:val="20"/>
                <w:szCs w:val="20"/>
                <w:color w:val="auto"/>
              </w:rPr>
            </w:pPr>
            <w:r>
              <w:rPr>
                <w:rFonts w:ascii="Arial" w:cs="Arial" w:eastAsia="Arial" w:hAnsi="Arial"/>
                <w:sz w:val="15"/>
                <w:szCs w:val="15"/>
                <w:b w:val="1"/>
                <w:bCs w:val="1"/>
                <w:color w:val="auto"/>
              </w:rPr>
              <w:t>2013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65"/>
              <w:spacing w:after="0"/>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0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5"/>
                <w:szCs w:val="15"/>
                <w:color w:val="auto"/>
              </w:rPr>
              <w:t>Current assets</w:t>
            </w:r>
          </w:p>
        </w:tc>
        <w:tc>
          <w:tcPr>
            <w:tcW w:w="100" w:type="dxa"/>
            <w:vAlign w:val="bottom"/>
            <w:tcBorders>
              <w:top w:val="single" w:sz="8" w:color="CCFFCC"/>
            </w:tcBorders>
            <w:shd w:val="clear" w:color="auto" w:fill="CCFFCC"/>
          </w:tcPr>
          <w:p>
            <w:pPr>
              <w:spacing w:after="0"/>
              <w:rPr>
                <w:sz w:val="15"/>
                <w:szCs w:val="15"/>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5,738</w:t>
            </w:r>
          </w:p>
        </w:tc>
        <w:tc>
          <w:tcPr>
            <w:tcW w:w="10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160" w:type="dxa"/>
            <w:vAlign w:val="bottom"/>
            <w:tcBorders>
              <w:top w:val="single" w:sz="8" w:color="auto"/>
            </w:tcBorders>
            <w:shd w:val="clear" w:color="auto" w:fill="CCFFCC"/>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4,871</w:t>
            </w:r>
          </w:p>
        </w:tc>
        <w:tc>
          <w:tcPr>
            <w:tcW w:w="10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140" w:type="dxa"/>
            <w:vAlign w:val="bottom"/>
            <w:gridSpan w:val="2"/>
          </w:tcPr>
          <w:p>
            <w:pPr>
              <w:spacing w:after="0"/>
              <w:rPr>
                <w:sz w:val="20"/>
                <w:szCs w:val="20"/>
                <w:color w:val="auto"/>
              </w:rPr>
            </w:pPr>
            <w:r>
              <w:rPr>
                <w:rFonts w:ascii="Arial" w:cs="Arial" w:eastAsia="Arial" w:hAnsi="Arial"/>
                <w:sz w:val="15"/>
                <w:szCs w:val="15"/>
                <w:color w:val="auto"/>
              </w:rPr>
              <w:t>Noncurrent assets</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5,955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5,019</w:t>
            </w:r>
          </w:p>
        </w:tc>
        <w:tc>
          <w:tcPr>
            <w:tcW w:w="0" w:type="dxa"/>
            <w:vAlign w:val="bottom"/>
          </w:tcPr>
          <w:p>
            <w:pPr>
              <w:spacing w:after="0"/>
              <w:rPr>
                <w:sz w:val="1"/>
                <w:szCs w:val="1"/>
                <w:color w:val="auto"/>
              </w:rPr>
            </w:pPr>
          </w:p>
        </w:tc>
      </w:tr>
      <w:tr>
        <w:trPr>
          <w:trHeight w:val="20"/>
        </w:trPr>
        <w:tc>
          <w:tcPr>
            <w:tcW w:w="6140" w:type="dxa"/>
            <w:vAlign w:val="bottom"/>
            <w:gridSpan w:val="2"/>
            <w:vMerge w:val="restart"/>
            <w:shd w:val="clear" w:color="auto" w:fill="CCFFCC"/>
          </w:tcPr>
          <w:p>
            <w:pPr>
              <w:spacing w:after="0"/>
              <w:rPr>
                <w:sz w:val="20"/>
                <w:szCs w:val="20"/>
                <w:color w:val="auto"/>
              </w:rPr>
            </w:pPr>
            <w:r>
              <w:rPr>
                <w:rFonts w:ascii="Arial" w:cs="Arial" w:eastAsia="Arial" w:hAnsi="Arial"/>
                <w:sz w:val="15"/>
                <w:szCs w:val="15"/>
                <w:color w:val="auto"/>
              </w:rPr>
              <w:t>Total assets</w:t>
            </w: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140" w:type="dxa"/>
            <w:vAlign w:val="bottom"/>
            <w:gridSpan w:val="2"/>
            <w:vMerge w:val="continue"/>
            <w:shd w:val="clear" w:color="auto" w:fill="CCFFCC"/>
          </w:tcPr>
          <w:p>
            <w:pPr>
              <w:spacing w:after="0"/>
              <w:rPr>
                <w:sz w:val="15"/>
                <w:szCs w:val="15"/>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11,693</w:t>
            </w:r>
          </w:p>
        </w:tc>
        <w:tc>
          <w:tcPr>
            <w:tcW w:w="100" w:type="dxa"/>
            <w:vAlign w:val="bottom"/>
            <w:shd w:val="clear" w:color="auto" w:fill="CCFFCC"/>
          </w:tcPr>
          <w:p>
            <w:pPr>
              <w:spacing w:after="0"/>
              <w:rPr>
                <w:sz w:val="15"/>
                <w:szCs w:val="15"/>
                <w:color w:val="auto"/>
              </w:rPr>
            </w:pPr>
          </w:p>
        </w:tc>
        <w:tc>
          <w:tcPr>
            <w:tcW w:w="240" w:type="dxa"/>
            <w:vAlign w:val="bottom"/>
            <w:gridSpan w:val="2"/>
            <w:shd w:val="clear" w:color="auto" w:fill="CCFFCC"/>
          </w:tcPr>
          <w:p>
            <w:pPr>
              <w:jc w:val="right"/>
              <w:ind w:right="52"/>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9,890</w:t>
            </w:r>
          </w:p>
        </w:tc>
        <w:tc>
          <w:tcPr>
            <w:tcW w:w="0" w:type="dxa"/>
            <w:vAlign w:val="bottom"/>
          </w:tcPr>
          <w:p>
            <w:pPr>
              <w:spacing w:after="0"/>
              <w:rPr>
                <w:sz w:val="1"/>
                <w:szCs w:val="1"/>
                <w:color w:val="auto"/>
              </w:rPr>
            </w:pPr>
          </w:p>
        </w:tc>
      </w:tr>
      <w:tr>
        <w:trPr>
          <w:trHeight w:val="20"/>
        </w:trPr>
        <w:tc>
          <w:tcPr>
            <w:tcW w:w="60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14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Current liabilities</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3,828</w:t>
            </w:r>
          </w:p>
        </w:tc>
        <w:tc>
          <w:tcPr>
            <w:tcW w:w="240" w:type="dxa"/>
            <w:vAlign w:val="bottom"/>
            <w:gridSpan w:val="2"/>
            <w:shd w:val="clear" w:color="auto" w:fill="CCFFCC"/>
          </w:tcPr>
          <w:p>
            <w:pPr>
              <w:jc w:val="right"/>
              <w:ind w:right="52"/>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8,889</w:t>
            </w:r>
          </w:p>
        </w:tc>
        <w:tc>
          <w:tcPr>
            <w:tcW w:w="0" w:type="dxa"/>
            <w:vAlign w:val="bottom"/>
          </w:tcPr>
          <w:p>
            <w:pPr>
              <w:spacing w:after="0"/>
              <w:rPr>
                <w:sz w:val="1"/>
                <w:szCs w:val="1"/>
                <w:color w:val="auto"/>
              </w:rPr>
            </w:pPr>
          </w:p>
        </w:tc>
      </w:tr>
      <w:tr>
        <w:trPr>
          <w:trHeight w:val="192"/>
        </w:trPr>
        <w:tc>
          <w:tcPr>
            <w:tcW w:w="6140" w:type="dxa"/>
            <w:vAlign w:val="bottom"/>
            <w:gridSpan w:val="2"/>
          </w:tcPr>
          <w:p>
            <w:pPr>
              <w:spacing w:after="0"/>
              <w:rPr>
                <w:sz w:val="20"/>
                <w:szCs w:val="20"/>
                <w:color w:val="auto"/>
              </w:rPr>
            </w:pPr>
            <w:r>
              <w:rPr>
                <w:rFonts w:ascii="Arial" w:cs="Arial" w:eastAsia="Arial" w:hAnsi="Arial"/>
                <w:sz w:val="15"/>
                <w:szCs w:val="15"/>
                <w:color w:val="auto"/>
              </w:rPr>
              <w:t>Noncurrent liabilities</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10,496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1,381</w:t>
            </w:r>
          </w:p>
        </w:tc>
        <w:tc>
          <w:tcPr>
            <w:tcW w:w="0" w:type="dxa"/>
            <w:vAlign w:val="bottom"/>
          </w:tcPr>
          <w:p>
            <w:pPr>
              <w:spacing w:after="0"/>
              <w:rPr>
                <w:sz w:val="1"/>
                <w:szCs w:val="1"/>
                <w:color w:val="auto"/>
              </w:rPr>
            </w:pPr>
          </w:p>
        </w:tc>
      </w:tr>
      <w:tr>
        <w:trPr>
          <w:trHeight w:val="20"/>
        </w:trPr>
        <w:tc>
          <w:tcPr>
            <w:tcW w:w="6140" w:type="dxa"/>
            <w:vAlign w:val="bottom"/>
            <w:gridSpan w:val="2"/>
            <w:vMerge w:val="restart"/>
            <w:shd w:val="clear" w:color="auto" w:fill="CCFFCC"/>
          </w:tcPr>
          <w:p>
            <w:pPr>
              <w:spacing w:after="0"/>
              <w:rPr>
                <w:sz w:val="20"/>
                <w:szCs w:val="20"/>
                <w:color w:val="auto"/>
              </w:rPr>
            </w:pPr>
            <w:r>
              <w:rPr>
                <w:rFonts w:ascii="Arial" w:cs="Arial" w:eastAsia="Arial" w:hAnsi="Arial"/>
                <w:sz w:val="15"/>
                <w:szCs w:val="15"/>
                <w:color w:val="auto"/>
              </w:rPr>
              <w:t>Total liabilities</w:t>
            </w: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140" w:type="dxa"/>
            <w:vAlign w:val="bottom"/>
            <w:gridSpan w:val="2"/>
            <w:vMerge w:val="continue"/>
            <w:shd w:val="clear" w:color="auto" w:fill="CCFFCC"/>
          </w:tcPr>
          <w:p>
            <w:pPr>
              <w:spacing w:after="0"/>
              <w:rPr>
                <w:sz w:val="15"/>
                <w:szCs w:val="15"/>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14,324</w:t>
            </w:r>
          </w:p>
        </w:tc>
        <w:tc>
          <w:tcPr>
            <w:tcW w:w="100" w:type="dxa"/>
            <w:vAlign w:val="bottom"/>
            <w:shd w:val="clear" w:color="auto" w:fill="CCFFCC"/>
          </w:tcPr>
          <w:p>
            <w:pPr>
              <w:spacing w:after="0"/>
              <w:rPr>
                <w:sz w:val="15"/>
                <w:szCs w:val="15"/>
                <w:color w:val="auto"/>
              </w:rPr>
            </w:pPr>
          </w:p>
        </w:tc>
        <w:tc>
          <w:tcPr>
            <w:tcW w:w="240" w:type="dxa"/>
            <w:vAlign w:val="bottom"/>
            <w:gridSpan w:val="2"/>
            <w:shd w:val="clear" w:color="auto" w:fill="CCFFCC"/>
          </w:tcPr>
          <w:p>
            <w:pPr>
              <w:jc w:val="right"/>
              <w:ind w:right="52"/>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10,270</w:t>
            </w:r>
          </w:p>
        </w:tc>
        <w:tc>
          <w:tcPr>
            <w:tcW w:w="0" w:type="dxa"/>
            <w:vAlign w:val="bottom"/>
          </w:tcPr>
          <w:p>
            <w:pPr>
              <w:spacing w:after="0"/>
              <w:rPr>
                <w:sz w:val="1"/>
                <w:szCs w:val="1"/>
                <w:color w:val="auto"/>
              </w:rPr>
            </w:pPr>
          </w:p>
        </w:tc>
      </w:tr>
      <w:tr>
        <w:trPr>
          <w:trHeight w:val="20"/>
        </w:trPr>
        <w:tc>
          <w:tcPr>
            <w:tcW w:w="60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14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Total equity</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color w:val="auto"/>
              </w:rPr>
              <w:t>(2,631)</w:t>
            </w:r>
          </w:p>
        </w:tc>
        <w:tc>
          <w:tcPr>
            <w:tcW w:w="240" w:type="dxa"/>
            <w:vAlign w:val="bottom"/>
            <w:gridSpan w:val="2"/>
            <w:shd w:val="clear" w:color="auto" w:fill="CCFFCC"/>
          </w:tcPr>
          <w:p>
            <w:pPr>
              <w:jc w:val="right"/>
              <w:ind w:right="52"/>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5"/>
                <w:szCs w:val="15"/>
                <w:color w:val="auto"/>
              </w:rPr>
              <w:t>(380)</w:t>
            </w:r>
          </w:p>
        </w:tc>
        <w:tc>
          <w:tcPr>
            <w:tcW w:w="0" w:type="dxa"/>
            <w:vAlign w:val="bottom"/>
          </w:tcPr>
          <w:p>
            <w:pPr>
              <w:spacing w:after="0"/>
              <w:rPr>
                <w:sz w:val="1"/>
                <w:szCs w:val="1"/>
                <w:color w:val="auto"/>
              </w:rPr>
            </w:pPr>
          </w:p>
        </w:tc>
      </w:tr>
      <w:tr>
        <w:trPr>
          <w:trHeight w:val="20"/>
        </w:trPr>
        <w:tc>
          <w:tcPr>
            <w:tcW w:w="60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260" w:type="dxa"/>
        <w:tblCellMar>
          <w:top w:w="0" w:type="dxa"/>
          <w:left w:w="0" w:type="dxa"/>
          <w:bottom w:w="0" w:type="dxa"/>
          <w:right w:w="0" w:type="dxa"/>
        </w:tblCellMar>
      </w:tblPr>
      <w:tr>
        <w:trPr>
          <w:trHeight w:val="194"/>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90"/>
              </w:rPr>
              <w:t>For the year ended</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right"/>
              <w:ind w:right="420"/>
              <w:spacing w:after="0" w:line="159" w:lineRule="exact"/>
              <w:rPr>
                <w:sz w:val="20"/>
                <w:szCs w:val="20"/>
                <w:color w:val="auto"/>
              </w:rPr>
            </w:pPr>
            <w:r>
              <w:rPr>
                <w:rFonts w:ascii="Arial" w:cs="Arial" w:eastAsia="Arial" w:hAnsi="Arial"/>
                <w:sz w:val="15"/>
                <w:szCs w:val="15"/>
                <w:b w:val="1"/>
                <w:bCs w:val="1"/>
                <w:color w:val="auto"/>
                <w:w w:val="96"/>
              </w:rPr>
              <w:t>December 31,</w:t>
            </w:r>
          </w:p>
        </w:tc>
        <w:tc>
          <w:tcPr>
            <w:tcW w:w="80" w:type="dxa"/>
            <w:vAlign w:val="bottom"/>
          </w:tcPr>
          <w:p>
            <w:pPr>
              <w:spacing w:after="0"/>
              <w:rPr>
                <w:sz w:val="13"/>
                <w:szCs w:val="13"/>
                <w:color w:val="auto"/>
              </w:rPr>
            </w:pPr>
          </w:p>
        </w:tc>
        <w:tc>
          <w:tcPr>
            <w:tcW w:w="1480" w:type="dxa"/>
            <w:vAlign w:val="bottom"/>
            <w:gridSpan w:val="2"/>
          </w:tcPr>
          <w:p>
            <w:pPr>
              <w:jc w:val="center"/>
              <w:ind w:right="280"/>
              <w:spacing w:after="0" w:line="159" w:lineRule="exact"/>
              <w:rPr>
                <w:sz w:val="20"/>
                <w:szCs w:val="20"/>
                <w:color w:val="auto"/>
              </w:rPr>
            </w:pPr>
            <w:r>
              <w:rPr>
                <w:rFonts w:ascii="Arial" w:cs="Arial" w:eastAsia="Arial" w:hAnsi="Arial"/>
                <w:sz w:val="15"/>
                <w:szCs w:val="15"/>
                <w:b w:val="1"/>
                <w:bCs w:val="1"/>
                <w:color w:val="auto"/>
                <w:w w:val="90"/>
              </w:rPr>
              <w:t>December 31,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165"/>
              <w:spacing w:after="0" w:line="159" w:lineRule="exact"/>
              <w:rPr>
                <w:sz w:val="20"/>
                <w:szCs w:val="20"/>
                <w:color w:val="auto"/>
              </w:rPr>
            </w:pPr>
            <w:r>
              <w:rPr>
                <w:rFonts w:ascii="Arial" w:cs="Arial" w:eastAsia="Arial" w:hAnsi="Arial"/>
                <w:sz w:val="15"/>
                <w:szCs w:val="15"/>
                <w:b w:val="1"/>
                <w:bCs w:val="1"/>
                <w:color w:val="auto"/>
                <w:w w:val="96"/>
              </w:rPr>
              <w:t>December 31,</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600" w:type="dxa"/>
            <w:vAlign w:val="bottom"/>
            <w:gridSpan w:val="2"/>
          </w:tcPr>
          <w:p>
            <w:pPr>
              <w:spacing w:after="0"/>
              <w:rPr>
                <w:sz w:val="20"/>
                <w:szCs w:val="20"/>
                <w:color w:val="auto"/>
              </w:rPr>
            </w:pPr>
            <w:r>
              <w:rPr>
                <w:rFonts w:ascii="Arial" w:cs="Arial" w:eastAsia="Arial" w:hAnsi="Arial"/>
                <w:sz w:val="15"/>
                <w:szCs w:val="15"/>
                <w:b w:val="1"/>
                <w:bCs w:val="1"/>
                <w:color w:val="auto"/>
              </w:rPr>
              <w:t>Statements of Operations - Print Direction, Inc.</w:t>
            </w:r>
          </w:p>
        </w:tc>
        <w:tc>
          <w:tcPr>
            <w:tcW w:w="160" w:type="dxa"/>
            <w:vAlign w:val="bottom"/>
          </w:tcPr>
          <w:p>
            <w:pPr>
              <w:spacing w:after="0"/>
              <w:rPr>
                <w:sz w:val="16"/>
                <w:szCs w:val="16"/>
                <w:color w:val="auto"/>
              </w:rPr>
            </w:pPr>
          </w:p>
        </w:tc>
        <w:tc>
          <w:tcPr>
            <w:tcW w:w="1200" w:type="dxa"/>
            <w:vAlign w:val="bottom"/>
          </w:tcPr>
          <w:p>
            <w:pPr>
              <w:jc w:val="right"/>
              <w:ind w:right="465"/>
              <w:spacing w:after="0"/>
              <w:rPr>
                <w:sz w:val="20"/>
                <w:szCs w:val="20"/>
                <w:color w:val="auto"/>
              </w:rPr>
            </w:pPr>
            <w:r>
              <w:rPr>
                <w:rFonts w:ascii="Arial" w:cs="Arial" w:eastAsia="Arial" w:hAnsi="Arial"/>
                <w:sz w:val="15"/>
                <w:szCs w:val="15"/>
                <w:b w:val="1"/>
                <w:bCs w:val="1"/>
                <w:color w:val="auto"/>
              </w:rPr>
              <w:t>2013</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center"/>
              <w:ind w:right="5"/>
              <w:spacing w:after="0"/>
              <w:rPr>
                <w:sz w:val="20"/>
                <w:szCs w:val="20"/>
                <w:color w:val="auto"/>
              </w:rPr>
            </w:pPr>
            <w:r>
              <w:rPr>
                <w:rFonts w:ascii="Arial" w:cs="Arial" w:eastAsia="Arial" w:hAnsi="Arial"/>
                <w:sz w:val="15"/>
                <w:szCs w:val="15"/>
                <w:b w:val="1"/>
                <w:bCs w:val="1"/>
                <w:color w:val="auto"/>
                <w:w w:val="89"/>
              </w:rPr>
              <w:t>2012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465"/>
              <w:spacing w:after="0"/>
              <w:rPr>
                <w:sz w:val="20"/>
                <w:szCs w:val="20"/>
                <w:color w:val="auto"/>
              </w:rPr>
            </w:pPr>
            <w:r>
              <w:rPr>
                <w:rFonts w:ascii="Arial" w:cs="Arial" w:eastAsia="Arial" w:hAnsi="Arial"/>
                <w:sz w:val="15"/>
                <w:szCs w:val="15"/>
                <w:b w:val="1"/>
                <w:bCs w:val="1"/>
                <w:color w:val="auto"/>
              </w:rPr>
              <w:t>2011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5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5"/>
                <w:szCs w:val="15"/>
                <w:color w:val="auto"/>
              </w:rPr>
              <w:t>Net sales</w:t>
            </w:r>
          </w:p>
        </w:tc>
        <w:tc>
          <w:tcPr>
            <w:tcW w:w="100" w:type="dxa"/>
            <w:vAlign w:val="bottom"/>
            <w:tcBorders>
              <w:top w:val="single" w:sz="8" w:color="CCFFCC"/>
            </w:tcBorders>
            <w:shd w:val="clear" w:color="auto" w:fill="CCFFCC"/>
          </w:tcPr>
          <w:p>
            <w:pPr>
              <w:spacing w:after="0"/>
              <w:rPr>
                <w:sz w:val="15"/>
                <w:szCs w:val="15"/>
                <w:color w:val="auto"/>
              </w:rPr>
            </w:pPr>
          </w:p>
        </w:tc>
        <w:tc>
          <w:tcPr>
            <w:tcW w:w="160" w:type="dxa"/>
            <w:vAlign w:val="bottom"/>
            <w:tcBorders>
              <w:top w:val="single" w:sz="8" w:color="auto"/>
            </w:tcBorders>
            <w:shd w:val="clear" w:color="auto" w:fill="CCFFCC"/>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25,360</w:t>
            </w:r>
          </w:p>
        </w:tc>
        <w:tc>
          <w:tcPr>
            <w:tcW w:w="18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23,916</w:t>
            </w:r>
          </w:p>
        </w:tc>
        <w:tc>
          <w:tcPr>
            <w:tcW w:w="180" w:type="dxa"/>
            <w:vAlign w:val="bottom"/>
            <w:tcBorders>
              <w:top w:val="single" w:sz="8" w:color="CCFFCC"/>
            </w:tcBorders>
            <w:shd w:val="clear" w:color="auto" w:fill="CCFFCC"/>
          </w:tcPr>
          <w:p>
            <w:pPr>
              <w:spacing w:after="0"/>
              <w:rPr>
                <w:sz w:val="15"/>
                <w:szCs w:val="15"/>
                <w:color w:val="auto"/>
              </w:rPr>
            </w:pPr>
          </w:p>
        </w:tc>
        <w:tc>
          <w:tcPr>
            <w:tcW w:w="20" w:type="dxa"/>
            <w:vAlign w:val="bottom"/>
            <w:tcBorders>
              <w:top w:val="single" w:sz="8" w:color="CCFFCC"/>
            </w:tcBorders>
            <w:shd w:val="clear" w:color="auto" w:fill="CCFFCC"/>
          </w:tcPr>
          <w:p>
            <w:pPr>
              <w:spacing w:after="0"/>
              <w:rPr>
                <w:sz w:val="15"/>
                <w:szCs w:val="15"/>
                <w:color w:val="auto"/>
              </w:rPr>
            </w:pPr>
          </w:p>
        </w:tc>
        <w:tc>
          <w:tcPr>
            <w:tcW w:w="140" w:type="dxa"/>
            <w:vAlign w:val="bottom"/>
            <w:tcBorders>
              <w:top w:val="single" w:sz="8" w:color="auto"/>
            </w:tcBorders>
            <w:shd w:val="clear" w:color="auto" w:fill="CCFFCC"/>
          </w:tcPr>
          <w:p>
            <w:pPr>
              <w:jc w:val="right"/>
              <w:ind w:right="73"/>
              <w:spacing w:after="0"/>
              <w:rPr>
                <w:sz w:val="20"/>
                <w:szCs w:val="20"/>
                <w:color w:val="auto"/>
              </w:rPr>
            </w:pPr>
            <w:r>
              <w:rPr>
                <w:rFonts w:ascii="Arial" w:cs="Arial" w:eastAsia="Arial" w:hAnsi="Arial"/>
                <w:sz w:val="5"/>
                <w:szCs w:val="5"/>
                <w:color w:val="auto"/>
                <w:w w:val="70"/>
              </w:rPr>
              <w:t>$</w:t>
            </w: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23,226</w:t>
            </w:r>
          </w:p>
        </w:tc>
        <w:tc>
          <w:tcPr>
            <w:tcW w:w="2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600" w:type="dxa"/>
            <w:vAlign w:val="bottom"/>
            <w:gridSpan w:val="2"/>
          </w:tcPr>
          <w:p>
            <w:pPr>
              <w:spacing w:after="0"/>
              <w:rPr>
                <w:sz w:val="20"/>
                <w:szCs w:val="20"/>
                <w:color w:val="auto"/>
              </w:rPr>
            </w:pPr>
            <w:r>
              <w:rPr>
                <w:rFonts w:ascii="Arial" w:cs="Arial" w:eastAsia="Arial" w:hAnsi="Arial"/>
                <w:sz w:val="15"/>
                <w:szCs w:val="15"/>
                <w:color w:val="auto"/>
              </w:rPr>
              <w:t>Cost of goods sold</w:t>
            </w:r>
          </w:p>
        </w:tc>
        <w:tc>
          <w:tcPr>
            <w:tcW w:w="16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10,755</w:t>
            </w:r>
          </w:p>
        </w:tc>
        <w:tc>
          <w:tcPr>
            <w:tcW w:w="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5"/>
                <w:szCs w:val="15"/>
                <w:color w:val="auto"/>
              </w:rPr>
              <w:t>10,555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5"/>
                <w:szCs w:val="15"/>
                <w:color w:val="auto"/>
              </w:rPr>
              <w:t>10,326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600" w:type="dxa"/>
            <w:vAlign w:val="bottom"/>
            <w:tcBorders>
              <w:top w:val="single" w:sz="8" w:color="CCFFCC"/>
            </w:tcBorders>
            <w:gridSpan w:val="2"/>
            <w:shd w:val="clear" w:color="auto" w:fill="CCFFCC"/>
          </w:tcPr>
          <w:p>
            <w:pPr>
              <w:spacing w:after="0" w:line="171" w:lineRule="exact"/>
              <w:rPr>
                <w:sz w:val="20"/>
                <w:szCs w:val="20"/>
                <w:color w:val="auto"/>
              </w:rPr>
            </w:pPr>
            <w:r>
              <w:rPr>
                <w:rFonts w:ascii="Arial" w:cs="Arial" w:eastAsia="Arial" w:hAnsi="Arial"/>
                <w:sz w:val="15"/>
                <w:szCs w:val="15"/>
                <w:color w:val="auto"/>
              </w:rPr>
              <w:t>Gross profit</w:t>
            </w:r>
          </w:p>
        </w:tc>
        <w:tc>
          <w:tcPr>
            <w:tcW w:w="160" w:type="dxa"/>
            <w:vAlign w:val="bottom"/>
            <w:tcBorders>
              <w:top w:val="single" w:sz="8" w:color="auto"/>
              <w:bottom w:val="single" w:sz="8" w:color="auto"/>
            </w:tcBorders>
            <w:shd w:val="clear" w:color="auto" w:fill="CCFFCC"/>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14,605</w:t>
            </w:r>
          </w:p>
        </w:tc>
        <w:tc>
          <w:tcPr>
            <w:tcW w:w="18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13,361</w:t>
            </w:r>
          </w:p>
        </w:tc>
        <w:tc>
          <w:tcPr>
            <w:tcW w:w="180" w:type="dxa"/>
            <w:vAlign w:val="bottom"/>
            <w:tcBorders>
              <w:top w:val="single" w:sz="8" w:color="CCFFCC"/>
            </w:tcBorders>
            <w:shd w:val="clear" w:color="auto" w:fill="CCFFCC"/>
          </w:tcPr>
          <w:p>
            <w:pPr>
              <w:spacing w:after="0"/>
              <w:rPr>
                <w:sz w:val="15"/>
                <w:szCs w:val="15"/>
                <w:color w:val="auto"/>
              </w:rPr>
            </w:pPr>
          </w:p>
        </w:tc>
        <w:tc>
          <w:tcPr>
            <w:tcW w:w="20" w:type="dxa"/>
            <w:vAlign w:val="bottom"/>
            <w:tcBorders>
              <w:top w:val="single" w:sz="8" w:color="CCFFCC"/>
            </w:tcBorders>
            <w:shd w:val="clear" w:color="auto" w:fill="CCFFCC"/>
          </w:tcPr>
          <w:p>
            <w:pPr>
              <w:spacing w:after="0"/>
              <w:rPr>
                <w:sz w:val="15"/>
                <w:szCs w:val="15"/>
                <w:color w:val="auto"/>
              </w:rPr>
            </w:pPr>
          </w:p>
        </w:tc>
        <w:tc>
          <w:tcPr>
            <w:tcW w:w="140" w:type="dxa"/>
            <w:vAlign w:val="bottom"/>
            <w:tcBorders>
              <w:top w:val="single" w:sz="8" w:color="auto"/>
              <w:bottom w:val="single" w:sz="8" w:color="auto"/>
            </w:tcBorders>
            <w:shd w:val="clear" w:color="auto" w:fill="CCFFCC"/>
          </w:tcPr>
          <w:p>
            <w:pPr>
              <w:jc w:val="right"/>
              <w:ind w:right="73"/>
              <w:spacing w:after="0"/>
              <w:rPr>
                <w:sz w:val="20"/>
                <w:szCs w:val="20"/>
                <w:color w:val="auto"/>
              </w:rPr>
            </w:pPr>
            <w:r>
              <w:rPr>
                <w:rFonts w:ascii="Arial" w:cs="Arial" w:eastAsia="Arial" w:hAnsi="Arial"/>
                <w:sz w:val="5"/>
                <w:szCs w:val="5"/>
                <w:color w:val="auto"/>
                <w:w w:val="70"/>
              </w:rPr>
              <w:t>$</w:t>
            </w: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12,900</w:t>
            </w:r>
          </w:p>
        </w:tc>
        <w:tc>
          <w:tcPr>
            <w:tcW w:w="2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0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Other expenses</w:t>
            </w:r>
          </w:p>
        </w:tc>
        <w:tc>
          <w:tcPr>
            <w:tcW w:w="160" w:type="dxa"/>
            <w:vAlign w:val="bottom"/>
            <w:shd w:val="clear" w:color="auto" w:fill="CCFFCC"/>
          </w:tcPr>
          <w:p>
            <w:pPr>
              <w:jc w:val="right"/>
              <w:ind w:right="52"/>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12,713</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12,288</w:t>
            </w:r>
          </w:p>
        </w:tc>
        <w:tc>
          <w:tcPr>
            <w:tcW w:w="160" w:type="dxa"/>
            <w:vAlign w:val="bottom"/>
            <w:gridSpan w:val="2"/>
            <w:shd w:val="clear" w:color="auto" w:fill="CCFFCC"/>
          </w:tcPr>
          <w:p>
            <w:pPr>
              <w:jc w:val="right"/>
              <w:ind w:right="73"/>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12,249</w:t>
            </w:r>
          </w:p>
        </w:tc>
        <w:tc>
          <w:tcPr>
            <w:tcW w:w="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00" w:type="dxa"/>
            <w:vAlign w:val="bottom"/>
            <w:gridSpan w:val="2"/>
          </w:tcPr>
          <w:p>
            <w:pPr>
              <w:spacing w:after="0"/>
              <w:rPr>
                <w:sz w:val="20"/>
                <w:szCs w:val="20"/>
                <w:color w:val="auto"/>
              </w:rPr>
            </w:pPr>
            <w:r>
              <w:rPr>
                <w:rFonts w:ascii="Arial" w:cs="Arial" w:eastAsia="Arial" w:hAnsi="Arial"/>
                <w:sz w:val="15"/>
                <w:szCs w:val="15"/>
                <w:color w:val="auto"/>
              </w:rPr>
              <w:t>Income before income taxes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1,892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5"/>
                <w:szCs w:val="15"/>
                <w:color w:val="auto"/>
              </w:rPr>
              <w:t>1,073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5"/>
                <w:szCs w:val="15"/>
                <w:color w:val="auto"/>
              </w:rPr>
              <w:t>651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60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Income tax provision</w:t>
            </w:r>
          </w:p>
        </w:tc>
        <w:tc>
          <w:tcPr>
            <w:tcW w:w="16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810</w:t>
            </w:r>
          </w:p>
        </w:tc>
        <w:tc>
          <w:tcPr>
            <w:tcW w:w="80" w:type="dxa"/>
            <w:vAlign w:val="bottom"/>
            <w:shd w:val="clear" w:color="auto" w:fill="CCFFCC"/>
          </w:tcPr>
          <w:p>
            <w:pPr>
              <w:spacing w:after="0"/>
              <w:rPr>
                <w:sz w:val="16"/>
                <w:szCs w:val="16"/>
                <w:color w:val="auto"/>
              </w:rPr>
            </w:pPr>
          </w:p>
        </w:tc>
        <w:tc>
          <w:tcPr>
            <w:tcW w:w="148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417</w:t>
            </w:r>
          </w:p>
        </w:tc>
        <w:tc>
          <w:tcPr>
            <w:tcW w:w="2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254</w:t>
            </w:r>
          </w:p>
        </w:tc>
        <w:tc>
          <w:tcPr>
            <w:tcW w:w="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5"/>
                <w:szCs w:val="15"/>
                <w:color w:val="auto"/>
              </w:rPr>
              <w:t>Net Income</w:t>
            </w: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0" w:type="dxa"/>
            <w:vAlign w:val="bottom"/>
            <w:gridSpan w:val="2"/>
            <w:vMerge w:val="continue"/>
          </w:tcPr>
          <w:p>
            <w:pPr>
              <w:spacing w:after="0"/>
              <w:rPr>
                <w:sz w:val="15"/>
                <w:szCs w:val="15"/>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1,082</w:t>
            </w:r>
          </w:p>
        </w:tc>
        <w:tc>
          <w:tcPr>
            <w:tcW w:w="1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656</w:t>
            </w:r>
          </w:p>
        </w:tc>
        <w:tc>
          <w:tcPr>
            <w:tcW w:w="180" w:type="dxa"/>
            <w:vAlign w:val="bottom"/>
          </w:tcPr>
          <w:p>
            <w:pPr>
              <w:spacing w:after="0"/>
              <w:rPr>
                <w:sz w:val="15"/>
                <w:szCs w:val="15"/>
                <w:color w:val="auto"/>
              </w:rPr>
            </w:pPr>
          </w:p>
        </w:tc>
        <w:tc>
          <w:tcPr>
            <w:tcW w:w="16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397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260" w:type="dxa"/>
        <w:tblCellMar>
          <w:top w:w="0" w:type="dxa"/>
          <w:left w:w="0" w:type="dxa"/>
          <w:bottom w:w="0" w:type="dxa"/>
          <w:right w:w="0" w:type="dxa"/>
        </w:tblCellMar>
      </w:tblPr>
      <w:tr>
        <w:trPr>
          <w:trHeight w:val="194"/>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5"/>
                <w:szCs w:val="15"/>
                <w:b w:val="1"/>
                <w:bCs w:val="1"/>
                <w:color w:val="auto"/>
              </w:rPr>
              <w:t>As of</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80"/>
              <w:spacing w:after="0" w:line="159" w:lineRule="exact"/>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65"/>
              <w:spacing w:after="0" w:line="159" w:lineRule="exact"/>
              <w:rPr>
                <w:sz w:val="20"/>
                <w:szCs w:val="20"/>
                <w:color w:val="auto"/>
              </w:rPr>
            </w:pPr>
            <w:r>
              <w:rPr>
                <w:rFonts w:ascii="Arial" w:cs="Arial" w:eastAsia="Arial" w:hAnsi="Arial"/>
                <w:sz w:val="15"/>
                <w:szCs w:val="15"/>
                <w:b w:val="1"/>
                <w:bCs w:val="1"/>
                <w:color w:val="auto"/>
                <w:w w:val="96"/>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Balance Sheet - Navis Holdings, Inc.</w:t>
            </w:r>
          </w:p>
        </w:tc>
        <w:tc>
          <w:tcPr>
            <w:tcW w:w="160" w:type="dxa"/>
            <w:vAlign w:val="bottom"/>
          </w:tcPr>
          <w:p>
            <w:pPr>
              <w:spacing w:after="0"/>
              <w:rPr>
                <w:sz w:val="16"/>
                <w:szCs w:val="16"/>
                <w:color w:val="auto"/>
              </w:rPr>
            </w:pPr>
          </w:p>
        </w:tc>
        <w:tc>
          <w:tcPr>
            <w:tcW w:w="1220" w:type="dxa"/>
            <w:vAlign w:val="bottom"/>
          </w:tcPr>
          <w:p>
            <w:pPr>
              <w:jc w:val="right"/>
              <w:ind w:right="465"/>
              <w:spacing w:after="0"/>
              <w:rPr>
                <w:sz w:val="20"/>
                <w:szCs w:val="20"/>
                <w:color w:val="auto"/>
              </w:rPr>
            </w:pPr>
            <w:r>
              <w:rPr>
                <w:rFonts w:ascii="Arial" w:cs="Arial" w:eastAsia="Arial" w:hAnsi="Arial"/>
                <w:sz w:val="15"/>
                <w:szCs w:val="15"/>
                <w:b w:val="1"/>
                <w:bCs w:val="1"/>
                <w:color w:val="auto"/>
              </w:rPr>
              <w:t>2013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65"/>
              <w:spacing w:after="0"/>
              <w:rPr>
                <w:sz w:val="20"/>
                <w:szCs w:val="20"/>
                <w:color w:val="auto"/>
              </w:rPr>
            </w:pPr>
            <w:r>
              <w:rPr>
                <w:rFonts w:ascii="Arial" w:cs="Arial" w:eastAsia="Arial" w:hAnsi="Arial"/>
                <w:sz w:val="15"/>
                <w:szCs w:val="15"/>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0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5"/>
                <w:szCs w:val="15"/>
                <w:color w:val="auto"/>
              </w:rPr>
              <w:t>Current assets</w:t>
            </w:r>
          </w:p>
        </w:tc>
        <w:tc>
          <w:tcPr>
            <w:tcW w:w="100" w:type="dxa"/>
            <w:vAlign w:val="bottom"/>
            <w:tcBorders>
              <w:top w:val="single" w:sz="8" w:color="CCFFCC"/>
            </w:tcBorders>
            <w:shd w:val="clear" w:color="auto" w:fill="CCFFCC"/>
          </w:tcPr>
          <w:p>
            <w:pPr>
              <w:spacing w:after="0"/>
              <w:rPr>
                <w:sz w:val="15"/>
                <w:szCs w:val="15"/>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5,216</w:t>
            </w:r>
          </w:p>
        </w:tc>
        <w:tc>
          <w:tcPr>
            <w:tcW w:w="8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160" w:type="dxa"/>
            <w:vAlign w:val="bottom"/>
            <w:tcBorders>
              <w:top w:val="single" w:sz="8" w:color="auto"/>
            </w:tcBorders>
            <w:shd w:val="clear" w:color="auto" w:fill="CCFFCC"/>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5,423</w:t>
            </w:r>
          </w:p>
        </w:tc>
        <w:tc>
          <w:tcPr>
            <w:tcW w:w="10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140" w:type="dxa"/>
            <w:vAlign w:val="bottom"/>
            <w:gridSpan w:val="2"/>
          </w:tcPr>
          <w:p>
            <w:pPr>
              <w:spacing w:after="0"/>
              <w:rPr>
                <w:sz w:val="20"/>
                <w:szCs w:val="20"/>
                <w:color w:val="auto"/>
              </w:rPr>
            </w:pPr>
            <w:r>
              <w:rPr>
                <w:rFonts w:ascii="Arial" w:cs="Arial" w:eastAsia="Arial" w:hAnsi="Arial"/>
                <w:sz w:val="15"/>
                <w:szCs w:val="15"/>
                <w:color w:val="auto"/>
              </w:rPr>
              <w:t>Noncurrent assets</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5,333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7,005</w:t>
            </w:r>
          </w:p>
        </w:tc>
        <w:tc>
          <w:tcPr>
            <w:tcW w:w="0" w:type="dxa"/>
            <w:vAlign w:val="bottom"/>
          </w:tcPr>
          <w:p>
            <w:pPr>
              <w:spacing w:after="0"/>
              <w:rPr>
                <w:sz w:val="1"/>
                <w:szCs w:val="1"/>
                <w:color w:val="auto"/>
              </w:rPr>
            </w:pPr>
          </w:p>
        </w:tc>
      </w:tr>
      <w:tr>
        <w:trPr>
          <w:trHeight w:val="20"/>
        </w:trPr>
        <w:tc>
          <w:tcPr>
            <w:tcW w:w="6140" w:type="dxa"/>
            <w:vAlign w:val="bottom"/>
            <w:gridSpan w:val="2"/>
            <w:vMerge w:val="restart"/>
            <w:shd w:val="clear" w:color="auto" w:fill="CCFFCC"/>
          </w:tcPr>
          <w:p>
            <w:pPr>
              <w:spacing w:after="0"/>
              <w:rPr>
                <w:sz w:val="20"/>
                <w:szCs w:val="20"/>
                <w:color w:val="auto"/>
              </w:rPr>
            </w:pPr>
            <w:r>
              <w:rPr>
                <w:rFonts w:ascii="Arial" w:cs="Arial" w:eastAsia="Arial" w:hAnsi="Arial"/>
                <w:sz w:val="15"/>
                <w:szCs w:val="15"/>
                <w:color w:val="auto"/>
              </w:rPr>
              <w:t>Total assets</w:t>
            </w: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140" w:type="dxa"/>
            <w:vAlign w:val="bottom"/>
            <w:gridSpan w:val="2"/>
            <w:vMerge w:val="continue"/>
            <w:shd w:val="clear" w:color="auto" w:fill="CCFFCC"/>
          </w:tcPr>
          <w:p>
            <w:pPr>
              <w:spacing w:after="0"/>
              <w:rPr>
                <w:sz w:val="15"/>
                <w:szCs w:val="15"/>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10,549</w:t>
            </w:r>
          </w:p>
        </w:tc>
        <w:tc>
          <w:tcPr>
            <w:tcW w:w="80" w:type="dxa"/>
            <w:vAlign w:val="bottom"/>
            <w:shd w:val="clear" w:color="auto" w:fill="CCFFCC"/>
          </w:tcPr>
          <w:p>
            <w:pPr>
              <w:spacing w:after="0"/>
              <w:rPr>
                <w:sz w:val="15"/>
                <w:szCs w:val="15"/>
                <w:color w:val="auto"/>
              </w:rPr>
            </w:pPr>
          </w:p>
        </w:tc>
        <w:tc>
          <w:tcPr>
            <w:tcW w:w="260" w:type="dxa"/>
            <w:vAlign w:val="bottom"/>
            <w:gridSpan w:val="2"/>
            <w:shd w:val="clear" w:color="auto" w:fill="CCFFCC"/>
          </w:tcPr>
          <w:p>
            <w:pPr>
              <w:jc w:val="right"/>
              <w:ind w:right="52"/>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12,428</w:t>
            </w:r>
          </w:p>
        </w:tc>
        <w:tc>
          <w:tcPr>
            <w:tcW w:w="0" w:type="dxa"/>
            <w:vAlign w:val="bottom"/>
          </w:tcPr>
          <w:p>
            <w:pPr>
              <w:spacing w:after="0"/>
              <w:rPr>
                <w:sz w:val="1"/>
                <w:szCs w:val="1"/>
                <w:color w:val="auto"/>
              </w:rPr>
            </w:pPr>
          </w:p>
        </w:tc>
      </w:tr>
      <w:tr>
        <w:trPr>
          <w:trHeight w:val="20"/>
        </w:trPr>
        <w:tc>
          <w:tcPr>
            <w:tcW w:w="60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14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Current liabilities</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5"/>
                <w:szCs w:val="15"/>
                <w:color w:val="auto"/>
              </w:rPr>
              <w:t>1,761</w:t>
            </w:r>
          </w:p>
        </w:tc>
        <w:tc>
          <w:tcPr>
            <w:tcW w:w="260" w:type="dxa"/>
            <w:vAlign w:val="bottom"/>
            <w:gridSpan w:val="2"/>
            <w:shd w:val="clear" w:color="auto" w:fill="CCFFCC"/>
          </w:tcPr>
          <w:p>
            <w:pPr>
              <w:jc w:val="right"/>
              <w:ind w:right="52"/>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3,633</w:t>
            </w:r>
          </w:p>
        </w:tc>
        <w:tc>
          <w:tcPr>
            <w:tcW w:w="0" w:type="dxa"/>
            <w:vAlign w:val="bottom"/>
          </w:tcPr>
          <w:p>
            <w:pPr>
              <w:spacing w:after="0"/>
              <w:rPr>
                <w:sz w:val="1"/>
                <w:szCs w:val="1"/>
                <w:color w:val="auto"/>
              </w:rPr>
            </w:pPr>
          </w:p>
        </w:tc>
      </w:tr>
      <w:tr>
        <w:trPr>
          <w:trHeight w:val="192"/>
        </w:trPr>
        <w:tc>
          <w:tcPr>
            <w:tcW w:w="6140" w:type="dxa"/>
            <w:vAlign w:val="bottom"/>
            <w:gridSpan w:val="2"/>
          </w:tcPr>
          <w:p>
            <w:pPr>
              <w:spacing w:after="0"/>
              <w:rPr>
                <w:sz w:val="20"/>
                <w:szCs w:val="20"/>
                <w:color w:val="auto"/>
              </w:rPr>
            </w:pPr>
            <w:r>
              <w:rPr>
                <w:rFonts w:ascii="Arial" w:cs="Arial" w:eastAsia="Arial" w:hAnsi="Arial"/>
                <w:sz w:val="15"/>
                <w:szCs w:val="15"/>
                <w:color w:val="auto"/>
              </w:rPr>
              <w:t>Noncurrent liabilities</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7,053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6,847</w:t>
            </w:r>
          </w:p>
        </w:tc>
        <w:tc>
          <w:tcPr>
            <w:tcW w:w="0" w:type="dxa"/>
            <w:vAlign w:val="bottom"/>
          </w:tcPr>
          <w:p>
            <w:pPr>
              <w:spacing w:after="0"/>
              <w:rPr>
                <w:sz w:val="1"/>
                <w:szCs w:val="1"/>
                <w:color w:val="auto"/>
              </w:rPr>
            </w:pPr>
          </w:p>
        </w:tc>
      </w:tr>
      <w:tr>
        <w:trPr>
          <w:trHeight w:val="20"/>
        </w:trPr>
        <w:tc>
          <w:tcPr>
            <w:tcW w:w="6140" w:type="dxa"/>
            <w:vAlign w:val="bottom"/>
            <w:gridSpan w:val="2"/>
            <w:vMerge w:val="restart"/>
            <w:shd w:val="clear" w:color="auto" w:fill="CCFFCC"/>
          </w:tcPr>
          <w:p>
            <w:pPr>
              <w:spacing w:after="0"/>
              <w:rPr>
                <w:sz w:val="20"/>
                <w:szCs w:val="20"/>
                <w:color w:val="auto"/>
              </w:rPr>
            </w:pPr>
            <w:r>
              <w:rPr>
                <w:rFonts w:ascii="Arial" w:cs="Arial" w:eastAsia="Arial" w:hAnsi="Arial"/>
                <w:sz w:val="15"/>
                <w:szCs w:val="15"/>
                <w:color w:val="auto"/>
              </w:rPr>
              <w:t>Total liabilities</w:t>
            </w: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140" w:type="dxa"/>
            <w:vAlign w:val="bottom"/>
            <w:gridSpan w:val="2"/>
            <w:vMerge w:val="continue"/>
            <w:shd w:val="clear" w:color="auto" w:fill="CCFFCC"/>
          </w:tcPr>
          <w:p>
            <w:pPr>
              <w:spacing w:after="0"/>
              <w:rPr>
                <w:sz w:val="15"/>
                <w:szCs w:val="15"/>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8,814</w:t>
            </w:r>
          </w:p>
        </w:tc>
        <w:tc>
          <w:tcPr>
            <w:tcW w:w="80" w:type="dxa"/>
            <w:vAlign w:val="bottom"/>
            <w:shd w:val="clear" w:color="auto" w:fill="CCFFCC"/>
          </w:tcPr>
          <w:p>
            <w:pPr>
              <w:spacing w:after="0"/>
              <w:rPr>
                <w:sz w:val="15"/>
                <w:szCs w:val="15"/>
                <w:color w:val="auto"/>
              </w:rPr>
            </w:pPr>
          </w:p>
        </w:tc>
        <w:tc>
          <w:tcPr>
            <w:tcW w:w="260" w:type="dxa"/>
            <w:vAlign w:val="bottom"/>
            <w:gridSpan w:val="2"/>
            <w:shd w:val="clear" w:color="auto" w:fill="CCFFCC"/>
          </w:tcPr>
          <w:p>
            <w:pPr>
              <w:jc w:val="right"/>
              <w:ind w:right="52"/>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10,480</w:t>
            </w:r>
          </w:p>
        </w:tc>
        <w:tc>
          <w:tcPr>
            <w:tcW w:w="0" w:type="dxa"/>
            <w:vAlign w:val="bottom"/>
          </w:tcPr>
          <w:p>
            <w:pPr>
              <w:spacing w:after="0"/>
              <w:rPr>
                <w:sz w:val="1"/>
                <w:szCs w:val="1"/>
                <w:color w:val="auto"/>
              </w:rPr>
            </w:pPr>
          </w:p>
        </w:tc>
      </w:tr>
      <w:tr>
        <w:trPr>
          <w:trHeight w:val="20"/>
        </w:trPr>
        <w:tc>
          <w:tcPr>
            <w:tcW w:w="60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14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Total equity</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5"/>
                <w:szCs w:val="15"/>
                <w:color w:val="auto"/>
              </w:rPr>
              <w:t>1,735</w:t>
            </w:r>
          </w:p>
        </w:tc>
        <w:tc>
          <w:tcPr>
            <w:tcW w:w="260" w:type="dxa"/>
            <w:vAlign w:val="bottom"/>
            <w:gridSpan w:val="2"/>
            <w:shd w:val="clear" w:color="auto" w:fill="CCFFCC"/>
          </w:tcPr>
          <w:p>
            <w:pPr>
              <w:jc w:val="right"/>
              <w:ind w:right="52"/>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1,948</w:t>
            </w:r>
          </w:p>
        </w:tc>
        <w:tc>
          <w:tcPr>
            <w:tcW w:w="0" w:type="dxa"/>
            <w:vAlign w:val="bottom"/>
          </w:tcPr>
          <w:p>
            <w:pPr>
              <w:spacing w:after="0"/>
              <w:rPr>
                <w:sz w:val="1"/>
                <w:szCs w:val="1"/>
                <w:color w:val="auto"/>
              </w:rPr>
            </w:pPr>
          </w:p>
        </w:tc>
      </w:tr>
      <w:tr>
        <w:trPr>
          <w:trHeight w:val="20"/>
        </w:trPr>
        <w:tc>
          <w:tcPr>
            <w:tcW w:w="60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42"/>
              <w:spacing w:after="0"/>
              <w:rPr>
                <w:sz w:val="20"/>
                <w:szCs w:val="20"/>
                <w:color w:val="auto"/>
              </w:rPr>
            </w:pPr>
            <w:r>
              <w:rPr>
                <w:rFonts w:ascii="Arial" w:cs="Arial" w:eastAsia="Arial" w:hAnsi="Arial"/>
                <w:sz w:val="15"/>
                <w:szCs w:val="15"/>
                <w:b w:val="1"/>
                <w:bCs w:val="1"/>
                <w:color w:val="auto"/>
                <w:w w:val="90"/>
              </w:rPr>
              <w:t>For the year ended</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right"/>
              <w:ind w:right="345"/>
              <w:spacing w:after="0" w:line="159" w:lineRule="exact"/>
              <w:rPr>
                <w:sz w:val="20"/>
                <w:szCs w:val="20"/>
                <w:color w:val="auto"/>
              </w:rPr>
            </w:pPr>
            <w:r>
              <w:rPr>
                <w:rFonts w:ascii="Arial" w:cs="Arial" w:eastAsia="Arial" w:hAnsi="Arial"/>
                <w:sz w:val="15"/>
                <w:szCs w:val="15"/>
                <w:b w:val="1"/>
                <w:bCs w:val="1"/>
                <w:color w:val="auto"/>
                <w:w w:val="96"/>
              </w:rPr>
              <w:t>December 31,</w:t>
            </w:r>
          </w:p>
        </w:tc>
        <w:tc>
          <w:tcPr>
            <w:tcW w:w="80" w:type="dxa"/>
            <w:vAlign w:val="bottom"/>
          </w:tcPr>
          <w:p>
            <w:pPr>
              <w:spacing w:after="0"/>
              <w:rPr>
                <w:sz w:val="13"/>
                <w:szCs w:val="13"/>
                <w:color w:val="auto"/>
              </w:rPr>
            </w:pPr>
          </w:p>
        </w:tc>
        <w:tc>
          <w:tcPr>
            <w:tcW w:w="1400" w:type="dxa"/>
            <w:vAlign w:val="bottom"/>
            <w:gridSpan w:val="2"/>
          </w:tcPr>
          <w:p>
            <w:pPr>
              <w:jc w:val="center"/>
              <w:ind w:right="162"/>
              <w:spacing w:after="0" w:line="159" w:lineRule="exact"/>
              <w:rPr>
                <w:sz w:val="20"/>
                <w:szCs w:val="20"/>
                <w:color w:val="auto"/>
              </w:rPr>
            </w:pPr>
            <w:r>
              <w:rPr>
                <w:rFonts w:ascii="Arial" w:cs="Arial" w:eastAsia="Arial" w:hAnsi="Arial"/>
                <w:sz w:val="15"/>
                <w:szCs w:val="15"/>
                <w:b w:val="1"/>
                <w:bCs w:val="1"/>
                <w:color w:val="auto"/>
                <w:w w:val="90"/>
              </w:rPr>
              <w:t>December 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65"/>
              <w:spacing w:after="0" w:line="159" w:lineRule="exact"/>
              <w:rPr>
                <w:sz w:val="20"/>
                <w:szCs w:val="20"/>
                <w:color w:val="auto"/>
              </w:rPr>
            </w:pPr>
            <w:r>
              <w:rPr>
                <w:rFonts w:ascii="Arial" w:cs="Arial" w:eastAsia="Arial" w:hAnsi="Arial"/>
                <w:sz w:val="15"/>
                <w:szCs w:val="15"/>
                <w:b w:val="1"/>
                <w:bCs w:val="1"/>
                <w:color w:val="auto"/>
                <w:w w:val="96"/>
              </w:rPr>
              <w:t>December 31,</w:t>
            </w: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5"/>
                <w:szCs w:val="15"/>
                <w:b w:val="1"/>
                <w:bCs w:val="1"/>
                <w:color w:val="auto"/>
              </w:rPr>
              <w:t>Statements of Operations - Navis Holdings, Inc.</w:t>
            </w:r>
          </w:p>
        </w:tc>
        <w:tc>
          <w:tcPr>
            <w:tcW w:w="160" w:type="dxa"/>
            <w:vAlign w:val="bottom"/>
          </w:tcPr>
          <w:p>
            <w:pPr>
              <w:spacing w:after="0"/>
              <w:rPr>
                <w:sz w:val="16"/>
                <w:szCs w:val="16"/>
                <w:color w:val="auto"/>
              </w:rPr>
            </w:pPr>
          </w:p>
        </w:tc>
        <w:tc>
          <w:tcPr>
            <w:tcW w:w="1200" w:type="dxa"/>
            <w:vAlign w:val="bottom"/>
          </w:tcPr>
          <w:p>
            <w:pPr>
              <w:jc w:val="right"/>
              <w:ind w:right="465"/>
              <w:spacing w:after="0"/>
              <w:rPr>
                <w:sz w:val="20"/>
                <w:szCs w:val="20"/>
                <w:color w:val="auto"/>
              </w:rPr>
            </w:pPr>
            <w:r>
              <w:rPr>
                <w:rFonts w:ascii="Arial" w:cs="Arial" w:eastAsia="Arial" w:hAnsi="Arial"/>
                <w:sz w:val="15"/>
                <w:szCs w:val="15"/>
                <w:b w:val="1"/>
                <w:bCs w:val="1"/>
                <w:color w:val="auto"/>
              </w:rPr>
              <w:t>2013</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center"/>
              <w:ind w:right="5"/>
              <w:spacing w:after="0"/>
              <w:rPr>
                <w:sz w:val="20"/>
                <w:szCs w:val="20"/>
                <w:color w:val="auto"/>
              </w:rPr>
            </w:pPr>
            <w:r>
              <w:rPr>
                <w:rFonts w:ascii="Arial" w:cs="Arial" w:eastAsia="Arial" w:hAnsi="Arial"/>
                <w:sz w:val="15"/>
                <w:szCs w:val="15"/>
                <w:b w:val="1"/>
                <w:bCs w:val="1"/>
                <w:color w:val="auto"/>
                <w:w w:val="89"/>
              </w:rPr>
              <w:t>2012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65"/>
              <w:spacing w:after="0"/>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45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5"/>
                <w:szCs w:val="15"/>
                <w:color w:val="auto"/>
              </w:rPr>
              <w:t>Net sales</w:t>
            </w:r>
          </w:p>
        </w:tc>
        <w:tc>
          <w:tcPr>
            <w:tcW w:w="100" w:type="dxa"/>
            <w:vAlign w:val="bottom"/>
            <w:tcBorders>
              <w:top w:val="single" w:sz="8" w:color="CCFFCC"/>
            </w:tcBorders>
            <w:shd w:val="clear" w:color="auto" w:fill="CCFFCC"/>
          </w:tcPr>
          <w:p>
            <w:pPr>
              <w:spacing w:after="0"/>
              <w:rPr>
                <w:sz w:val="15"/>
                <w:szCs w:val="15"/>
                <w:color w:val="auto"/>
              </w:rPr>
            </w:pPr>
          </w:p>
        </w:tc>
        <w:tc>
          <w:tcPr>
            <w:tcW w:w="160" w:type="dxa"/>
            <w:vAlign w:val="bottom"/>
            <w:tcBorders>
              <w:top w:val="single" w:sz="8" w:color="auto"/>
            </w:tcBorders>
            <w:shd w:val="clear" w:color="auto" w:fill="CCFFCC"/>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14,177</w:t>
            </w:r>
          </w:p>
        </w:tc>
        <w:tc>
          <w:tcPr>
            <w:tcW w:w="18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13,268</w:t>
            </w:r>
          </w:p>
        </w:tc>
        <w:tc>
          <w:tcPr>
            <w:tcW w:w="10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160" w:type="dxa"/>
            <w:vAlign w:val="bottom"/>
            <w:tcBorders>
              <w:top w:val="single" w:sz="8" w:color="auto"/>
            </w:tcBorders>
            <w:shd w:val="clear" w:color="auto" w:fill="CCFFCC"/>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16,583</w:t>
            </w:r>
          </w:p>
        </w:tc>
        <w:tc>
          <w:tcPr>
            <w:tcW w:w="100" w:type="dxa"/>
            <w:vAlign w:val="bottom"/>
            <w:tcBorders>
              <w:top w:val="single" w:sz="8" w:color="CCFFCC"/>
            </w:tcBorders>
            <w:shd w:val="clear" w:color="auto" w:fill="CCFFCC"/>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5"/>
                <w:szCs w:val="15"/>
                <w:color w:val="auto"/>
              </w:rPr>
              <w:t>Cost of goods sold</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9,833</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right"/>
              <w:ind w:right="62"/>
              <w:spacing w:after="0"/>
              <w:rPr>
                <w:sz w:val="20"/>
                <w:szCs w:val="20"/>
                <w:color w:val="auto"/>
              </w:rPr>
            </w:pPr>
            <w:r>
              <w:rPr>
                <w:rFonts w:ascii="Arial" w:cs="Arial" w:eastAsia="Arial" w:hAnsi="Arial"/>
                <w:sz w:val="15"/>
                <w:szCs w:val="15"/>
                <w:color w:val="auto"/>
              </w:rPr>
              <w:t>9,092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10,701</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4600" w:type="dxa"/>
            <w:vAlign w:val="bottom"/>
            <w:tcBorders>
              <w:top w:val="single" w:sz="8" w:color="CCFFCC"/>
            </w:tcBorders>
            <w:gridSpan w:val="2"/>
            <w:shd w:val="clear" w:color="auto" w:fill="CCFFCC"/>
          </w:tcPr>
          <w:p>
            <w:pPr>
              <w:spacing w:after="0" w:line="171" w:lineRule="exact"/>
              <w:rPr>
                <w:sz w:val="20"/>
                <w:szCs w:val="20"/>
                <w:color w:val="auto"/>
              </w:rPr>
            </w:pPr>
            <w:r>
              <w:rPr>
                <w:rFonts w:ascii="Arial" w:cs="Arial" w:eastAsia="Arial" w:hAnsi="Arial"/>
                <w:sz w:val="15"/>
                <w:szCs w:val="15"/>
                <w:color w:val="auto"/>
              </w:rPr>
              <w:t>Gross profit</w:t>
            </w:r>
          </w:p>
        </w:tc>
        <w:tc>
          <w:tcPr>
            <w:tcW w:w="160" w:type="dxa"/>
            <w:vAlign w:val="bottom"/>
            <w:tcBorders>
              <w:top w:val="single" w:sz="8" w:color="auto"/>
              <w:bottom w:val="single" w:sz="8" w:color="auto"/>
            </w:tcBorders>
            <w:shd w:val="clear" w:color="auto" w:fill="CCFFCC"/>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4,344</w:t>
            </w:r>
          </w:p>
        </w:tc>
        <w:tc>
          <w:tcPr>
            <w:tcW w:w="18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4,176</w:t>
            </w:r>
          </w:p>
        </w:tc>
        <w:tc>
          <w:tcPr>
            <w:tcW w:w="10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160" w:type="dxa"/>
            <w:vAlign w:val="bottom"/>
            <w:tcBorders>
              <w:top w:val="single" w:sz="8" w:color="auto"/>
              <w:bottom w:val="single" w:sz="8" w:color="auto"/>
            </w:tcBorders>
            <w:shd w:val="clear" w:color="auto" w:fill="CCFFCC"/>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5,882</w:t>
            </w:r>
          </w:p>
        </w:tc>
        <w:tc>
          <w:tcPr>
            <w:tcW w:w="100" w:type="dxa"/>
            <w:vAlign w:val="bottom"/>
            <w:tcBorders>
              <w:top w:val="single" w:sz="8" w:color="CCFFCC"/>
            </w:tcBorders>
            <w:shd w:val="clear" w:color="auto" w:fill="CCFFCC"/>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460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Other expenses</w:t>
            </w:r>
          </w:p>
        </w:tc>
        <w:tc>
          <w:tcPr>
            <w:tcW w:w="160" w:type="dxa"/>
            <w:vAlign w:val="bottom"/>
            <w:shd w:val="clear" w:color="auto" w:fill="CCFFCC"/>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4,695</w:t>
            </w:r>
          </w:p>
        </w:tc>
        <w:tc>
          <w:tcPr>
            <w:tcW w:w="180" w:type="dxa"/>
            <w:vAlign w:val="bottom"/>
            <w:shd w:val="clear" w:color="auto" w:fill="CCFFCC"/>
          </w:tcPr>
          <w:p>
            <w:pPr>
              <w:spacing w:after="0"/>
              <w:rPr>
                <w:sz w:val="15"/>
                <w:szCs w:val="15"/>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FFCC"/>
          </w:tcPr>
          <w:p>
            <w:pPr>
              <w:jc w:val="right"/>
              <w:ind w:right="62"/>
              <w:spacing w:after="0"/>
              <w:rPr>
                <w:sz w:val="20"/>
                <w:szCs w:val="20"/>
                <w:color w:val="auto"/>
              </w:rPr>
            </w:pPr>
            <w:r>
              <w:rPr>
                <w:rFonts w:ascii="Arial" w:cs="Arial" w:eastAsia="Arial" w:hAnsi="Arial"/>
                <w:sz w:val="15"/>
                <w:szCs w:val="15"/>
                <w:color w:val="auto"/>
              </w:rPr>
              <w:t>4,977</w:t>
            </w:r>
          </w:p>
        </w:tc>
        <w:tc>
          <w:tcPr>
            <w:tcW w:w="240" w:type="dxa"/>
            <w:vAlign w:val="bottom"/>
            <w:gridSpan w:val="2"/>
            <w:shd w:val="clear" w:color="auto" w:fill="CCFFCC"/>
          </w:tcPr>
          <w:p>
            <w:pPr>
              <w:jc w:val="right"/>
              <w:ind w:right="52"/>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3,131</w:t>
            </w: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Arial" w:cs="Arial" w:eastAsia="Arial" w:hAnsi="Arial"/>
                <w:sz w:val="15"/>
                <w:szCs w:val="15"/>
                <w:color w:val="auto"/>
              </w:rPr>
              <w:t>Income (loss) before income taxes</w:t>
            </w:r>
          </w:p>
        </w:tc>
        <w:tc>
          <w:tcPr>
            <w:tcW w:w="16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Arial" w:cs="Arial" w:eastAsia="Arial" w:hAnsi="Arial"/>
                <w:sz w:val="15"/>
                <w:szCs w:val="15"/>
                <w:color w:val="auto"/>
              </w:rPr>
              <w:t>(351)</w:t>
            </w:r>
          </w:p>
        </w:tc>
        <w:tc>
          <w:tcPr>
            <w:tcW w:w="80" w:type="dxa"/>
            <w:vAlign w:val="bottom"/>
          </w:tcPr>
          <w:p>
            <w:pPr>
              <w:spacing w:after="0"/>
              <w:rPr>
                <w:sz w:val="15"/>
                <w:szCs w:val="15"/>
                <w:color w:val="auto"/>
              </w:rPr>
            </w:pPr>
          </w:p>
        </w:tc>
        <w:tc>
          <w:tcPr>
            <w:tcW w:w="1400" w:type="dxa"/>
            <w:vAlign w:val="bottom"/>
            <w:gridSpan w:val="2"/>
          </w:tcPr>
          <w:p>
            <w:pPr>
              <w:jc w:val="right"/>
              <w:ind w:right="22"/>
              <w:spacing w:after="0"/>
              <w:rPr>
                <w:sz w:val="20"/>
                <w:szCs w:val="20"/>
                <w:color w:val="auto"/>
              </w:rPr>
            </w:pPr>
            <w:r>
              <w:rPr>
                <w:rFonts w:ascii="Arial" w:cs="Arial" w:eastAsia="Arial" w:hAnsi="Arial"/>
                <w:sz w:val="15"/>
                <w:szCs w:val="15"/>
                <w:color w:val="auto"/>
              </w:rPr>
              <w:t>(801)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2,751</w:t>
            </w: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460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Income tax provision (benefit)</w:t>
            </w:r>
          </w:p>
        </w:tc>
        <w:tc>
          <w:tcPr>
            <w:tcW w:w="16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45"/>
              <w:spacing w:after="0"/>
              <w:rPr>
                <w:sz w:val="20"/>
                <w:szCs w:val="20"/>
                <w:color w:val="auto"/>
              </w:rPr>
            </w:pPr>
            <w:r>
              <w:rPr>
                <w:rFonts w:ascii="Arial" w:cs="Arial" w:eastAsia="Arial" w:hAnsi="Arial"/>
                <w:sz w:val="15"/>
                <w:szCs w:val="15"/>
                <w:color w:val="auto"/>
              </w:rPr>
              <w:t>(138)</w:t>
            </w:r>
          </w:p>
        </w:tc>
        <w:tc>
          <w:tcPr>
            <w:tcW w:w="80" w:type="dxa"/>
            <w:vAlign w:val="bottom"/>
            <w:shd w:val="clear" w:color="auto" w:fill="CCFFCC"/>
          </w:tcPr>
          <w:p>
            <w:pPr>
              <w:spacing w:after="0"/>
              <w:rPr>
                <w:sz w:val="16"/>
                <w:szCs w:val="16"/>
                <w:color w:val="auto"/>
              </w:rPr>
            </w:pPr>
          </w:p>
        </w:tc>
        <w:tc>
          <w:tcPr>
            <w:tcW w:w="1400" w:type="dxa"/>
            <w:vAlign w:val="bottom"/>
            <w:gridSpan w:val="2"/>
            <w:shd w:val="clear" w:color="auto" w:fill="CCFFCC"/>
          </w:tcPr>
          <w:p>
            <w:pPr>
              <w:jc w:val="right"/>
              <w:ind w:right="22"/>
              <w:spacing w:after="0"/>
              <w:rPr>
                <w:sz w:val="20"/>
                <w:szCs w:val="20"/>
                <w:color w:val="auto"/>
              </w:rPr>
            </w:pPr>
            <w:r>
              <w:rPr>
                <w:rFonts w:ascii="Arial" w:cs="Arial" w:eastAsia="Arial" w:hAnsi="Arial"/>
                <w:sz w:val="15"/>
                <w:szCs w:val="15"/>
                <w:color w:val="auto"/>
              </w:rPr>
              <w:t>(246)</w:t>
            </w:r>
          </w:p>
        </w:tc>
        <w:tc>
          <w:tcPr>
            <w:tcW w:w="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417</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600" w:type="dxa"/>
            <w:vAlign w:val="bottom"/>
            <w:gridSpan w:val="2"/>
            <w:vMerge w:val="restart"/>
          </w:tcPr>
          <w:p>
            <w:pPr>
              <w:spacing w:after="0"/>
              <w:rPr>
                <w:sz w:val="20"/>
                <w:szCs w:val="20"/>
                <w:color w:val="auto"/>
              </w:rPr>
            </w:pPr>
            <w:r>
              <w:rPr>
                <w:rFonts w:ascii="Arial" w:cs="Arial" w:eastAsia="Arial" w:hAnsi="Arial"/>
                <w:sz w:val="15"/>
                <w:szCs w:val="15"/>
                <w:color w:val="auto"/>
              </w:rPr>
              <w:t>Net Income (loss)</w:t>
            </w: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45"/>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ind w:right="22"/>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4600" w:type="dxa"/>
            <w:vAlign w:val="bottom"/>
            <w:gridSpan w:val="2"/>
            <w:vMerge w:val="continue"/>
          </w:tcPr>
          <w:p>
            <w:pPr>
              <w:spacing w:after="0"/>
              <w:rPr>
                <w:sz w:val="15"/>
                <w:szCs w:val="15"/>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(213</w:t>
            </w:r>
          </w:p>
        </w:tc>
        <w:tc>
          <w:tcPr>
            <w:tcW w:w="18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(555</w:t>
            </w:r>
          </w:p>
        </w:tc>
        <w:tc>
          <w:tcPr>
            <w:tcW w:w="100" w:type="dxa"/>
            <w:vAlign w:val="bottom"/>
            <w:vMerge w:val="continue"/>
          </w:tcPr>
          <w:p>
            <w:pPr>
              <w:spacing w:after="0"/>
              <w:rPr>
                <w:sz w:val="15"/>
                <w:szCs w:val="15"/>
                <w:color w:val="auto"/>
              </w:rPr>
            </w:pPr>
          </w:p>
        </w:tc>
        <w:tc>
          <w:tcPr>
            <w:tcW w:w="24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2,334</w:t>
            </w: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2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465"/>
              <w:spacing w:after="0"/>
              <w:rPr>
                <w:sz w:val="20"/>
                <w:szCs w:val="20"/>
                <w:color w:val="auto"/>
              </w:rPr>
            </w:pPr>
            <w:r>
              <w:rPr>
                <w:rFonts w:ascii="Arial" w:cs="Arial" w:eastAsia="Arial" w:hAnsi="Arial"/>
                <w:sz w:val="15"/>
                <w:szCs w:val="15"/>
                <w:color w:val="auto"/>
              </w:rPr>
              <w:t>F-27</w:t>
            </w: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81" w:right="219" w:bottom="1440" w:gutter="0" w:footer="0" w:header="0"/>
        </w:sectPr>
      </w:pPr>
    </w:p>
    <w:bookmarkStart w:id="96" w:name="page97"/>
    <w:bookmarkEnd w:id="96"/>
    <w:p>
      <w:pPr>
        <w:ind w:left="10"/>
        <w:spacing w:after="0"/>
        <w:rPr>
          <w:sz w:val="20"/>
          <w:szCs w:val="20"/>
          <w:color w:val="auto"/>
        </w:rPr>
      </w:pPr>
      <w:r>
        <w:rPr>
          <w:rFonts w:ascii="Arial" w:cs="Arial" w:eastAsia="Arial" w:hAnsi="Arial"/>
          <w:sz w:val="15"/>
          <w:szCs w:val="15"/>
          <w:b w:val="1"/>
          <w:bCs w:val="1"/>
          <w:color w:val="auto"/>
        </w:rPr>
        <w:t>Note 11. Earnings Per Share</w:t>
      </w:r>
    </w:p>
    <w:p>
      <w:pPr>
        <w:spacing w:after="0" w:line="193" w:lineRule="exact"/>
        <w:rPr>
          <w:sz w:val="20"/>
          <w:szCs w:val="20"/>
          <w:color w:val="auto"/>
        </w:rPr>
      </w:pPr>
    </w:p>
    <w:p>
      <w:pPr>
        <w:ind w:left="10" w:right="20" w:firstLine="738"/>
        <w:spacing w:after="0" w:line="264" w:lineRule="auto"/>
        <w:rPr>
          <w:sz w:val="20"/>
          <w:szCs w:val="20"/>
          <w:color w:val="auto"/>
        </w:rPr>
      </w:pPr>
      <w:r>
        <w:rPr>
          <w:rFonts w:ascii="Arial" w:cs="Arial" w:eastAsia="Arial" w:hAnsi="Arial"/>
          <w:sz w:val="15"/>
          <w:szCs w:val="15"/>
          <w:color w:val="auto"/>
        </w:rPr>
        <w:t xml:space="preserve">In accordance with the provisions of ASC 260, </w:t>
      </w:r>
      <w:r>
        <w:rPr>
          <w:rFonts w:ascii="Arial" w:cs="Arial" w:eastAsia="Arial" w:hAnsi="Arial"/>
          <w:sz w:val="15"/>
          <w:szCs w:val="15"/>
          <w:i w:val="1"/>
          <w:iCs w:val="1"/>
          <w:color w:val="auto"/>
        </w:rPr>
        <w:t>Earnings per Share</w:t>
      </w:r>
      <w:r>
        <w:rPr>
          <w:rFonts w:ascii="Arial" w:cs="Arial" w:eastAsia="Arial" w:hAnsi="Arial"/>
          <w:sz w:val="15"/>
          <w:szCs w:val="15"/>
          <w:color w:val="auto"/>
        </w:rPr>
        <w:t>,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 As of December 31, 2013, there were no dilutive shares.</w:t>
      </w:r>
    </w:p>
    <w:p>
      <w:pPr>
        <w:spacing w:after="0" w:line="155" w:lineRule="exact"/>
        <w:rPr>
          <w:sz w:val="20"/>
          <w:szCs w:val="20"/>
          <w:color w:val="auto"/>
        </w:rPr>
      </w:pPr>
    </w:p>
    <w:p>
      <w:pPr>
        <w:ind w:left="10" w:firstLine="738"/>
        <w:spacing w:after="0" w:line="276" w:lineRule="auto"/>
        <w:rPr>
          <w:sz w:val="20"/>
          <w:szCs w:val="20"/>
          <w:color w:val="auto"/>
        </w:rPr>
      </w:pPr>
      <w:r>
        <w:rPr>
          <w:rFonts w:ascii="Arial" w:cs="Arial" w:eastAsia="Arial" w:hAnsi="Arial"/>
          <w:sz w:val="15"/>
          <w:szCs w:val="15"/>
          <w:color w:val="auto"/>
        </w:rPr>
        <w:t>The following information sets forth the computation of the weighted average basic and diluted net increase in net assets per share from operations for the years ended December 31, 2013, 2012 and 2011(dollars in thousands except share and per share data):</w:t>
      </w:r>
    </w:p>
    <w:p>
      <w:pPr>
        <w:spacing w:after="0" w:line="154" w:lineRule="exact"/>
        <w:rPr>
          <w:sz w:val="20"/>
          <w:szCs w:val="20"/>
          <w:color w:val="auto"/>
        </w:rPr>
      </w:pPr>
    </w:p>
    <w:tbl>
      <w:tblPr>
        <w:tblLayout w:type="fixed"/>
        <w:tblInd w:w="270" w:type="dxa"/>
        <w:tblCellMar>
          <w:top w:w="0" w:type="dxa"/>
          <w:left w:w="0" w:type="dxa"/>
          <w:bottom w:w="0" w:type="dxa"/>
          <w:right w:w="0" w:type="dxa"/>
        </w:tblCellMar>
      </w:tblPr>
      <w:tr>
        <w:trPr>
          <w:trHeight w:val="194"/>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90"/>
              </w:rPr>
              <w:t>For the year ended</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9"/>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right"/>
              <w:ind w:right="420"/>
              <w:spacing w:after="0" w:line="159" w:lineRule="exact"/>
              <w:rPr>
                <w:sz w:val="20"/>
                <w:szCs w:val="20"/>
                <w:color w:val="auto"/>
              </w:rPr>
            </w:pPr>
            <w:r>
              <w:rPr>
                <w:rFonts w:ascii="Arial" w:cs="Arial" w:eastAsia="Arial" w:hAnsi="Arial"/>
                <w:sz w:val="15"/>
                <w:szCs w:val="15"/>
                <w:b w:val="1"/>
                <w:bCs w:val="1"/>
                <w:color w:val="auto"/>
                <w:w w:val="96"/>
              </w:rPr>
              <w:t>December 31,</w:t>
            </w:r>
          </w:p>
        </w:tc>
        <w:tc>
          <w:tcPr>
            <w:tcW w:w="80" w:type="dxa"/>
            <w:vAlign w:val="bottom"/>
          </w:tcPr>
          <w:p>
            <w:pPr>
              <w:spacing w:after="0"/>
              <w:rPr>
                <w:sz w:val="13"/>
                <w:szCs w:val="13"/>
                <w:color w:val="auto"/>
              </w:rPr>
            </w:pPr>
          </w:p>
        </w:tc>
        <w:tc>
          <w:tcPr>
            <w:tcW w:w="1480" w:type="dxa"/>
            <w:vAlign w:val="bottom"/>
            <w:gridSpan w:val="2"/>
          </w:tcPr>
          <w:p>
            <w:pPr>
              <w:jc w:val="center"/>
              <w:ind w:right="280"/>
              <w:spacing w:after="0" w:line="159" w:lineRule="exact"/>
              <w:rPr>
                <w:sz w:val="20"/>
                <w:szCs w:val="20"/>
                <w:color w:val="auto"/>
              </w:rPr>
            </w:pPr>
            <w:r>
              <w:rPr>
                <w:rFonts w:ascii="Arial" w:cs="Arial" w:eastAsia="Arial" w:hAnsi="Arial"/>
                <w:sz w:val="15"/>
                <w:szCs w:val="15"/>
                <w:b w:val="1"/>
                <w:bCs w:val="1"/>
                <w:color w:val="auto"/>
                <w:w w:val="90"/>
              </w:rPr>
              <w:t>December 31,</w:t>
            </w:r>
          </w:p>
        </w:tc>
        <w:tc>
          <w:tcPr>
            <w:tcW w:w="160" w:type="dxa"/>
            <w:vAlign w:val="bottom"/>
          </w:tcPr>
          <w:p>
            <w:pPr>
              <w:spacing w:after="0"/>
              <w:rPr>
                <w:sz w:val="13"/>
                <w:szCs w:val="13"/>
                <w:color w:val="auto"/>
              </w:rPr>
            </w:pPr>
          </w:p>
        </w:tc>
        <w:tc>
          <w:tcPr>
            <w:tcW w:w="1200" w:type="dxa"/>
            <w:vAlign w:val="bottom"/>
          </w:tcPr>
          <w:p>
            <w:pPr>
              <w:jc w:val="right"/>
              <w:ind w:right="165"/>
              <w:spacing w:after="0" w:line="159" w:lineRule="exact"/>
              <w:rPr>
                <w:sz w:val="20"/>
                <w:szCs w:val="20"/>
                <w:color w:val="auto"/>
              </w:rPr>
            </w:pPr>
            <w:r>
              <w:rPr>
                <w:rFonts w:ascii="Arial" w:cs="Arial" w:eastAsia="Arial" w:hAnsi="Arial"/>
                <w:sz w:val="15"/>
                <w:szCs w:val="15"/>
                <w:b w:val="1"/>
                <w:bCs w:val="1"/>
                <w:color w:val="auto"/>
                <w:w w:val="96"/>
              </w:rPr>
              <w:t>December 31,</w:t>
            </w:r>
          </w:p>
        </w:tc>
        <w:tc>
          <w:tcPr>
            <w:tcW w:w="100" w:type="dxa"/>
            <w:vAlign w:val="bottom"/>
          </w:tcPr>
          <w:p>
            <w:pPr>
              <w:spacing w:after="0"/>
              <w:rPr>
                <w:sz w:val="13"/>
                <w:szCs w:val="13"/>
                <w:color w:val="auto"/>
              </w:rPr>
            </w:pPr>
          </w:p>
        </w:tc>
      </w:tr>
      <w:tr>
        <w:trPr>
          <w:trHeight w:val="195"/>
        </w:trPr>
        <w:tc>
          <w:tcPr>
            <w:tcW w:w="4600" w:type="dxa"/>
            <w:vAlign w:val="bottom"/>
            <w:gridSpan w:val="2"/>
          </w:tcPr>
          <w:p>
            <w:pPr>
              <w:spacing w:after="0"/>
              <w:rPr>
                <w:sz w:val="20"/>
                <w:szCs w:val="20"/>
                <w:color w:val="auto"/>
              </w:rPr>
            </w:pPr>
            <w:r>
              <w:rPr>
                <w:rFonts w:ascii="Arial" w:cs="Arial" w:eastAsia="Arial" w:hAnsi="Arial"/>
                <w:sz w:val="15"/>
                <w:szCs w:val="15"/>
                <w:b w:val="1"/>
                <w:bCs w:val="1"/>
                <w:color w:val="auto"/>
              </w:rPr>
              <w:t>Basic and diluted</w:t>
            </w:r>
          </w:p>
        </w:tc>
        <w:tc>
          <w:tcPr>
            <w:tcW w:w="160" w:type="dxa"/>
            <w:vAlign w:val="bottom"/>
          </w:tcPr>
          <w:p>
            <w:pPr>
              <w:spacing w:after="0"/>
              <w:rPr>
                <w:sz w:val="16"/>
                <w:szCs w:val="16"/>
                <w:color w:val="auto"/>
              </w:rPr>
            </w:pPr>
          </w:p>
        </w:tc>
        <w:tc>
          <w:tcPr>
            <w:tcW w:w="1200" w:type="dxa"/>
            <w:vAlign w:val="bottom"/>
          </w:tcPr>
          <w:p>
            <w:pPr>
              <w:jc w:val="right"/>
              <w:ind w:right="465"/>
              <w:spacing w:after="0"/>
              <w:rPr>
                <w:sz w:val="20"/>
                <w:szCs w:val="20"/>
                <w:color w:val="auto"/>
              </w:rPr>
            </w:pPr>
            <w:r>
              <w:rPr>
                <w:rFonts w:ascii="Arial" w:cs="Arial" w:eastAsia="Arial" w:hAnsi="Arial"/>
                <w:sz w:val="15"/>
                <w:szCs w:val="15"/>
                <w:b w:val="1"/>
                <w:bCs w:val="1"/>
                <w:color w:val="auto"/>
              </w:rPr>
              <w:t>2013</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center"/>
              <w:ind w:right="5"/>
              <w:spacing w:after="0"/>
              <w:rPr>
                <w:sz w:val="20"/>
                <w:szCs w:val="20"/>
                <w:color w:val="auto"/>
              </w:rPr>
            </w:pPr>
            <w:r>
              <w:rPr>
                <w:rFonts w:ascii="Arial" w:cs="Arial" w:eastAsia="Arial" w:hAnsi="Arial"/>
                <w:sz w:val="15"/>
                <w:szCs w:val="15"/>
                <w:b w:val="1"/>
                <w:bCs w:val="1"/>
                <w:color w:val="auto"/>
                <w:w w:val="89"/>
              </w:rPr>
              <w:t>2012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65"/>
              <w:spacing w:after="0"/>
              <w:rPr>
                <w:sz w:val="20"/>
                <w:szCs w:val="20"/>
                <w:color w:val="auto"/>
              </w:rPr>
            </w:pPr>
            <w:r>
              <w:rPr>
                <w:rFonts w:ascii="Arial" w:cs="Arial" w:eastAsia="Arial" w:hAnsi="Arial"/>
                <w:sz w:val="15"/>
                <w:szCs w:val="15"/>
                <w:b w:val="1"/>
                <w:bCs w:val="1"/>
                <w:color w:val="auto"/>
              </w:rPr>
              <w:t>2011</w:t>
            </w:r>
          </w:p>
        </w:tc>
        <w:tc>
          <w:tcPr>
            <w:tcW w:w="100" w:type="dxa"/>
            <w:vAlign w:val="bottom"/>
          </w:tcPr>
          <w:p>
            <w:pPr>
              <w:spacing w:after="0"/>
              <w:rPr>
                <w:sz w:val="16"/>
                <w:szCs w:val="16"/>
                <w:color w:val="auto"/>
              </w:rPr>
            </w:pPr>
          </w:p>
        </w:tc>
      </w:tr>
      <w:tr>
        <w:trPr>
          <w:trHeight w:val="173"/>
        </w:trPr>
        <w:tc>
          <w:tcPr>
            <w:tcW w:w="45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5"/>
                <w:szCs w:val="15"/>
                <w:color w:val="auto"/>
              </w:rPr>
              <w:t>Net increase in net assets from operations</w:t>
            </w:r>
          </w:p>
        </w:tc>
        <w:tc>
          <w:tcPr>
            <w:tcW w:w="100" w:type="dxa"/>
            <w:vAlign w:val="bottom"/>
            <w:tcBorders>
              <w:top w:val="single" w:sz="8" w:color="CCFFCC"/>
            </w:tcBorders>
            <w:shd w:val="clear" w:color="auto" w:fill="CCFFCC"/>
          </w:tcPr>
          <w:p>
            <w:pPr>
              <w:spacing w:after="0"/>
              <w:rPr>
                <w:sz w:val="15"/>
                <w:szCs w:val="15"/>
                <w:color w:val="auto"/>
              </w:rPr>
            </w:pPr>
          </w:p>
        </w:tc>
        <w:tc>
          <w:tcPr>
            <w:tcW w:w="160" w:type="dxa"/>
            <w:vAlign w:val="bottom"/>
            <w:tcBorders>
              <w:top w:val="single" w:sz="8" w:color="auto"/>
            </w:tcBorders>
            <w:shd w:val="clear" w:color="auto" w:fill="CCFFCC"/>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28,858</w:t>
            </w:r>
          </w:p>
        </w:tc>
        <w:tc>
          <w:tcPr>
            <w:tcW w:w="18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49,570</w:t>
            </w:r>
          </w:p>
        </w:tc>
        <w:tc>
          <w:tcPr>
            <w:tcW w:w="180" w:type="dxa"/>
            <w:vAlign w:val="bottom"/>
            <w:tcBorders>
              <w:top w:val="single" w:sz="8" w:color="CCFFCC"/>
            </w:tcBorders>
            <w:shd w:val="clear" w:color="auto" w:fill="CCFFCC"/>
          </w:tcPr>
          <w:p>
            <w:pPr>
              <w:spacing w:after="0"/>
              <w:rPr>
                <w:sz w:val="15"/>
                <w:szCs w:val="15"/>
                <w:color w:val="auto"/>
              </w:rPr>
            </w:pPr>
          </w:p>
        </w:tc>
        <w:tc>
          <w:tcPr>
            <w:tcW w:w="160" w:type="dxa"/>
            <w:vAlign w:val="bottom"/>
            <w:tcBorders>
              <w:top w:val="single" w:sz="8" w:color="auto"/>
            </w:tcBorders>
            <w:shd w:val="clear" w:color="auto" w:fill="CCFFCC"/>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25,337</w:t>
            </w:r>
          </w:p>
        </w:tc>
        <w:tc>
          <w:tcPr>
            <w:tcW w:w="100" w:type="dxa"/>
            <w:vAlign w:val="bottom"/>
            <w:tcBorders>
              <w:top w:val="single" w:sz="8" w:color="CCFFCC"/>
            </w:tcBorders>
            <w:shd w:val="clear" w:color="auto" w:fill="CCFFCC"/>
          </w:tcPr>
          <w:p>
            <w:pPr>
              <w:spacing w:after="0"/>
              <w:rPr>
                <w:sz w:val="15"/>
                <w:szCs w:val="15"/>
                <w:color w:val="auto"/>
              </w:rPr>
            </w:pPr>
          </w:p>
        </w:tc>
      </w:tr>
      <w:tr>
        <w:trPr>
          <w:trHeight w:val="181"/>
        </w:trPr>
        <w:tc>
          <w:tcPr>
            <w:tcW w:w="4600" w:type="dxa"/>
            <w:vAlign w:val="bottom"/>
            <w:gridSpan w:val="2"/>
          </w:tcPr>
          <w:p>
            <w:pPr>
              <w:spacing w:after="0"/>
              <w:rPr>
                <w:sz w:val="20"/>
                <w:szCs w:val="20"/>
                <w:color w:val="auto"/>
              </w:rPr>
            </w:pPr>
            <w:r>
              <w:rPr>
                <w:rFonts w:ascii="Arial" w:cs="Arial" w:eastAsia="Arial" w:hAnsi="Arial"/>
                <w:sz w:val="15"/>
                <w:szCs w:val="15"/>
                <w:color w:val="auto"/>
              </w:rPr>
              <w:t>Weighted average common shares outstanding</w:t>
            </w:r>
          </w:p>
        </w:tc>
        <w:tc>
          <w:tcPr>
            <w:tcW w:w="16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12,974,420</w:t>
            </w:r>
          </w:p>
        </w:tc>
        <w:tc>
          <w:tcPr>
            <w:tcW w:w="80" w:type="dxa"/>
            <w:vAlign w:val="bottom"/>
          </w:tcPr>
          <w:p>
            <w:pPr>
              <w:spacing w:after="0"/>
              <w:rPr>
                <w:sz w:val="15"/>
                <w:szCs w:val="15"/>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5"/>
                <w:szCs w:val="15"/>
                <w:color w:val="auto"/>
              </w:rPr>
              <w:t>N/A</w:t>
            </w:r>
          </w:p>
        </w:tc>
        <w:tc>
          <w:tcPr>
            <w:tcW w:w="16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N/A</w:t>
            </w:r>
          </w:p>
        </w:tc>
      </w:tr>
      <w:tr>
        <w:trPr>
          <w:trHeight w:val="181"/>
        </w:trPr>
        <w:tc>
          <w:tcPr>
            <w:tcW w:w="4600" w:type="dxa"/>
            <w:vAlign w:val="bottom"/>
            <w:gridSpan w:val="2"/>
            <w:shd w:val="clear" w:color="auto" w:fill="CCFFCC"/>
          </w:tcPr>
          <w:p>
            <w:pPr>
              <w:spacing w:after="0"/>
              <w:rPr>
                <w:sz w:val="20"/>
                <w:szCs w:val="20"/>
                <w:color w:val="auto"/>
              </w:rPr>
            </w:pPr>
            <w:r>
              <w:rPr>
                <w:rFonts w:ascii="Arial" w:cs="Arial" w:eastAsia="Arial" w:hAnsi="Arial"/>
                <w:sz w:val="15"/>
                <w:szCs w:val="15"/>
                <w:color w:val="auto"/>
                <w:w w:val="98"/>
              </w:rPr>
              <w:t>Net increase in net assets per share from operations-basic and diluted</w:t>
            </w:r>
          </w:p>
        </w:tc>
        <w:tc>
          <w:tcPr>
            <w:tcW w:w="160" w:type="dxa"/>
            <w:vAlign w:val="bottom"/>
            <w:shd w:val="clear" w:color="auto" w:fill="CCFFCC"/>
          </w:tcPr>
          <w:p>
            <w:pPr>
              <w:jc w:val="right"/>
              <w:ind w:right="52"/>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2.22</w:t>
            </w:r>
          </w:p>
        </w:tc>
        <w:tc>
          <w:tcPr>
            <w:tcW w:w="80" w:type="dxa"/>
            <w:vAlign w:val="bottom"/>
            <w:shd w:val="clear" w:color="auto" w:fill="CCFFCC"/>
          </w:tcPr>
          <w:p>
            <w:pPr>
              <w:spacing w:after="0"/>
              <w:rPr>
                <w:sz w:val="15"/>
                <w:szCs w:val="15"/>
                <w:color w:val="auto"/>
              </w:rPr>
            </w:pPr>
          </w:p>
        </w:tc>
        <w:tc>
          <w:tcPr>
            <w:tcW w:w="148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N/A</w:t>
            </w:r>
          </w:p>
        </w:tc>
        <w:tc>
          <w:tcPr>
            <w:tcW w:w="160" w:type="dxa"/>
            <w:vAlign w:val="bottom"/>
            <w:shd w:val="clear" w:color="auto" w:fill="CCFFCC"/>
          </w:tcPr>
          <w:p>
            <w:pPr>
              <w:spacing w:after="0"/>
              <w:rPr>
                <w:sz w:val="15"/>
                <w:szCs w:val="15"/>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N/A</w:t>
            </w:r>
          </w:p>
        </w:tc>
      </w:tr>
    </w:tbl>
    <w:p>
      <w:pPr>
        <w:spacing w:after="0" w:line="166"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Note 12. Dividend</w:t>
      </w:r>
    </w:p>
    <w:p>
      <w:pPr>
        <w:spacing w:after="0" w:line="193" w:lineRule="exact"/>
        <w:rPr>
          <w:sz w:val="20"/>
          <w:szCs w:val="20"/>
          <w:color w:val="auto"/>
        </w:rPr>
      </w:pPr>
    </w:p>
    <w:p>
      <w:pPr>
        <w:ind w:left="10" w:right="20" w:firstLine="738"/>
        <w:spacing w:after="0" w:line="276" w:lineRule="auto"/>
        <w:rPr>
          <w:sz w:val="20"/>
          <w:szCs w:val="20"/>
          <w:color w:val="auto"/>
        </w:rPr>
      </w:pPr>
      <w:r>
        <w:rPr>
          <w:rFonts w:ascii="Arial" w:cs="Arial" w:eastAsia="Arial" w:hAnsi="Arial"/>
          <w:sz w:val="15"/>
          <w:szCs w:val="15"/>
          <w:color w:val="auto"/>
        </w:rPr>
        <w:t>The Company’s dividends and distributions are recorded on the record date. Shareholders have the option to receive payment of the dividend in cash, shares of common stock, or a combination of cash and common stock.</w:t>
      </w:r>
    </w:p>
    <w:p>
      <w:pPr>
        <w:spacing w:after="0" w:line="146" w:lineRule="exact"/>
        <w:rPr>
          <w:sz w:val="20"/>
          <w:szCs w:val="20"/>
          <w:color w:val="auto"/>
        </w:rPr>
      </w:pPr>
    </w:p>
    <w:p>
      <w:pPr>
        <w:ind w:left="550"/>
        <w:spacing w:after="0"/>
        <w:rPr>
          <w:sz w:val="20"/>
          <w:szCs w:val="20"/>
          <w:color w:val="auto"/>
        </w:rPr>
      </w:pPr>
      <w:r>
        <w:rPr>
          <w:rFonts w:ascii="Arial" w:cs="Arial" w:eastAsia="Arial" w:hAnsi="Arial"/>
          <w:sz w:val="15"/>
          <w:szCs w:val="15"/>
          <w:color w:val="auto"/>
        </w:rPr>
        <w:t>The following table summarizes the Company’s dividend declarations and distributions during the year ended December 31, 2013:</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10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Amount</w:t>
            </w:r>
          </w:p>
        </w:tc>
        <w:tc>
          <w:tcPr>
            <w:tcW w:w="0" w:type="dxa"/>
            <w:vAlign w:val="bottom"/>
          </w:tcPr>
          <w:p>
            <w:pPr>
              <w:spacing w:after="0"/>
              <w:rPr>
                <w:sz w:val="1"/>
                <w:szCs w:val="1"/>
                <w:color w:val="auto"/>
              </w:rPr>
            </w:pPr>
          </w:p>
        </w:tc>
      </w:tr>
      <w:tr>
        <w:trPr>
          <w:trHeight w:val="195"/>
        </w:trPr>
        <w:tc>
          <w:tcPr>
            <w:tcW w:w="4040" w:type="dxa"/>
            <w:vAlign w:val="bottom"/>
            <w:gridSpan w:val="3"/>
          </w:tcPr>
          <w:p>
            <w:pPr>
              <w:ind w:left="1020"/>
              <w:spacing w:after="0"/>
              <w:rPr>
                <w:sz w:val="20"/>
                <w:szCs w:val="20"/>
                <w:color w:val="auto"/>
              </w:rPr>
            </w:pPr>
            <w:r>
              <w:rPr>
                <w:rFonts w:ascii="Arial" w:cs="Arial" w:eastAsia="Arial" w:hAnsi="Arial"/>
                <w:sz w:val="15"/>
                <w:szCs w:val="15"/>
                <w:b w:val="1"/>
                <w:bCs w:val="1"/>
                <w:color w:val="auto"/>
              </w:rPr>
              <w:t>Date Declared</w:t>
            </w:r>
          </w:p>
        </w:tc>
        <w:tc>
          <w:tcPr>
            <w:tcW w:w="23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Record Date</w:t>
            </w:r>
          </w:p>
        </w:tc>
        <w:tc>
          <w:tcPr>
            <w:tcW w:w="2800" w:type="dxa"/>
            <w:vAlign w:val="bottom"/>
          </w:tcPr>
          <w:p>
            <w:pPr>
              <w:jc w:val="right"/>
              <w:ind w:right="885"/>
              <w:spacing w:after="0"/>
              <w:rPr>
                <w:sz w:val="20"/>
                <w:szCs w:val="20"/>
                <w:color w:val="auto"/>
              </w:rPr>
            </w:pPr>
            <w:r>
              <w:rPr>
                <w:rFonts w:ascii="Arial" w:cs="Arial" w:eastAsia="Arial" w:hAnsi="Arial"/>
                <w:sz w:val="15"/>
                <w:szCs w:val="15"/>
                <w:b w:val="1"/>
                <w:bCs w:val="1"/>
                <w:color w:val="auto"/>
              </w:rPr>
              <w:t>Payment Date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Per Share</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40" w:type="dxa"/>
            <w:vAlign w:val="bottom"/>
          </w:tcPr>
          <w:p>
            <w:pPr>
              <w:spacing w:after="0"/>
              <w:rPr>
                <w:sz w:val="16"/>
                <w:szCs w:val="16"/>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5"/>
                <w:szCs w:val="15"/>
                <w:color w:val="auto"/>
              </w:rPr>
              <w:t>November 11, 2013</w:t>
            </w:r>
          </w:p>
        </w:tc>
        <w:tc>
          <w:tcPr>
            <w:tcW w:w="100" w:type="dxa"/>
            <w:vAlign w:val="bottom"/>
            <w:vMerge w:val="continue"/>
            <w:shd w:val="clear" w:color="auto" w:fill="CCFFCC"/>
          </w:tcPr>
          <w:p>
            <w:pPr>
              <w:spacing w:after="0"/>
              <w:rPr>
                <w:sz w:val="16"/>
                <w:szCs w:val="16"/>
                <w:color w:val="auto"/>
              </w:rPr>
            </w:pPr>
          </w:p>
        </w:tc>
        <w:tc>
          <w:tcPr>
            <w:tcW w:w="2260" w:type="dxa"/>
            <w:vAlign w:val="bottom"/>
            <w:shd w:val="clear" w:color="auto" w:fill="CCFFCC"/>
          </w:tcPr>
          <w:p>
            <w:pPr>
              <w:jc w:val="center"/>
              <w:spacing w:after="0"/>
              <w:rPr>
                <w:sz w:val="20"/>
                <w:szCs w:val="20"/>
                <w:color w:val="auto"/>
              </w:rPr>
            </w:pPr>
            <w:r>
              <w:rPr>
                <w:rFonts w:ascii="Arial" w:cs="Arial" w:eastAsia="Arial" w:hAnsi="Arial"/>
                <w:sz w:val="15"/>
                <w:szCs w:val="15"/>
                <w:color w:val="auto"/>
                <w:w w:val="91"/>
              </w:rPr>
              <w:t>December 10, 2013</w:t>
            </w:r>
          </w:p>
        </w:tc>
        <w:tc>
          <w:tcPr>
            <w:tcW w:w="100" w:type="dxa"/>
            <w:vAlign w:val="bottom"/>
            <w:vMerge w:val="continue"/>
            <w:shd w:val="clear" w:color="auto" w:fill="CCFFCC"/>
          </w:tcPr>
          <w:p>
            <w:pPr>
              <w:spacing w:after="0"/>
              <w:rPr>
                <w:sz w:val="16"/>
                <w:szCs w:val="16"/>
                <w:color w:val="auto"/>
              </w:rPr>
            </w:pPr>
          </w:p>
        </w:tc>
        <w:tc>
          <w:tcPr>
            <w:tcW w:w="28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December 30, 2013</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0.47</w:t>
            </w:r>
          </w:p>
        </w:tc>
        <w:tc>
          <w:tcPr>
            <w:tcW w:w="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vMerge w:val="restart"/>
          </w:tcPr>
          <w:p>
            <w:pPr>
              <w:jc w:val="right"/>
              <w:spacing w:after="0"/>
              <w:rPr>
                <w:sz w:val="20"/>
                <w:szCs w:val="20"/>
                <w:color w:val="auto"/>
              </w:rPr>
            </w:pPr>
            <w:r>
              <w:rPr>
                <w:rFonts w:ascii="Arial" w:cs="Arial" w:eastAsia="Arial" w:hAnsi="Arial"/>
                <w:sz w:val="15"/>
                <w:szCs w:val="15"/>
                <w:color w:val="auto"/>
              </w:rPr>
              <w:t>Total Dividends Declared</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vMerge w:val="continue"/>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0.47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Note 13. Financial Highlights</w:t>
            </w: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040" w:type="dxa"/>
            <w:vAlign w:val="bottom"/>
            <w:gridSpan w:val="3"/>
            <w:vMerge w:val="continue"/>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730"/>
        <w:spacing w:after="0"/>
        <w:rPr>
          <w:sz w:val="20"/>
          <w:szCs w:val="20"/>
          <w:color w:val="auto"/>
        </w:rPr>
      </w:pPr>
      <w:r>
        <w:rPr>
          <w:rFonts w:ascii="Arial" w:cs="Arial" w:eastAsia="Arial" w:hAnsi="Arial"/>
          <w:sz w:val="15"/>
          <w:szCs w:val="15"/>
          <w:color w:val="auto"/>
        </w:rPr>
        <w:t>The following is a schedule of financial highlights for the year ended December 31, 2013 (dollars in thousands, except share and per share data):</w:t>
      </w:r>
    </w:p>
    <w:p>
      <w:pPr>
        <w:spacing w:after="0" w:line="185" w:lineRule="exact"/>
        <w:rPr>
          <w:sz w:val="20"/>
          <w:szCs w:val="20"/>
          <w:color w:val="auto"/>
        </w:rPr>
      </w:pPr>
    </w:p>
    <w:tbl>
      <w:tblPr>
        <w:tblLayout w:type="fixed"/>
        <w:tblInd w:w="143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w w:val="99"/>
              </w:rPr>
              <w:t>Year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5"/>
                <w:szCs w:val="15"/>
                <w:b w:val="1"/>
                <w:bCs w:val="1"/>
                <w:color w:val="auto"/>
                <w:w w:val="90"/>
              </w:rPr>
              <w:t>December 31, 2013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5"/>
                <w:szCs w:val="15"/>
                <w:color w:val="auto"/>
              </w:rPr>
              <w:t>Per share data:</w:t>
            </w:r>
          </w:p>
        </w:tc>
        <w:tc>
          <w:tcPr>
            <w:tcW w:w="920" w:type="dxa"/>
            <w:vAlign w:val="bottom"/>
            <w:tcBorders>
              <w:top w:val="single" w:sz="8" w:color="CCFFCC"/>
            </w:tcBorders>
            <w:shd w:val="clear" w:color="auto" w:fill="CCFFCC"/>
          </w:tcPr>
          <w:p>
            <w:pPr>
              <w:spacing w:after="0"/>
              <w:rPr>
                <w:sz w:val="15"/>
                <w:szCs w:val="15"/>
                <w:color w:val="auto"/>
              </w:rPr>
            </w:pPr>
          </w:p>
        </w:tc>
        <w:tc>
          <w:tcPr>
            <w:tcW w:w="160" w:type="dxa"/>
            <w:vAlign w:val="bottom"/>
            <w:tcBorders>
              <w:top w:val="single" w:sz="8" w:color="auto"/>
            </w:tcBorders>
            <w:shd w:val="clear" w:color="auto" w:fill="CCFFCC"/>
          </w:tcPr>
          <w:p>
            <w:pPr>
              <w:spacing w:after="0"/>
              <w:rPr>
                <w:sz w:val="15"/>
                <w:szCs w:val="15"/>
                <w:color w:val="auto"/>
              </w:rPr>
            </w:pPr>
          </w:p>
        </w:tc>
        <w:tc>
          <w:tcPr>
            <w:tcW w:w="1120" w:type="dxa"/>
            <w:vAlign w:val="bottom"/>
            <w:tcBorders>
              <w:top w:val="single" w:sz="8" w:color="auto"/>
            </w:tcBorders>
            <w:shd w:val="clear" w:color="auto" w:fill="CCFFCC"/>
          </w:tcPr>
          <w:p>
            <w:pPr>
              <w:spacing w:after="0"/>
              <w:rPr>
                <w:sz w:val="15"/>
                <w:szCs w:val="15"/>
                <w:color w:val="auto"/>
              </w:rPr>
            </w:pPr>
          </w:p>
        </w:tc>
        <w:tc>
          <w:tcPr>
            <w:tcW w:w="14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40" w:type="dxa"/>
            <w:vAlign w:val="bottom"/>
          </w:tcPr>
          <w:p>
            <w:pPr>
              <w:spacing w:after="0"/>
              <w:rPr>
                <w:sz w:val="20"/>
                <w:szCs w:val="20"/>
                <w:color w:val="auto"/>
              </w:rPr>
            </w:pPr>
            <w:r>
              <w:rPr>
                <w:rFonts w:ascii="Arial" w:cs="Arial" w:eastAsia="Arial" w:hAnsi="Arial"/>
                <w:sz w:val="15"/>
                <w:szCs w:val="15"/>
                <w:color w:val="auto"/>
              </w:rPr>
              <w:t>Net asset value at beginning of period(1)</w:t>
            </w:r>
          </w:p>
        </w:tc>
        <w:tc>
          <w:tcPr>
            <w:tcW w:w="108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17.61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4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240" w:type="dxa"/>
            <w:vAlign w:val="bottom"/>
          </w:tcPr>
          <w:p>
            <w:pPr>
              <w:spacing w:after="0"/>
              <w:rPr>
                <w:sz w:val="20"/>
                <w:szCs w:val="20"/>
                <w:color w:val="auto"/>
              </w:rPr>
            </w:pPr>
            <w:r>
              <w:rPr>
                <w:rFonts w:ascii="Arial" w:cs="Arial" w:eastAsia="Arial" w:hAnsi="Arial"/>
                <w:sz w:val="15"/>
                <w:szCs w:val="15"/>
                <w:color w:val="auto"/>
              </w:rPr>
              <w:t>Net investment income(2)</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40" w:type="dxa"/>
            <w:vAlign w:val="bottom"/>
            <w:shd w:val="clear" w:color="auto" w:fill="CCFFCC"/>
          </w:tcPr>
          <w:p>
            <w:pPr>
              <w:spacing w:after="0"/>
              <w:rPr>
                <w:sz w:val="20"/>
                <w:szCs w:val="20"/>
                <w:color w:val="auto"/>
              </w:rPr>
            </w:pPr>
            <w:r>
              <w:rPr>
                <w:rFonts w:ascii="Arial" w:cs="Arial" w:eastAsia="Arial" w:hAnsi="Arial"/>
                <w:sz w:val="15"/>
                <w:szCs w:val="15"/>
                <w:color w:val="auto"/>
              </w:rPr>
              <w:t>Net realized gain on investments</w:t>
            </w:r>
          </w:p>
        </w:tc>
        <w:tc>
          <w:tcPr>
            <w:tcW w:w="9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0.17</w:t>
            </w:r>
          </w:p>
        </w:tc>
        <w:tc>
          <w:tcPr>
            <w:tcW w:w="14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40" w:type="dxa"/>
            <w:vAlign w:val="bottom"/>
            <w:tcBorders>
              <w:bottom w:val="single" w:sz="8" w:color="CCFFCC"/>
            </w:tcBorders>
          </w:tcPr>
          <w:p>
            <w:pPr>
              <w:spacing w:after="0"/>
              <w:rPr>
                <w:sz w:val="20"/>
                <w:szCs w:val="20"/>
                <w:color w:val="auto"/>
              </w:rPr>
            </w:pPr>
            <w:r>
              <w:rPr>
                <w:rFonts w:ascii="Arial" w:cs="Arial" w:eastAsia="Arial" w:hAnsi="Arial"/>
                <w:sz w:val="15"/>
                <w:szCs w:val="15"/>
                <w:color w:val="auto"/>
              </w:rPr>
              <w:t>Net unrealized appreciation on investments</w:t>
            </w:r>
          </w:p>
        </w:tc>
        <w:tc>
          <w:tcPr>
            <w:tcW w:w="920" w:type="dxa"/>
            <w:vAlign w:val="bottom"/>
            <w:tcBorders>
              <w:bottom w:val="single" w:sz="8" w:color="CCFFC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0.55</w:t>
            </w:r>
          </w:p>
        </w:tc>
        <w:tc>
          <w:tcPr>
            <w:tcW w:w="140" w:type="dxa"/>
            <w:vAlign w:val="bottom"/>
            <w:tcBorders>
              <w:bottom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40" w:type="dxa"/>
            <w:vAlign w:val="bottom"/>
            <w:shd w:val="clear" w:color="auto" w:fill="CCFFCC"/>
          </w:tcPr>
          <w:p>
            <w:pPr>
              <w:spacing w:after="0"/>
              <w:rPr>
                <w:sz w:val="20"/>
                <w:szCs w:val="20"/>
                <w:color w:val="auto"/>
              </w:rPr>
            </w:pPr>
            <w:r>
              <w:rPr>
                <w:rFonts w:ascii="Arial" w:cs="Arial" w:eastAsia="Arial" w:hAnsi="Arial"/>
                <w:sz w:val="15"/>
                <w:szCs w:val="15"/>
                <w:color w:val="auto"/>
              </w:rPr>
              <w:t>Net increase in net assets from operations</w:t>
            </w:r>
          </w:p>
        </w:tc>
        <w:tc>
          <w:tcPr>
            <w:tcW w:w="920" w:type="dxa"/>
            <w:vAlign w:val="bottom"/>
            <w:shd w:val="clear" w:color="auto" w:fill="CCFFCC"/>
          </w:tcPr>
          <w:p>
            <w:pPr>
              <w:spacing w:after="0"/>
              <w:rPr>
                <w:sz w:val="15"/>
                <w:szCs w:val="15"/>
                <w:color w:val="auto"/>
              </w:rPr>
            </w:pPr>
          </w:p>
        </w:tc>
        <w:tc>
          <w:tcPr>
            <w:tcW w:w="160" w:type="dxa"/>
            <w:vAlign w:val="bottom"/>
            <w:tcBorders>
              <w:bottom w:val="single" w:sz="8" w:color="auto"/>
            </w:tcBorders>
            <w:shd w:val="clear" w:color="auto" w:fill="CCFFCC"/>
          </w:tcPr>
          <w:p>
            <w:pPr>
              <w:spacing w:after="0"/>
              <w:rPr>
                <w:sz w:val="15"/>
                <w:szCs w:val="15"/>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2.22</w:t>
            </w:r>
          </w:p>
        </w:tc>
        <w:tc>
          <w:tcPr>
            <w:tcW w:w="14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240" w:type="dxa"/>
            <w:vAlign w:val="bottom"/>
            <w:shd w:val="clear" w:color="auto" w:fill="CCFFCC"/>
          </w:tcPr>
          <w:p>
            <w:pPr>
              <w:spacing w:after="0"/>
              <w:rPr>
                <w:sz w:val="20"/>
                <w:szCs w:val="20"/>
                <w:color w:val="auto"/>
              </w:rPr>
            </w:pPr>
            <w:r>
              <w:rPr>
                <w:rFonts w:ascii="Arial" w:cs="Arial" w:eastAsia="Arial" w:hAnsi="Arial"/>
                <w:sz w:val="15"/>
                <w:szCs w:val="15"/>
                <w:color w:val="auto"/>
              </w:rPr>
              <w:t>Dividends declared from net investment income</w:t>
            </w:r>
          </w:p>
        </w:tc>
        <w:tc>
          <w:tcPr>
            <w:tcW w:w="9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(0.47)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40" w:type="dxa"/>
            <w:vAlign w:val="bottom"/>
          </w:tcPr>
          <w:p>
            <w:pPr>
              <w:spacing w:after="0"/>
              <w:rPr>
                <w:sz w:val="20"/>
                <w:szCs w:val="20"/>
                <w:color w:val="auto"/>
              </w:rPr>
            </w:pPr>
            <w:r>
              <w:rPr>
                <w:rFonts w:ascii="Arial" w:cs="Arial" w:eastAsia="Arial" w:hAnsi="Arial"/>
                <w:sz w:val="15"/>
                <w:szCs w:val="15"/>
                <w:color w:val="auto"/>
              </w:rPr>
              <w:t>Partners' capital contribution</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1.92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40" w:type="dxa"/>
            <w:vAlign w:val="bottom"/>
            <w:shd w:val="clear" w:color="auto" w:fill="CCFFCC"/>
          </w:tcPr>
          <w:p>
            <w:pPr>
              <w:spacing w:after="0"/>
              <w:rPr>
                <w:sz w:val="20"/>
                <w:szCs w:val="20"/>
                <w:color w:val="auto"/>
              </w:rPr>
            </w:pPr>
            <w:r>
              <w:rPr>
                <w:rFonts w:ascii="Arial" w:cs="Arial" w:eastAsia="Arial" w:hAnsi="Arial"/>
                <w:sz w:val="15"/>
                <w:szCs w:val="15"/>
                <w:color w:val="auto"/>
              </w:rPr>
              <w:t>Distribution to partners</w:t>
            </w:r>
          </w:p>
        </w:tc>
        <w:tc>
          <w:tcPr>
            <w:tcW w:w="9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(0.57)</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240" w:type="dxa"/>
            <w:vAlign w:val="bottom"/>
            <w:shd w:val="clear" w:color="auto" w:fill="CCFFCC"/>
          </w:tcPr>
          <w:p>
            <w:pPr>
              <w:spacing w:after="0"/>
              <w:rPr>
                <w:sz w:val="20"/>
                <w:szCs w:val="20"/>
                <w:color w:val="auto"/>
              </w:rPr>
            </w:pPr>
            <w:r>
              <w:rPr>
                <w:rFonts w:ascii="Arial" w:cs="Arial" w:eastAsia="Arial" w:hAnsi="Arial"/>
                <w:sz w:val="15"/>
                <w:szCs w:val="15"/>
                <w:color w:val="auto"/>
              </w:rPr>
              <w:t>Net asset value at end of period</w:t>
            </w:r>
          </w:p>
        </w:tc>
        <w:tc>
          <w:tcPr>
            <w:tcW w:w="1080" w:type="dxa"/>
            <w:vAlign w:val="bottom"/>
            <w:gridSpan w:val="2"/>
            <w:shd w:val="clear" w:color="auto" w:fill="CCFFCC"/>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20.71</w:t>
            </w:r>
          </w:p>
        </w:tc>
        <w:tc>
          <w:tcPr>
            <w:tcW w:w="14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40" w:type="dxa"/>
            <w:vAlign w:val="bottom"/>
          </w:tcPr>
          <w:p>
            <w:pPr>
              <w:spacing w:after="0"/>
              <w:rPr>
                <w:sz w:val="20"/>
                <w:szCs w:val="20"/>
                <w:color w:val="auto"/>
              </w:rPr>
            </w:pPr>
            <w:r>
              <w:rPr>
                <w:rFonts w:ascii="Arial" w:cs="Arial" w:eastAsia="Arial" w:hAnsi="Arial"/>
                <w:sz w:val="15"/>
                <w:szCs w:val="15"/>
                <w:color w:val="auto"/>
              </w:rPr>
              <w:t>Net assets at end of period</w:t>
            </w:r>
          </w:p>
        </w:tc>
        <w:tc>
          <w:tcPr>
            <w:tcW w:w="108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268,670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40" w:type="dxa"/>
            <w:vAlign w:val="bottom"/>
            <w:shd w:val="clear" w:color="auto" w:fill="CCFFCC"/>
          </w:tcPr>
          <w:p>
            <w:pPr>
              <w:spacing w:after="0"/>
              <w:rPr>
                <w:sz w:val="20"/>
                <w:szCs w:val="20"/>
                <w:color w:val="auto"/>
              </w:rPr>
            </w:pPr>
            <w:r>
              <w:rPr>
                <w:rFonts w:ascii="Arial" w:cs="Arial" w:eastAsia="Arial" w:hAnsi="Arial"/>
                <w:sz w:val="15"/>
                <w:szCs w:val="15"/>
                <w:color w:val="auto"/>
              </w:rPr>
              <w:t>Shares outstanding at end of period</w:t>
            </w:r>
          </w:p>
        </w:tc>
        <w:tc>
          <w:tcPr>
            <w:tcW w:w="9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12,974,420</w:t>
            </w:r>
          </w:p>
        </w:tc>
        <w:tc>
          <w:tcPr>
            <w:tcW w:w="14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40" w:type="dxa"/>
            <w:vAlign w:val="bottom"/>
          </w:tcPr>
          <w:p>
            <w:pPr>
              <w:spacing w:after="0"/>
              <w:rPr>
                <w:sz w:val="20"/>
                <w:szCs w:val="20"/>
                <w:color w:val="auto"/>
              </w:rPr>
            </w:pPr>
            <w:r>
              <w:rPr>
                <w:rFonts w:ascii="Arial" w:cs="Arial" w:eastAsia="Arial" w:hAnsi="Arial"/>
                <w:sz w:val="15"/>
                <w:szCs w:val="15"/>
                <w:color w:val="auto"/>
              </w:rPr>
              <w:t>Per share market value at end of period</w:t>
            </w:r>
          </w:p>
        </w:tc>
        <w:tc>
          <w:tcPr>
            <w:tcW w:w="108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19.90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40" w:type="dxa"/>
            <w:vAlign w:val="bottom"/>
            <w:shd w:val="clear" w:color="auto" w:fill="CCFFCC"/>
          </w:tcPr>
          <w:p>
            <w:pPr>
              <w:spacing w:after="0"/>
              <w:rPr>
                <w:sz w:val="20"/>
                <w:szCs w:val="20"/>
                <w:color w:val="auto"/>
              </w:rPr>
            </w:pPr>
            <w:r>
              <w:rPr>
                <w:rFonts w:ascii="Arial" w:cs="Arial" w:eastAsia="Arial" w:hAnsi="Arial"/>
                <w:sz w:val="15"/>
                <w:szCs w:val="15"/>
                <w:color w:val="auto"/>
              </w:rPr>
              <w:t>Total return based on market value(3)</w:t>
            </w:r>
          </w:p>
        </w:tc>
        <w:tc>
          <w:tcPr>
            <w:tcW w:w="9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40" w:type="dxa"/>
            <w:vAlign w:val="bottom"/>
          </w:tcPr>
          <w:p>
            <w:pPr>
              <w:spacing w:after="0"/>
              <w:rPr>
                <w:sz w:val="20"/>
                <w:szCs w:val="20"/>
                <w:color w:val="auto"/>
              </w:rPr>
            </w:pPr>
            <w:r>
              <w:rPr>
                <w:rFonts w:ascii="Arial" w:cs="Arial" w:eastAsia="Arial" w:hAnsi="Arial"/>
                <w:sz w:val="15"/>
                <w:szCs w:val="15"/>
                <w:b w:val="1"/>
                <w:bCs w:val="1"/>
                <w:color w:val="auto"/>
              </w:rPr>
              <w:t>Ratio/Supplemental data:</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40" w:type="dxa"/>
            <w:vAlign w:val="bottom"/>
            <w:shd w:val="clear" w:color="auto" w:fill="CCFFCC"/>
          </w:tcPr>
          <w:p>
            <w:pPr>
              <w:spacing w:after="0"/>
              <w:rPr>
                <w:sz w:val="20"/>
                <w:szCs w:val="20"/>
                <w:color w:val="auto"/>
              </w:rPr>
            </w:pPr>
            <w:r>
              <w:rPr>
                <w:rFonts w:ascii="Arial" w:cs="Arial" w:eastAsia="Arial" w:hAnsi="Arial"/>
                <w:sz w:val="15"/>
                <w:szCs w:val="15"/>
                <w:color w:val="auto"/>
              </w:rPr>
              <w:t>Ratio of net investment income to average net assets(1)</w:t>
            </w:r>
          </w:p>
        </w:tc>
        <w:tc>
          <w:tcPr>
            <w:tcW w:w="9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7.68%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40" w:type="dxa"/>
            <w:vAlign w:val="bottom"/>
          </w:tcPr>
          <w:p>
            <w:pPr>
              <w:spacing w:after="0"/>
              <w:rPr>
                <w:sz w:val="20"/>
                <w:szCs w:val="20"/>
                <w:color w:val="auto"/>
              </w:rPr>
            </w:pPr>
            <w:r>
              <w:rPr>
                <w:rFonts w:ascii="Arial" w:cs="Arial" w:eastAsia="Arial" w:hAnsi="Arial"/>
                <w:sz w:val="15"/>
                <w:szCs w:val="15"/>
                <w:color w:val="auto"/>
              </w:rPr>
              <w:t>Ratio of incentive fee to average net assets(1)</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5"/>
                <w:szCs w:val="15"/>
                <w:color w:val="auto"/>
              </w:rPr>
              <w:t>0.60%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40" w:type="dxa"/>
            <w:vAlign w:val="bottom"/>
            <w:shd w:val="clear" w:color="auto" w:fill="CCFFCC"/>
          </w:tcPr>
          <w:p>
            <w:pPr>
              <w:spacing w:after="0"/>
              <w:rPr>
                <w:sz w:val="20"/>
                <w:szCs w:val="20"/>
                <w:color w:val="auto"/>
              </w:rPr>
            </w:pPr>
            <w:r>
              <w:rPr>
                <w:rFonts w:ascii="Arial" w:cs="Arial" w:eastAsia="Arial" w:hAnsi="Arial"/>
                <w:sz w:val="15"/>
                <w:szCs w:val="15"/>
                <w:color w:val="auto"/>
              </w:rPr>
              <w:t>Ratio of debt related expenses to average net assets(1)</w:t>
            </w:r>
          </w:p>
        </w:tc>
        <w:tc>
          <w:tcPr>
            <w:tcW w:w="9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3.30%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40" w:type="dxa"/>
            <w:vAlign w:val="bottom"/>
          </w:tcPr>
          <w:p>
            <w:pPr>
              <w:spacing w:after="0"/>
              <w:rPr>
                <w:sz w:val="20"/>
                <w:szCs w:val="20"/>
                <w:color w:val="auto"/>
              </w:rPr>
            </w:pPr>
            <w:r>
              <w:rPr>
                <w:rFonts w:ascii="Arial" w:cs="Arial" w:eastAsia="Arial" w:hAnsi="Arial"/>
                <w:sz w:val="15"/>
                <w:szCs w:val="15"/>
                <w:color w:val="auto"/>
              </w:rPr>
              <w:t>Ratio of other operating expenses net of management fee waiver to average net assets(1)</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40" w:type="dxa"/>
            <w:vAlign w:val="bottom"/>
            <w:shd w:val="clear" w:color="auto" w:fill="CCFFCC"/>
          </w:tcPr>
          <w:p>
            <w:pPr>
              <w:spacing w:after="0"/>
              <w:rPr>
                <w:sz w:val="20"/>
                <w:szCs w:val="20"/>
                <w:color w:val="auto"/>
              </w:rPr>
            </w:pPr>
            <w:r>
              <w:rPr>
                <w:rFonts w:ascii="Arial" w:cs="Arial" w:eastAsia="Arial" w:hAnsi="Arial"/>
                <w:sz w:val="15"/>
                <w:szCs w:val="15"/>
                <w:color w:val="auto"/>
              </w:rPr>
              <w:t>Ratio of total expenses to average net assets(1)</w:t>
            </w:r>
          </w:p>
        </w:tc>
        <w:tc>
          <w:tcPr>
            <w:tcW w:w="9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6.28%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40" w:type="dxa"/>
            <w:vAlign w:val="bottom"/>
          </w:tcPr>
          <w:p>
            <w:pPr>
              <w:spacing w:after="0"/>
              <w:rPr>
                <w:sz w:val="20"/>
                <w:szCs w:val="20"/>
                <w:color w:val="auto"/>
              </w:rPr>
            </w:pPr>
            <w:r>
              <w:rPr>
                <w:rFonts w:ascii="Arial" w:cs="Arial" w:eastAsia="Arial" w:hAnsi="Arial"/>
                <w:sz w:val="15"/>
                <w:szCs w:val="15"/>
                <w:color w:val="auto"/>
              </w:rPr>
              <w:t>Portfolio turnover rate(4)</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5"/>
                <w:szCs w:val="15"/>
                <w:color w:val="auto"/>
              </w:rPr>
              <w:t>16.77%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40" w:type="dxa"/>
            <w:vAlign w:val="bottom"/>
            <w:shd w:val="clear" w:color="auto" w:fill="CCFFCC"/>
          </w:tcPr>
          <w:p>
            <w:pPr>
              <w:spacing w:after="0"/>
              <w:rPr>
                <w:sz w:val="20"/>
                <w:szCs w:val="20"/>
                <w:color w:val="auto"/>
              </w:rPr>
            </w:pPr>
            <w:r>
              <w:rPr>
                <w:rFonts w:ascii="Arial" w:cs="Arial" w:eastAsia="Arial" w:hAnsi="Arial"/>
                <w:sz w:val="15"/>
                <w:szCs w:val="15"/>
                <w:color w:val="auto"/>
              </w:rPr>
              <w:t>Average debt outstanding(5)</w:t>
            </w:r>
          </w:p>
        </w:tc>
        <w:tc>
          <w:tcPr>
            <w:tcW w:w="1080" w:type="dxa"/>
            <w:vAlign w:val="bottom"/>
            <w:gridSpan w:val="2"/>
            <w:shd w:val="clear" w:color="auto" w:fill="CCFFCC"/>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198,159</w:t>
            </w:r>
          </w:p>
        </w:tc>
        <w:tc>
          <w:tcPr>
            <w:tcW w:w="14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40" w:type="dxa"/>
            <w:vAlign w:val="bottom"/>
          </w:tcPr>
          <w:p>
            <w:pPr>
              <w:spacing w:after="0"/>
              <w:rPr>
                <w:sz w:val="20"/>
                <w:szCs w:val="20"/>
                <w:color w:val="auto"/>
              </w:rPr>
            </w:pPr>
            <w:r>
              <w:rPr>
                <w:rFonts w:ascii="Arial" w:cs="Arial" w:eastAsia="Arial" w:hAnsi="Arial"/>
                <w:sz w:val="15"/>
                <w:szCs w:val="15"/>
                <w:color w:val="auto"/>
              </w:rPr>
              <w:t>Average debt outstanding per common share</w:t>
            </w:r>
          </w:p>
        </w:tc>
        <w:tc>
          <w:tcPr>
            <w:tcW w:w="108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15.27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40" w:type="dxa"/>
            <w:vAlign w:val="bottom"/>
            <w:shd w:val="clear" w:color="auto" w:fill="CCFFCC"/>
          </w:tcPr>
          <w:p>
            <w:pPr>
              <w:spacing w:after="0"/>
              <w:rPr>
                <w:sz w:val="20"/>
                <w:szCs w:val="20"/>
                <w:color w:val="auto"/>
              </w:rPr>
            </w:pPr>
            <w:r>
              <w:rPr>
                <w:rFonts w:ascii="Arial" w:cs="Arial" w:eastAsia="Arial" w:hAnsi="Arial"/>
                <w:sz w:val="15"/>
                <w:szCs w:val="15"/>
                <w:color w:val="auto"/>
              </w:rPr>
              <w:t>Asset coverage ratio per unit(6)</w:t>
            </w:r>
          </w:p>
        </w:tc>
        <w:tc>
          <w:tcPr>
            <w:tcW w:w="1080" w:type="dxa"/>
            <w:vAlign w:val="bottom"/>
            <w:gridSpan w:val="2"/>
            <w:shd w:val="clear" w:color="auto" w:fill="CCFFCC"/>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2,376</w:t>
            </w:r>
          </w:p>
        </w:tc>
        <w:tc>
          <w:tcPr>
            <w:tcW w:w="14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70" w:right="60" w:hanging="370"/>
        <w:spacing w:after="0" w:line="258" w:lineRule="auto"/>
        <w:tabs>
          <w:tab w:leader="none" w:pos="370" w:val="left"/>
        </w:tabs>
        <w:numPr>
          <w:ilvl w:val="0"/>
          <w:numId w:val="61"/>
        </w:numPr>
        <w:rPr>
          <w:rFonts w:ascii="Arial" w:cs="Arial" w:eastAsia="Arial" w:hAnsi="Arial"/>
          <w:sz w:val="15"/>
          <w:szCs w:val="15"/>
          <w:color w:val="auto"/>
        </w:rPr>
      </w:pPr>
      <w:r>
        <w:rPr>
          <w:rFonts w:ascii="Arial" w:cs="Arial" w:eastAsia="Arial" w:hAnsi="Arial"/>
          <w:sz w:val="15"/>
          <w:szCs w:val="15"/>
          <w:color w:val="auto"/>
        </w:rPr>
        <w:t>Net asset value as of January 1, 2013 and average net assets for year ended December 31, 2013 are presented as if the Offering and Formation Transactions had occurred on January 1, 2013. See Note 2 for a further description of the basis of presentation of the Company’s financial statements.</w:t>
      </w:r>
    </w:p>
    <w:p>
      <w:pPr>
        <w:ind w:left="370" w:hanging="370"/>
        <w:spacing w:after="0"/>
        <w:tabs>
          <w:tab w:leader="none" w:pos="370" w:val="left"/>
        </w:tabs>
        <w:numPr>
          <w:ilvl w:val="0"/>
          <w:numId w:val="61"/>
        </w:numPr>
        <w:rPr>
          <w:rFonts w:ascii="Arial" w:cs="Arial" w:eastAsia="Arial" w:hAnsi="Arial"/>
          <w:sz w:val="15"/>
          <w:szCs w:val="15"/>
          <w:color w:val="auto"/>
        </w:rPr>
      </w:pPr>
      <w:r>
        <w:rPr>
          <w:rFonts w:ascii="Arial" w:cs="Arial" w:eastAsia="Arial" w:hAnsi="Arial"/>
          <w:sz w:val="15"/>
          <w:szCs w:val="15"/>
          <w:color w:val="auto"/>
        </w:rPr>
        <w:t>Net investment income per share is calculated using the weighted average shares outstanding during the period.</w:t>
      </w:r>
    </w:p>
    <w:p>
      <w:pPr>
        <w:spacing w:after="0" w:line="8" w:lineRule="exact"/>
        <w:rPr>
          <w:rFonts w:ascii="Arial" w:cs="Arial" w:eastAsia="Arial" w:hAnsi="Arial"/>
          <w:sz w:val="15"/>
          <w:szCs w:val="15"/>
          <w:color w:val="auto"/>
        </w:rPr>
      </w:pPr>
    </w:p>
    <w:p>
      <w:pPr>
        <w:ind w:left="370" w:hanging="370"/>
        <w:spacing w:after="0" w:line="290" w:lineRule="auto"/>
        <w:tabs>
          <w:tab w:leader="none" w:pos="37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Total investment return is calculated assuming a purchase of common shares at the IPO offering price per share at September 25, 2013 of $20.00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1" w:lineRule="exact"/>
        <w:rPr>
          <w:rFonts w:ascii="Arial" w:cs="Arial" w:eastAsia="Arial" w:hAnsi="Arial"/>
          <w:sz w:val="13"/>
          <w:szCs w:val="13"/>
          <w:color w:val="auto"/>
        </w:rPr>
      </w:pPr>
    </w:p>
    <w:p>
      <w:pPr>
        <w:ind w:left="370" w:hanging="370"/>
        <w:spacing w:after="0"/>
        <w:tabs>
          <w:tab w:leader="none" w:pos="370" w:val="left"/>
        </w:tabs>
        <w:numPr>
          <w:ilvl w:val="0"/>
          <w:numId w:val="61"/>
        </w:numPr>
        <w:rPr>
          <w:rFonts w:ascii="Arial" w:cs="Arial" w:eastAsia="Arial" w:hAnsi="Arial"/>
          <w:sz w:val="15"/>
          <w:szCs w:val="15"/>
          <w:color w:val="auto"/>
        </w:rPr>
      </w:pPr>
      <w:r>
        <w:rPr>
          <w:rFonts w:ascii="Arial" w:cs="Arial" w:eastAsia="Arial" w:hAnsi="Arial"/>
          <w:sz w:val="15"/>
          <w:szCs w:val="15"/>
          <w:color w:val="auto"/>
        </w:rPr>
        <w:t>Portfolio turnover rate is calculated using the lesser of year-to-date sales or year-to-date purchases over the average of the invested assets at fair value.</w:t>
      </w:r>
    </w:p>
    <w:p>
      <w:pPr>
        <w:spacing w:after="0" w:line="8" w:lineRule="exact"/>
        <w:rPr>
          <w:rFonts w:ascii="Arial" w:cs="Arial" w:eastAsia="Arial" w:hAnsi="Arial"/>
          <w:sz w:val="15"/>
          <w:szCs w:val="15"/>
          <w:color w:val="auto"/>
        </w:rPr>
      </w:pPr>
    </w:p>
    <w:p>
      <w:pPr>
        <w:ind w:left="370" w:hanging="370"/>
        <w:spacing w:after="0"/>
        <w:tabs>
          <w:tab w:leader="none" w:pos="370" w:val="left"/>
        </w:tabs>
        <w:numPr>
          <w:ilvl w:val="0"/>
          <w:numId w:val="61"/>
        </w:numPr>
        <w:rPr>
          <w:rFonts w:ascii="Arial" w:cs="Arial" w:eastAsia="Arial" w:hAnsi="Arial"/>
          <w:sz w:val="15"/>
          <w:szCs w:val="15"/>
          <w:color w:val="auto"/>
        </w:rPr>
      </w:pPr>
      <w:r>
        <w:rPr>
          <w:rFonts w:ascii="Arial" w:cs="Arial" w:eastAsia="Arial" w:hAnsi="Arial"/>
          <w:sz w:val="15"/>
          <w:szCs w:val="15"/>
          <w:color w:val="auto"/>
        </w:rPr>
        <w:t>Based on daily weighted average balance of debt outstanding during the period.</w:t>
      </w:r>
    </w:p>
    <w:p>
      <w:pPr>
        <w:spacing w:after="0" w:line="8" w:lineRule="exact"/>
        <w:rPr>
          <w:rFonts w:ascii="Arial" w:cs="Arial" w:eastAsia="Arial" w:hAnsi="Arial"/>
          <w:sz w:val="15"/>
          <w:szCs w:val="15"/>
          <w:color w:val="auto"/>
        </w:rPr>
      </w:pPr>
    </w:p>
    <w:p>
      <w:pPr>
        <w:ind w:left="370" w:right="440" w:hanging="370"/>
        <w:spacing w:after="0" w:line="299" w:lineRule="auto"/>
        <w:tabs>
          <w:tab w:leader="none" w:pos="37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p>
    <w:p>
      <w:pPr>
        <w:spacing w:after="0" w:line="313"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6884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50"/>
          </w:cols>
          <w:pgMar w:left="230" w:top="781" w:right="219" w:bottom="1440" w:gutter="0" w:footer="0" w:header="0"/>
        </w:sectPr>
      </w:pPr>
    </w:p>
    <w:bookmarkStart w:id="97" w:name="page98"/>
    <w:bookmarkEnd w:id="97"/>
    <w:tbl>
      <w:tblPr>
        <w:tblLayout w:type="fixed"/>
        <w:tblInd w:w="10" w:type="dxa"/>
        <w:tblCellMar>
          <w:top w:w="0" w:type="dxa"/>
          <w:left w:w="0" w:type="dxa"/>
          <w:bottom w:w="0" w:type="dxa"/>
          <w:right w:w="0" w:type="dxa"/>
        </w:tblCellMar>
      </w:tblPr>
      <w:tr>
        <w:trPr>
          <w:trHeight w:val="194"/>
        </w:trPr>
        <w:tc>
          <w:tcPr>
            <w:tcW w:w="6080" w:type="dxa"/>
            <w:vAlign w:val="bottom"/>
            <w:gridSpan w:val="3"/>
          </w:tcPr>
          <w:p>
            <w:pPr>
              <w:spacing w:after="0"/>
              <w:rPr>
                <w:sz w:val="20"/>
                <w:szCs w:val="20"/>
                <w:color w:val="auto"/>
              </w:rPr>
            </w:pPr>
            <w:r>
              <w:rPr>
                <w:rFonts w:ascii="Arial" w:cs="Arial" w:eastAsia="Arial" w:hAnsi="Arial"/>
                <w:sz w:val="15"/>
                <w:szCs w:val="15"/>
                <w:b w:val="1"/>
                <w:bCs w:val="1"/>
                <w:color w:val="auto"/>
              </w:rPr>
              <w:t>Note 14. Selected Quarterly Financial Data (Unaudited)</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ind w:left="440"/>
              <w:spacing w:after="0"/>
              <w:rPr>
                <w:sz w:val="20"/>
                <w:szCs w:val="20"/>
                <w:color w:val="auto"/>
              </w:rPr>
            </w:pPr>
            <w:r>
              <w:rPr>
                <w:rFonts w:ascii="Arial" w:cs="Arial" w:eastAsia="Arial" w:hAnsi="Arial"/>
                <w:sz w:val="15"/>
                <w:szCs w:val="15"/>
                <w:b w:val="1"/>
                <w:bCs w:val="1"/>
                <w:color w:val="auto"/>
              </w:rPr>
              <w:t>For the quarter ended</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40"/>
              <w:spacing w:after="0" w:line="159" w:lineRule="exact"/>
              <w:rPr>
                <w:sz w:val="20"/>
                <w:szCs w:val="20"/>
                <w:color w:val="auto"/>
              </w:rPr>
            </w:pPr>
            <w:r>
              <w:rPr>
                <w:rFonts w:ascii="Arial" w:cs="Arial" w:eastAsia="Arial" w:hAnsi="Arial"/>
                <w:sz w:val="15"/>
                <w:szCs w:val="15"/>
                <w:b w:val="1"/>
                <w:bCs w:val="1"/>
                <w:color w:val="auto"/>
                <w:w w:val="90"/>
              </w:rPr>
              <w:t>December 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00"/>
              <w:spacing w:after="0" w:line="159" w:lineRule="exact"/>
              <w:rPr>
                <w:sz w:val="20"/>
                <w:szCs w:val="20"/>
                <w:color w:val="auto"/>
              </w:rPr>
            </w:pPr>
            <w:r>
              <w:rPr>
                <w:rFonts w:ascii="Arial" w:cs="Arial" w:eastAsia="Arial" w:hAnsi="Arial"/>
                <w:sz w:val="15"/>
                <w:szCs w:val="15"/>
                <w:b w:val="1"/>
                <w:bCs w:val="1"/>
                <w:color w:val="auto"/>
                <w:w w:val="89"/>
              </w:rPr>
              <w:t>September 30,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400"/>
              <w:spacing w:after="0" w:line="159" w:lineRule="exact"/>
              <w:rPr>
                <w:sz w:val="20"/>
                <w:szCs w:val="20"/>
                <w:color w:val="auto"/>
              </w:rPr>
            </w:pPr>
            <w:r>
              <w:rPr>
                <w:rFonts w:ascii="Arial" w:cs="Arial" w:eastAsia="Arial" w:hAnsi="Arial"/>
                <w:sz w:val="15"/>
                <w:szCs w:val="15"/>
                <w:b w:val="1"/>
                <w:bCs w:val="1"/>
                <w:color w:val="auto"/>
                <w:w w:val="89"/>
              </w:rPr>
              <w:t>June 30,</w:t>
            </w:r>
          </w:p>
        </w:tc>
        <w:tc>
          <w:tcPr>
            <w:tcW w:w="160" w:type="dxa"/>
            <w:vAlign w:val="bottom"/>
          </w:tcPr>
          <w:p>
            <w:pPr>
              <w:spacing w:after="0"/>
              <w:rPr>
                <w:sz w:val="13"/>
                <w:szCs w:val="13"/>
                <w:color w:val="auto"/>
              </w:rPr>
            </w:pPr>
          </w:p>
        </w:tc>
        <w:tc>
          <w:tcPr>
            <w:tcW w:w="980" w:type="dxa"/>
            <w:vAlign w:val="bottom"/>
          </w:tcPr>
          <w:p>
            <w:pPr>
              <w:jc w:val="center"/>
              <w:ind w:right="125"/>
              <w:spacing w:after="0" w:line="159" w:lineRule="exact"/>
              <w:rPr>
                <w:sz w:val="20"/>
                <w:szCs w:val="20"/>
                <w:color w:val="auto"/>
              </w:rPr>
            </w:pPr>
            <w:r>
              <w:rPr>
                <w:rFonts w:ascii="Arial" w:cs="Arial" w:eastAsia="Arial" w:hAnsi="Arial"/>
                <w:sz w:val="15"/>
                <w:szCs w:val="15"/>
                <w:b w:val="1"/>
                <w:bCs w:val="1"/>
                <w:color w:val="auto"/>
                <w:w w:val="95"/>
              </w:rPr>
              <w:t>March 31,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80" w:type="dxa"/>
            <w:vAlign w:val="bottom"/>
            <w:gridSpan w:val="3"/>
          </w:tcPr>
          <w:p>
            <w:pPr>
              <w:spacing w:after="0"/>
              <w:rPr>
                <w:sz w:val="20"/>
                <w:szCs w:val="20"/>
                <w:color w:val="auto"/>
              </w:rPr>
            </w:pPr>
            <w:r>
              <w:rPr>
                <w:rFonts w:ascii="Arial" w:cs="Arial" w:eastAsia="Arial" w:hAnsi="Arial"/>
                <w:sz w:val="15"/>
                <w:szCs w:val="15"/>
                <w:b w:val="1"/>
                <w:bCs w:val="1"/>
                <w:color w:val="auto"/>
              </w:rPr>
              <w:t>(Dollars in thousands, except per share data)</w:t>
            </w:r>
          </w:p>
        </w:tc>
        <w:tc>
          <w:tcPr>
            <w:tcW w:w="100" w:type="dxa"/>
            <w:vAlign w:val="bottom"/>
          </w:tcPr>
          <w:p>
            <w:pPr>
              <w:spacing w:after="0"/>
              <w:rPr>
                <w:sz w:val="16"/>
                <w:szCs w:val="16"/>
                <w:color w:val="auto"/>
              </w:rPr>
            </w:pPr>
          </w:p>
        </w:tc>
        <w:tc>
          <w:tcPr>
            <w:tcW w:w="1040" w:type="dxa"/>
            <w:vAlign w:val="bottom"/>
          </w:tcPr>
          <w:p>
            <w:pPr>
              <w:jc w:val="center"/>
              <w:ind w:right="25"/>
              <w:spacing w:after="0"/>
              <w:rPr>
                <w:sz w:val="20"/>
                <w:szCs w:val="20"/>
                <w:color w:val="auto"/>
              </w:rPr>
            </w:pPr>
            <w:r>
              <w:rPr>
                <w:rFonts w:ascii="Arial" w:cs="Arial" w:eastAsia="Arial" w:hAnsi="Arial"/>
                <w:sz w:val="15"/>
                <w:szCs w:val="15"/>
                <w:b w:val="1"/>
                <w:bCs w:val="1"/>
                <w:color w:val="auto"/>
                <w:w w:val="89"/>
              </w:rPr>
              <w:t>2013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25"/>
              <w:spacing w:after="0"/>
              <w:rPr>
                <w:sz w:val="20"/>
                <w:szCs w:val="20"/>
                <w:color w:val="auto"/>
              </w:rPr>
            </w:pPr>
            <w:r>
              <w:rPr>
                <w:rFonts w:ascii="Arial" w:cs="Arial" w:eastAsia="Arial" w:hAnsi="Arial"/>
                <w:sz w:val="15"/>
                <w:szCs w:val="15"/>
                <w:b w:val="1"/>
                <w:bCs w:val="1"/>
                <w:color w:val="auto"/>
                <w:w w:val="89"/>
              </w:rPr>
              <w:t>2013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05"/>
              <w:spacing w:after="0"/>
              <w:rPr>
                <w:sz w:val="20"/>
                <w:szCs w:val="20"/>
                <w:color w:val="auto"/>
              </w:rPr>
            </w:pPr>
            <w:r>
              <w:rPr>
                <w:rFonts w:ascii="Arial" w:cs="Arial" w:eastAsia="Arial" w:hAnsi="Arial"/>
                <w:sz w:val="15"/>
                <w:szCs w:val="15"/>
                <w:b w:val="1"/>
                <w:bCs w:val="1"/>
                <w:color w:val="auto"/>
                <w:w w:val="89"/>
              </w:rPr>
              <w:t>2013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85"/>
              <w:spacing w:after="0"/>
              <w:rPr>
                <w:sz w:val="20"/>
                <w:szCs w:val="20"/>
                <w:color w:val="auto"/>
              </w:rPr>
            </w:pPr>
            <w:r>
              <w:rPr>
                <w:rFonts w:ascii="Arial" w:cs="Arial" w:eastAsia="Arial" w:hAnsi="Arial"/>
                <w:sz w:val="15"/>
                <w:szCs w:val="15"/>
                <w:b w:val="1"/>
                <w:bCs w:val="1"/>
                <w:color w:val="auto"/>
                <w:w w:val="89"/>
              </w:rPr>
              <w:t>2013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0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Total investment income</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12,145</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8,801</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8,216</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6,271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60" w:type="dxa"/>
            <w:vAlign w:val="bottom"/>
            <w:gridSpan w:val="2"/>
          </w:tcPr>
          <w:p>
            <w:pPr>
              <w:spacing w:after="0"/>
              <w:rPr>
                <w:sz w:val="20"/>
                <w:szCs w:val="20"/>
                <w:color w:val="auto"/>
              </w:rPr>
            </w:pPr>
            <w:r>
              <w:rPr>
                <w:rFonts w:ascii="Arial" w:cs="Arial" w:eastAsia="Arial" w:hAnsi="Arial"/>
                <w:sz w:val="15"/>
                <w:szCs w:val="15"/>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6,100</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5,437</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4,658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3,289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Net increase in net assets from operations</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6,797</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7,909</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11,583</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2,569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60" w:type="dxa"/>
            <w:vAlign w:val="bottom"/>
            <w:gridSpan w:val="2"/>
          </w:tcPr>
          <w:p>
            <w:pPr>
              <w:spacing w:after="0"/>
              <w:rPr>
                <w:sz w:val="20"/>
                <w:szCs w:val="20"/>
                <w:color w:val="auto"/>
              </w:rPr>
            </w:pPr>
            <w:r>
              <w:rPr>
                <w:rFonts w:ascii="Arial" w:cs="Arial" w:eastAsia="Arial" w:hAnsi="Arial"/>
                <w:sz w:val="15"/>
                <w:szCs w:val="15"/>
                <w:color w:val="auto"/>
              </w:rPr>
              <w:t>Net investment income per share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0.47</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0.42</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0.36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0.25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Net increase in net assets from operations per share (1)</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0.52</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0.61</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0.89</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0.20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5"/>
                <w:szCs w:val="15"/>
                <w:color w:val="auto"/>
              </w:rPr>
              <w:t>Net asset value per share at end of period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20.71</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20.79</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20.58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19.74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ind w:left="440"/>
              <w:spacing w:after="0"/>
              <w:rPr>
                <w:sz w:val="20"/>
                <w:szCs w:val="20"/>
                <w:color w:val="auto"/>
              </w:rPr>
            </w:pPr>
            <w:r>
              <w:rPr>
                <w:rFonts w:ascii="Arial" w:cs="Arial" w:eastAsia="Arial" w:hAnsi="Arial"/>
                <w:sz w:val="15"/>
                <w:szCs w:val="15"/>
                <w:b w:val="1"/>
                <w:bCs w:val="1"/>
                <w:color w:val="auto"/>
              </w:rPr>
              <w:t>For the quarter ended</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40"/>
              <w:spacing w:after="0" w:line="159" w:lineRule="exact"/>
              <w:rPr>
                <w:sz w:val="20"/>
                <w:szCs w:val="20"/>
                <w:color w:val="auto"/>
              </w:rPr>
            </w:pPr>
            <w:r>
              <w:rPr>
                <w:rFonts w:ascii="Arial" w:cs="Arial" w:eastAsia="Arial" w:hAnsi="Arial"/>
                <w:sz w:val="15"/>
                <w:szCs w:val="15"/>
                <w:b w:val="1"/>
                <w:bCs w:val="1"/>
                <w:color w:val="auto"/>
                <w:w w:val="90"/>
              </w:rPr>
              <w:t>December 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00"/>
              <w:spacing w:after="0" w:line="159" w:lineRule="exact"/>
              <w:rPr>
                <w:sz w:val="20"/>
                <w:szCs w:val="20"/>
                <w:color w:val="auto"/>
              </w:rPr>
            </w:pPr>
            <w:r>
              <w:rPr>
                <w:rFonts w:ascii="Arial" w:cs="Arial" w:eastAsia="Arial" w:hAnsi="Arial"/>
                <w:sz w:val="15"/>
                <w:szCs w:val="15"/>
                <w:b w:val="1"/>
                <w:bCs w:val="1"/>
                <w:color w:val="auto"/>
                <w:w w:val="89"/>
              </w:rPr>
              <w:t>September 30,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400"/>
              <w:spacing w:after="0" w:line="159" w:lineRule="exact"/>
              <w:rPr>
                <w:sz w:val="20"/>
                <w:szCs w:val="20"/>
                <w:color w:val="auto"/>
              </w:rPr>
            </w:pPr>
            <w:r>
              <w:rPr>
                <w:rFonts w:ascii="Arial" w:cs="Arial" w:eastAsia="Arial" w:hAnsi="Arial"/>
                <w:sz w:val="15"/>
                <w:szCs w:val="15"/>
                <w:b w:val="1"/>
                <w:bCs w:val="1"/>
                <w:color w:val="auto"/>
                <w:w w:val="89"/>
              </w:rPr>
              <w:t>June 30,</w:t>
            </w:r>
          </w:p>
        </w:tc>
        <w:tc>
          <w:tcPr>
            <w:tcW w:w="160" w:type="dxa"/>
            <w:vAlign w:val="bottom"/>
          </w:tcPr>
          <w:p>
            <w:pPr>
              <w:spacing w:after="0"/>
              <w:rPr>
                <w:sz w:val="13"/>
                <w:szCs w:val="13"/>
                <w:color w:val="auto"/>
              </w:rPr>
            </w:pPr>
          </w:p>
        </w:tc>
        <w:tc>
          <w:tcPr>
            <w:tcW w:w="980" w:type="dxa"/>
            <w:vAlign w:val="bottom"/>
          </w:tcPr>
          <w:p>
            <w:pPr>
              <w:jc w:val="center"/>
              <w:ind w:right="85"/>
              <w:spacing w:after="0" w:line="159" w:lineRule="exact"/>
              <w:rPr>
                <w:sz w:val="20"/>
                <w:szCs w:val="20"/>
                <w:color w:val="auto"/>
              </w:rPr>
            </w:pPr>
            <w:r>
              <w:rPr>
                <w:rFonts w:ascii="Arial" w:cs="Arial" w:eastAsia="Arial" w:hAnsi="Arial"/>
                <w:sz w:val="15"/>
                <w:szCs w:val="15"/>
                <w:b w:val="1"/>
                <w:bCs w:val="1"/>
                <w:color w:val="auto"/>
                <w:w w:val="95"/>
              </w:rPr>
              <w:t>March 31,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80" w:type="dxa"/>
            <w:vAlign w:val="bottom"/>
            <w:gridSpan w:val="3"/>
          </w:tcPr>
          <w:p>
            <w:pPr>
              <w:spacing w:after="0"/>
              <w:rPr>
                <w:sz w:val="20"/>
                <w:szCs w:val="20"/>
                <w:color w:val="auto"/>
              </w:rPr>
            </w:pPr>
            <w:r>
              <w:rPr>
                <w:rFonts w:ascii="Arial" w:cs="Arial" w:eastAsia="Arial" w:hAnsi="Arial"/>
                <w:sz w:val="15"/>
                <w:szCs w:val="15"/>
                <w:b w:val="1"/>
                <w:bCs w:val="1"/>
                <w:color w:val="auto"/>
              </w:rPr>
              <w:t>(Dollars in thousands, except per share data)</w:t>
            </w:r>
          </w:p>
        </w:tc>
        <w:tc>
          <w:tcPr>
            <w:tcW w:w="100" w:type="dxa"/>
            <w:vAlign w:val="bottom"/>
          </w:tcPr>
          <w:p>
            <w:pPr>
              <w:spacing w:after="0"/>
              <w:rPr>
                <w:sz w:val="16"/>
                <w:szCs w:val="16"/>
                <w:color w:val="auto"/>
              </w:rPr>
            </w:pPr>
          </w:p>
        </w:tc>
        <w:tc>
          <w:tcPr>
            <w:tcW w:w="1040" w:type="dxa"/>
            <w:vAlign w:val="bottom"/>
          </w:tcPr>
          <w:p>
            <w:pPr>
              <w:jc w:val="center"/>
              <w:ind w:right="25"/>
              <w:spacing w:after="0"/>
              <w:rPr>
                <w:sz w:val="20"/>
                <w:szCs w:val="20"/>
                <w:color w:val="auto"/>
              </w:rPr>
            </w:pPr>
            <w:r>
              <w:rPr>
                <w:rFonts w:ascii="Arial" w:cs="Arial" w:eastAsia="Arial" w:hAnsi="Arial"/>
                <w:sz w:val="15"/>
                <w:szCs w:val="15"/>
                <w:b w:val="1"/>
                <w:bCs w:val="1"/>
                <w:color w:val="auto"/>
                <w:w w:val="89"/>
              </w:rPr>
              <w:t>2012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25"/>
              <w:spacing w:after="0"/>
              <w:rPr>
                <w:sz w:val="20"/>
                <w:szCs w:val="20"/>
                <w:color w:val="auto"/>
              </w:rPr>
            </w:pPr>
            <w:r>
              <w:rPr>
                <w:rFonts w:ascii="Arial" w:cs="Arial" w:eastAsia="Arial" w:hAnsi="Arial"/>
                <w:sz w:val="15"/>
                <w:szCs w:val="15"/>
                <w:b w:val="1"/>
                <w:bCs w:val="1"/>
                <w:color w:val="auto"/>
                <w:w w:val="89"/>
              </w:rPr>
              <w:t>2012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05"/>
              <w:spacing w:after="0"/>
              <w:rPr>
                <w:sz w:val="20"/>
                <w:szCs w:val="20"/>
                <w:color w:val="auto"/>
              </w:rPr>
            </w:pPr>
            <w:r>
              <w:rPr>
                <w:rFonts w:ascii="Arial" w:cs="Arial" w:eastAsia="Arial" w:hAnsi="Arial"/>
                <w:sz w:val="15"/>
                <w:szCs w:val="15"/>
                <w:b w:val="1"/>
                <w:bCs w:val="1"/>
                <w:color w:val="auto"/>
                <w:w w:val="89"/>
              </w:rPr>
              <w:t>2012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85"/>
              <w:spacing w:after="0"/>
              <w:rPr>
                <w:sz w:val="20"/>
                <w:szCs w:val="20"/>
                <w:color w:val="auto"/>
              </w:rPr>
            </w:pPr>
            <w:r>
              <w:rPr>
                <w:rFonts w:ascii="Arial" w:cs="Arial" w:eastAsia="Arial" w:hAnsi="Arial"/>
                <w:sz w:val="15"/>
                <w:szCs w:val="15"/>
                <w:b w:val="1"/>
                <w:bCs w:val="1"/>
                <w:color w:val="auto"/>
                <w:w w:val="89"/>
              </w:rPr>
              <w:t>2012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0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Total investment income</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7,004</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6,614</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5,713</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5,608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60" w:type="dxa"/>
            <w:vAlign w:val="bottom"/>
            <w:gridSpan w:val="2"/>
          </w:tcPr>
          <w:p>
            <w:pPr>
              <w:spacing w:after="0"/>
              <w:rPr>
                <w:sz w:val="20"/>
                <w:szCs w:val="20"/>
                <w:color w:val="auto"/>
              </w:rPr>
            </w:pPr>
            <w:r>
              <w:rPr>
                <w:rFonts w:ascii="Arial" w:cs="Arial" w:eastAsia="Arial" w:hAnsi="Arial"/>
                <w:sz w:val="15"/>
                <w:szCs w:val="15"/>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3,893</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3,270</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3,014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2,747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Net increase in net assets from operations</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18,696</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10,778</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10,238</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9,858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60" w:type="dxa"/>
            <w:vAlign w:val="bottom"/>
            <w:gridSpan w:val="2"/>
          </w:tcPr>
          <w:p>
            <w:pPr>
              <w:spacing w:after="0"/>
              <w:rPr>
                <w:sz w:val="20"/>
                <w:szCs w:val="20"/>
                <w:color w:val="auto"/>
              </w:rPr>
            </w:pPr>
            <w:r>
              <w:rPr>
                <w:rFonts w:ascii="Arial" w:cs="Arial" w:eastAsia="Arial" w:hAnsi="Arial"/>
                <w:sz w:val="15"/>
                <w:szCs w:val="15"/>
                <w:color w:val="auto"/>
              </w:rPr>
              <w:t>Net investment income per share</w:t>
            </w:r>
          </w:p>
        </w:tc>
        <w:tc>
          <w:tcPr>
            <w:tcW w:w="100" w:type="dxa"/>
            <w:vAlign w:val="bottom"/>
          </w:tcPr>
          <w:p>
            <w:pPr>
              <w:spacing w:after="0"/>
              <w:rPr>
                <w:sz w:val="15"/>
                <w:szCs w:val="15"/>
                <w:color w:val="auto"/>
              </w:rPr>
            </w:pPr>
          </w:p>
        </w:tc>
        <w:tc>
          <w:tcPr>
            <w:tcW w:w="1160" w:type="dxa"/>
            <w:vAlign w:val="bottom"/>
            <w:gridSpan w:val="2"/>
          </w:tcPr>
          <w:p>
            <w:pPr>
              <w:ind w:left="780"/>
              <w:spacing w:after="0"/>
              <w:rPr>
                <w:sz w:val="20"/>
                <w:szCs w:val="20"/>
                <w:color w:val="auto"/>
              </w:rPr>
            </w:pPr>
            <w:r>
              <w:rPr>
                <w:rFonts w:ascii="Arial" w:cs="Arial" w:eastAsia="Arial" w:hAnsi="Arial"/>
                <w:sz w:val="15"/>
                <w:szCs w:val="15"/>
                <w:color w:val="auto"/>
              </w:rPr>
              <w:t>N/A</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ind w:left="700"/>
              <w:spacing w:after="0"/>
              <w:rPr>
                <w:sz w:val="20"/>
                <w:szCs w:val="20"/>
                <w:color w:val="auto"/>
              </w:rPr>
            </w:pPr>
            <w:r>
              <w:rPr>
                <w:rFonts w:ascii="Arial" w:cs="Arial" w:eastAsia="Arial" w:hAnsi="Arial"/>
                <w:sz w:val="15"/>
                <w:szCs w:val="15"/>
                <w:color w:val="auto"/>
              </w:rPr>
              <w:t>N/A</w:t>
            </w:r>
          </w:p>
        </w:tc>
        <w:tc>
          <w:tcPr>
            <w:tcW w:w="16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Net increase in net assets from operations per share</w:t>
            </w:r>
          </w:p>
        </w:tc>
        <w:tc>
          <w:tcPr>
            <w:tcW w:w="100" w:type="dxa"/>
            <w:vAlign w:val="bottom"/>
            <w:shd w:val="clear" w:color="auto" w:fill="CCFFCC"/>
          </w:tcPr>
          <w:p>
            <w:pPr>
              <w:spacing w:after="0"/>
              <w:rPr>
                <w:sz w:val="15"/>
                <w:szCs w:val="15"/>
                <w:color w:val="auto"/>
              </w:rPr>
            </w:pPr>
          </w:p>
        </w:tc>
        <w:tc>
          <w:tcPr>
            <w:tcW w:w="1160" w:type="dxa"/>
            <w:vAlign w:val="bottom"/>
            <w:gridSpan w:val="2"/>
            <w:shd w:val="clear" w:color="auto" w:fill="CCFFCC"/>
          </w:tcPr>
          <w:p>
            <w:pPr>
              <w:ind w:left="780"/>
              <w:spacing w:after="0"/>
              <w:rPr>
                <w:sz w:val="20"/>
                <w:szCs w:val="20"/>
                <w:color w:val="auto"/>
              </w:rPr>
            </w:pPr>
            <w:r>
              <w:rPr>
                <w:rFonts w:ascii="Arial" w:cs="Arial" w:eastAsia="Arial" w:hAnsi="Arial"/>
                <w:sz w:val="15"/>
                <w:szCs w:val="15"/>
                <w:color w:val="auto"/>
              </w:rPr>
              <w:t>N/A</w:t>
            </w: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N/A</w:t>
            </w:r>
          </w:p>
        </w:tc>
        <w:tc>
          <w:tcPr>
            <w:tcW w:w="1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ind w:left="700"/>
              <w:spacing w:after="0"/>
              <w:rPr>
                <w:sz w:val="20"/>
                <w:szCs w:val="20"/>
                <w:color w:val="auto"/>
              </w:rPr>
            </w:pPr>
            <w:r>
              <w:rPr>
                <w:rFonts w:ascii="Arial" w:cs="Arial" w:eastAsia="Arial" w:hAnsi="Arial"/>
                <w:sz w:val="15"/>
                <w:szCs w:val="15"/>
                <w:color w:val="auto"/>
              </w:rPr>
              <w:t>N/A</w:t>
            </w:r>
          </w:p>
        </w:tc>
        <w:tc>
          <w:tcPr>
            <w:tcW w:w="1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5"/>
                <w:szCs w:val="15"/>
                <w:color w:val="auto"/>
              </w:rPr>
              <w:t>Net asset value per share at end of period</w:t>
            </w:r>
          </w:p>
        </w:tc>
        <w:tc>
          <w:tcPr>
            <w:tcW w:w="100" w:type="dxa"/>
            <w:vAlign w:val="bottom"/>
          </w:tcPr>
          <w:p>
            <w:pPr>
              <w:spacing w:after="0"/>
              <w:rPr>
                <w:sz w:val="16"/>
                <w:szCs w:val="16"/>
                <w:color w:val="auto"/>
              </w:rPr>
            </w:pPr>
          </w:p>
        </w:tc>
        <w:tc>
          <w:tcPr>
            <w:tcW w:w="1160" w:type="dxa"/>
            <w:vAlign w:val="bottom"/>
            <w:gridSpan w:val="2"/>
          </w:tcPr>
          <w:p>
            <w:pPr>
              <w:ind w:left="780"/>
              <w:spacing w:after="0"/>
              <w:rPr>
                <w:sz w:val="20"/>
                <w:szCs w:val="20"/>
                <w:color w:val="auto"/>
              </w:rPr>
            </w:pPr>
            <w:r>
              <w:rPr>
                <w:rFonts w:ascii="Arial" w:cs="Arial" w:eastAsia="Arial" w:hAnsi="Arial"/>
                <w:sz w:val="15"/>
                <w:szCs w:val="15"/>
                <w:color w:val="auto"/>
              </w:rPr>
              <w:t>N/A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700"/>
              <w:spacing w:after="0"/>
              <w:rPr>
                <w:sz w:val="20"/>
                <w:szCs w:val="20"/>
                <w:color w:val="auto"/>
              </w:rPr>
            </w:pPr>
            <w:r>
              <w:rPr>
                <w:rFonts w:ascii="Arial" w:cs="Arial" w:eastAsia="Arial" w:hAnsi="Arial"/>
                <w:sz w:val="15"/>
                <w:szCs w:val="15"/>
                <w:color w:val="auto"/>
              </w:rPr>
              <w:t>N/A</w:t>
            </w:r>
          </w:p>
        </w:tc>
        <w:tc>
          <w:tcPr>
            <w:tcW w:w="1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181737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17370" cy="6985"/>
                    </a:xfrm>
                    <a:prstGeom prst="rect">
                      <a:avLst/>
                    </a:prstGeom>
                    <a:noFill/>
                  </pic:spPr>
                </pic:pic>
              </a:graphicData>
            </a:graphic>
          </wp:anchor>
        </w:drawing>
      </w:r>
    </w:p>
    <w:p>
      <w:pPr>
        <w:spacing w:after="0" w:line="164" w:lineRule="exact"/>
        <w:rPr>
          <w:sz w:val="20"/>
          <w:szCs w:val="20"/>
          <w:color w:val="auto"/>
        </w:rPr>
      </w:pPr>
    </w:p>
    <w:p>
      <w:pPr>
        <w:ind w:left="10" w:right="5260" w:hanging="10"/>
        <w:spacing w:after="0" w:line="500" w:lineRule="auto"/>
        <w:tabs>
          <w:tab w:leader="none" w:pos="223" w:val="left"/>
        </w:tabs>
        <w:numPr>
          <w:ilvl w:val="0"/>
          <w:numId w:val="62"/>
        </w:numPr>
        <w:rPr>
          <w:rFonts w:ascii="Arial" w:cs="Arial" w:eastAsia="Arial" w:hAnsi="Arial"/>
          <w:sz w:val="15"/>
          <w:szCs w:val="15"/>
          <w:color w:val="auto"/>
        </w:rPr>
      </w:pPr>
      <w:r>
        <w:rPr>
          <w:rFonts w:ascii="Arial" w:cs="Arial" w:eastAsia="Arial" w:hAnsi="Arial"/>
          <w:sz w:val="15"/>
          <w:szCs w:val="15"/>
          <w:color w:val="auto"/>
        </w:rPr>
        <w:t>Per share amounts are presented as if the Formation Transactions had occurred on January 1, 2013. N/A – Not Applicable</w:t>
      </w:r>
    </w:p>
    <w:p>
      <w:pPr>
        <w:spacing w:after="0" w:line="1"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Note 15. Subsequent Events</w:t>
      </w:r>
    </w:p>
    <w:p>
      <w:pPr>
        <w:spacing w:after="0" w:line="193" w:lineRule="exact"/>
        <w:rPr>
          <w:sz w:val="20"/>
          <w:szCs w:val="20"/>
          <w:color w:val="auto"/>
        </w:rPr>
      </w:pPr>
    </w:p>
    <w:p>
      <w:pPr>
        <w:ind w:left="10" w:right="360" w:firstLine="543"/>
        <w:spacing w:after="0" w:line="313" w:lineRule="auto"/>
        <w:rPr>
          <w:sz w:val="20"/>
          <w:szCs w:val="20"/>
          <w:color w:val="auto"/>
        </w:rPr>
      </w:pPr>
      <w:r>
        <w:rPr>
          <w:rFonts w:ascii="Arial" w:cs="Arial" w:eastAsia="Arial" w:hAnsi="Arial"/>
          <w:sz w:val="14"/>
          <w:szCs w:val="14"/>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and for the year ended December 31, 2013.</w:t>
      </w:r>
    </w:p>
    <w:p>
      <w:pPr>
        <w:spacing w:after="0" w:line="123" w:lineRule="exact"/>
        <w:rPr>
          <w:sz w:val="20"/>
          <w:szCs w:val="20"/>
          <w:color w:val="auto"/>
        </w:rPr>
      </w:pPr>
    </w:p>
    <w:p>
      <w:pPr>
        <w:ind w:left="550"/>
        <w:spacing w:after="0"/>
        <w:rPr>
          <w:sz w:val="20"/>
          <w:szCs w:val="20"/>
          <w:color w:val="auto"/>
        </w:rPr>
      </w:pPr>
      <w:r>
        <w:rPr>
          <w:rFonts w:ascii="Arial" w:cs="Arial" w:eastAsia="Arial" w:hAnsi="Arial"/>
          <w:sz w:val="15"/>
          <w:szCs w:val="15"/>
          <w:color w:val="auto"/>
        </w:rPr>
        <w:t>On January 2, 2014, the Company invested $8.3 million in Velum Global Credit Management, LLC senior debt that will yield 15% cash interest.</w:t>
      </w:r>
    </w:p>
    <w:p>
      <w:pPr>
        <w:spacing w:after="0" w:line="189" w:lineRule="exact"/>
        <w:rPr>
          <w:sz w:val="20"/>
          <w:szCs w:val="20"/>
          <w:color w:val="auto"/>
        </w:rPr>
      </w:pPr>
    </w:p>
    <w:p>
      <w:pPr>
        <w:ind w:left="550"/>
        <w:spacing w:after="0"/>
        <w:rPr>
          <w:sz w:val="20"/>
          <w:szCs w:val="20"/>
          <w:color w:val="auto"/>
        </w:rPr>
      </w:pPr>
      <w:r>
        <w:rPr>
          <w:rFonts w:ascii="Arial" w:cs="Arial" w:eastAsia="Arial" w:hAnsi="Arial"/>
          <w:sz w:val="15"/>
          <w:szCs w:val="15"/>
          <w:color w:val="auto"/>
        </w:rPr>
        <w:t>On February 14, 2014, the Company invested $200 thousand in Precision Manufacturing, LLC subordinated debt that will yield 14% PIK interest.</w:t>
      </w:r>
    </w:p>
    <w:p>
      <w:pPr>
        <w:spacing w:after="0" w:line="189" w:lineRule="exact"/>
        <w:rPr>
          <w:sz w:val="20"/>
          <w:szCs w:val="20"/>
          <w:color w:val="auto"/>
        </w:rPr>
      </w:pPr>
    </w:p>
    <w:p>
      <w:pPr>
        <w:ind w:left="10" w:right="540" w:firstLine="543"/>
        <w:spacing w:after="0" w:line="276" w:lineRule="auto"/>
        <w:rPr>
          <w:sz w:val="20"/>
          <w:szCs w:val="20"/>
          <w:color w:val="auto"/>
        </w:rPr>
      </w:pPr>
      <w:r>
        <w:rPr>
          <w:rFonts w:ascii="Arial" w:cs="Arial" w:eastAsia="Arial" w:hAnsi="Arial"/>
          <w:sz w:val="15"/>
          <w:szCs w:val="15"/>
          <w:color w:val="auto"/>
        </w:rPr>
        <w:t>On February 24, 2014, the Company refinanced its outstanding debt with Print Direction, Inc. All existing principal was paid off and a $14.0 million unitranche facility was originated that will yield 15% cash interest.</w:t>
      </w:r>
    </w:p>
    <w:p>
      <w:pPr>
        <w:spacing w:after="0" w:line="146" w:lineRule="exact"/>
        <w:rPr>
          <w:sz w:val="20"/>
          <w:szCs w:val="20"/>
          <w:color w:val="auto"/>
        </w:rPr>
      </w:pPr>
    </w:p>
    <w:p>
      <w:pPr>
        <w:ind w:left="550"/>
        <w:spacing w:after="0"/>
        <w:rPr>
          <w:sz w:val="20"/>
          <w:szCs w:val="20"/>
          <w:color w:val="auto"/>
        </w:rPr>
      </w:pPr>
      <w:r>
        <w:rPr>
          <w:rFonts w:ascii="Arial" w:cs="Arial" w:eastAsia="Arial" w:hAnsi="Arial"/>
          <w:sz w:val="13"/>
          <w:szCs w:val="13"/>
          <w:color w:val="auto"/>
        </w:rPr>
        <w:t>On February 27, 2014, the Company’s Board of Directors declared a quarterly dividend of $0.47 per share payable on March 26, 2014 to holders of record as of March 14, 2014.</w:t>
      </w:r>
    </w:p>
    <w:p>
      <w:pPr>
        <w:spacing w:after="0" w:line="212" w:lineRule="exact"/>
        <w:rPr>
          <w:sz w:val="20"/>
          <w:szCs w:val="20"/>
          <w:color w:val="auto"/>
        </w:rPr>
      </w:pPr>
    </w:p>
    <w:p>
      <w:pPr>
        <w:ind w:left="10" w:right="320" w:firstLine="543"/>
        <w:spacing w:after="0" w:line="276" w:lineRule="auto"/>
        <w:rPr>
          <w:sz w:val="20"/>
          <w:szCs w:val="20"/>
          <w:color w:val="auto"/>
        </w:rPr>
      </w:pPr>
      <w:r>
        <w:rPr>
          <w:rFonts w:ascii="Arial" w:cs="Arial" w:eastAsia="Arial" w:hAnsi="Arial"/>
          <w:sz w:val="15"/>
          <w:szCs w:val="15"/>
          <w:color w:val="auto"/>
        </w:rPr>
        <w:t>On February 28, 2014, the Company paid off $10.0 million in SBA-Guaranteed debentures due in less than one year, including $2.0 million that matured on March 1, 2014 and prepayment of $8.0 million that was scheduled to mature on September 1, 2014.</w:t>
      </w:r>
    </w:p>
    <w:p>
      <w:pPr>
        <w:spacing w:after="0" w:line="327"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26884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50"/>
          </w:cols>
          <w:pgMar w:left="230" w:top="781" w:right="219" w:bottom="1440" w:gutter="0" w:footer="0" w:header="0"/>
        </w:sectPr>
      </w:pPr>
    </w:p>
    <w:bookmarkStart w:id="98" w:name="page99"/>
    <w:bookmarkEnd w:id="98"/>
    <w:p>
      <w:pPr>
        <w:spacing w:after="0"/>
        <w:rPr>
          <w:sz w:val="20"/>
          <w:szCs w:val="20"/>
          <w:color w:val="auto"/>
        </w:rPr>
      </w:pPr>
      <w:r>
        <w:rPr>
          <w:rFonts w:ascii="Arial" w:cs="Arial" w:eastAsia="Arial" w:hAnsi="Arial"/>
          <w:sz w:val="15"/>
          <w:szCs w:val="15"/>
          <w:b w:val="1"/>
          <w:bCs w:val="1"/>
          <w:color w:val="auto"/>
        </w:rPr>
        <w:t>Item 9. CHANGES IN AND DISAGREEMENTS WITH ACCOUNTANTS ON ACCOUNTING AND FINANCIAL DISCLOSURE</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5"/>
          <w:szCs w:val="15"/>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9A. CONTROLS AND PROCEDURES</w:t>
      </w:r>
    </w:p>
    <w:p>
      <w:pPr>
        <w:spacing w:after="0" w:line="193" w:lineRule="exact"/>
        <w:rPr>
          <w:sz w:val="20"/>
          <w:szCs w:val="20"/>
          <w:color w:val="auto"/>
        </w:rPr>
      </w:pPr>
    </w:p>
    <w:p>
      <w:pPr>
        <w:ind w:left="720" w:hanging="368"/>
        <w:spacing w:after="0"/>
        <w:tabs>
          <w:tab w:leader="none" w:pos="720" w:val="left"/>
        </w:tabs>
        <w:numPr>
          <w:ilvl w:val="0"/>
          <w:numId w:val="6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Evaluation of Disclosure Controls and Procedures</w:t>
      </w:r>
    </w:p>
    <w:p>
      <w:pPr>
        <w:spacing w:after="0" w:line="189" w:lineRule="exact"/>
        <w:rPr>
          <w:sz w:val="20"/>
          <w:szCs w:val="20"/>
          <w:color w:val="auto"/>
        </w:rPr>
      </w:pPr>
    </w:p>
    <w:p>
      <w:pPr>
        <w:ind w:firstLine="738"/>
        <w:spacing w:after="0" w:line="255" w:lineRule="auto"/>
        <w:rPr>
          <w:sz w:val="20"/>
          <w:szCs w:val="20"/>
          <w:color w:val="auto"/>
        </w:rPr>
      </w:pPr>
      <w:r>
        <w:rPr>
          <w:rFonts w:ascii="Arial" w:cs="Arial" w:eastAsia="Arial" w:hAnsi="Arial"/>
          <w:sz w:val="15"/>
          <w:szCs w:val="15"/>
          <w:color w:val="auto"/>
        </w:rPr>
        <w:t>As of December 31, 2013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63" w:lineRule="exact"/>
        <w:rPr>
          <w:sz w:val="20"/>
          <w:szCs w:val="20"/>
          <w:color w:val="auto"/>
        </w:rPr>
      </w:pPr>
    </w:p>
    <w:p>
      <w:pPr>
        <w:ind w:left="720" w:hanging="368"/>
        <w:spacing w:after="0"/>
        <w:tabs>
          <w:tab w:leader="none" w:pos="720" w:val="left"/>
        </w:tabs>
        <w:numPr>
          <w:ilvl w:val="0"/>
          <w:numId w:val="6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Management’s Report on Internal Control Over Financial Reporting</w:t>
      </w:r>
    </w:p>
    <w:p>
      <w:pPr>
        <w:spacing w:after="0" w:line="189" w:lineRule="exact"/>
        <w:rPr>
          <w:sz w:val="20"/>
          <w:szCs w:val="20"/>
          <w:color w:val="auto"/>
        </w:rPr>
      </w:pPr>
    </w:p>
    <w:p>
      <w:pPr>
        <w:ind w:right="100" w:firstLine="738"/>
        <w:spacing w:after="0" w:line="313" w:lineRule="auto"/>
        <w:rPr>
          <w:sz w:val="20"/>
          <w:szCs w:val="20"/>
          <w:color w:val="auto"/>
        </w:rPr>
      </w:pPr>
      <w:r>
        <w:rPr>
          <w:rFonts w:ascii="Arial" w:cs="Arial" w:eastAsia="Arial" w:hAnsi="Arial"/>
          <w:sz w:val="14"/>
          <w:szCs w:val="14"/>
          <w:color w:val="auto"/>
        </w:rPr>
        <w:t>This annual report does not include a report of management’s assessment regarding internal control over financial reporting or an attestation report of the Company’s registered public accounting firm due to a transition period established by the rules of the Securities and Exchange Commission for newly reporting companies.</w:t>
      </w:r>
    </w:p>
    <w:p>
      <w:pPr>
        <w:spacing w:after="0" w:line="123" w:lineRule="exact"/>
        <w:rPr>
          <w:sz w:val="20"/>
          <w:szCs w:val="20"/>
          <w:color w:val="auto"/>
        </w:rPr>
      </w:pPr>
    </w:p>
    <w:p>
      <w:pPr>
        <w:ind w:left="720" w:hanging="368"/>
        <w:spacing w:after="0"/>
        <w:tabs>
          <w:tab w:leader="none" w:pos="720" w:val="left"/>
        </w:tabs>
        <w:numPr>
          <w:ilvl w:val="0"/>
          <w:numId w:val="6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Changes in Internal Controls Over Financial Reporting</w:t>
      </w:r>
    </w:p>
    <w:p>
      <w:pPr>
        <w:spacing w:after="0" w:line="189" w:lineRule="exact"/>
        <w:rPr>
          <w:sz w:val="20"/>
          <w:szCs w:val="20"/>
          <w:color w:val="auto"/>
        </w:rPr>
      </w:pPr>
    </w:p>
    <w:p>
      <w:pPr>
        <w:ind w:right="340" w:firstLine="738"/>
        <w:spacing w:after="0" w:line="276" w:lineRule="auto"/>
        <w:rPr>
          <w:sz w:val="20"/>
          <w:szCs w:val="20"/>
          <w:color w:val="auto"/>
        </w:rPr>
      </w:pPr>
      <w:r>
        <w:rPr>
          <w:rFonts w:ascii="Arial" w:cs="Arial" w:eastAsia="Arial" w:hAnsi="Arial"/>
          <w:sz w:val="15"/>
          <w:szCs w:val="15"/>
          <w:color w:val="auto"/>
        </w:rPr>
        <w:t>There has not been any change in our internal controls over financial reporting (as defined in Rule 13a-15 (f) under the Exchange Act) that occurred during the fourth fiscal quarter of 2013 that has materially affected, or is reasonably likely to materially affect, our internal controls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9B. OTHER INFORMATION</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5"/>
          <w:szCs w:val="15"/>
          <w:color w:val="auto"/>
        </w:rPr>
        <w:t>None.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5"/>
          <w:szCs w:val="15"/>
          <w:b w:val="1"/>
          <w:bCs w:val="1"/>
          <w:color w:val="auto"/>
        </w:rPr>
        <w:t>PART III</w:t>
      </w:r>
    </w:p>
    <w:p>
      <w:pPr>
        <w:spacing w:after="0" w:line="193" w:lineRule="exact"/>
        <w:rPr>
          <w:sz w:val="20"/>
          <w:szCs w:val="20"/>
          <w:color w:val="auto"/>
        </w:rPr>
      </w:pPr>
    </w:p>
    <w:p>
      <w:pPr>
        <w:jc w:val="both"/>
        <w:ind w:right="100" w:firstLine="369"/>
        <w:spacing w:after="0" w:line="264" w:lineRule="auto"/>
        <w:rPr>
          <w:sz w:val="20"/>
          <w:szCs w:val="20"/>
          <w:color w:val="auto"/>
        </w:rPr>
      </w:pPr>
      <w:r>
        <w:rPr>
          <w:rFonts w:ascii="Arial" w:cs="Arial" w:eastAsia="Arial" w:hAnsi="Arial"/>
          <w:sz w:val="15"/>
          <w:szCs w:val="15"/>
          <w:color w:val="auto"/>
        </w:rPr>
        <w:t>We will file a definitive Proxy Statement for our 2014 Annual Meeting of Stockholders with the Securities and Exchange Commission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 DIRECTORS, EXECUTIVE OFFICERS AND CORPORATE GOVERNANCE</w:t>
      </w:r>
    </w:p>
    <w:p>
      <w:pPr>
        <w:spacing w:after="0" w:line="193" w:lineRule="exact"/>
        <w:rPr>
          <w:sz w:val="20"/>
          <w:szCs w:val="20"/>
          <w:color w:val="auto"/>
        </w:rPr>
      </w:pPr>
    </w:p>
    <w:p>
      <w:pPr>
        <w:ind w:firstLine="369"/>
        <w:spacing w:after="0" w:line="276" w:lineRule="auto"/>
        <w:rPr>
          <w:sz w:val="20"/>
          <w:szCs w:val="20"/>
          <w:color w:val="auto"/>
        </w:rPr>
      </w:pPr>
      <w:r>
        <w:rPr>
          <w:rFonts w:ascii="Arial" w:cs="Arial" w:eastAsia="Arial" w:hAnsi="Arial"/>
          <w:sz w:val="15"/>
          <w:szCs w:val="15"/>
          <w:color w:val="auto"/>
        </w:rPr>
        <w:t>The information required by Item 10 is hereby incorporated by reference from our definitive Proxy Statement relating to our 2014 Annual Meeting of Stockholders, to be filed with the SEC within 120 days following the end of our fiscal year.</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11. EXECUTIVE COMPENSATION</w:t>
      </w:r>
    </w:p>
    <w:p>
      <w:pPr>
        <w:spacing w:after="0" w:line="193" w:lineRule="exact"/>
        <w:rPr>
          <w:sz w:val="20"/>
          <w:szCs w:val="20"/>
          <w:color w:val="auto"/>
        </w:rPr>
      </w:pPr>
    </w:p>
    <w:p>
      <w:pPr>
        <w:ind w:firstLine="369"/>
        <w:spacing w:after="0" w:line="276" w:lineRule="auto"/>
        <w:rPr>
          <w:sz w:val="20"/>
          <w:szCs w:val="20"/>
          <w:color w:val="auto"/>
        </w:rPr>
      </w:pPr>
      <w:r>
        <w:rPr>
          <w:rFonts w:ascii="Arial" w:cs="Arial" w:eastAsia="Arial" w:hAnsi="Arial"/>
          <w:sz w:val="15"/>
          <w:szCs w:val="15"/>
          <w:color w:val="auto"/>
        </w:rPr>
        <w:t>The information required by Item 11 is hereby incorporated by reference from our definitive Proxy Statement relating to our 2014 Annual Meeting of Stockholders, to be filed with the SEC within 120 days following the end of our fiscal year.</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12. SECURITY OWNERSHIP OF CERTAIN BENEFICIAL OWNERS AND MANAGEMENT AND RELATED STOCKHOLDER MATTERS</w:t>
      </w:r>
    </w:p>
    <w:p>
      <w:pPr>
        <w:spacing w:after="0" w:line="193" w:lineRule="exact"/>
        <w:rPr>
          <w:sz w:val="20"/>
          <w:szCs w:val="20"/>
          <w:color w:val="auto"/>
        </w:rPr>
      </w:pPr>
    </w:p>
    <w:p>
      <w:pPr>
        <w:ind w:firstLine="369"/>
        <w:spacing w:after="0" w:line="276" w:lineRule="auto"/>
        <w:rPr>
          <w:sz w:val="20"/>
          <w:szCs w:val="20"/>
          <w:color w:val="auto"/>
        </w:rPr>
      </w:pPr>
      <w:r>
        <w:rPr>
          <w:rFonts w:ascii="Arial" w:cs="Arial" w:eastAsia="Arial" w:hAnsi="Arial"/>
          <w:sz w:val="15"/>
          <w:szCs w:val="15"/>
          <w:color w:val="auto"/>
        </w:rPr>
        <w:t>The information required by Item 12 is hereby incorporated by reference from our definitive Proxy Statement relating to our 2014 Annual Meeting of Stockholders, to be filed with the SEC within 120 days following the end of our fiscal year.</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13. CERTAIN RELATIONSHIPS AND RELATED TRANSACTIONS, AND DIRECTOR INDEPENDENCE</w:t>
      </w:r>
    </w:p>
    <w:p>
      <w:pPr>
        <w:spacing w:after="0" w:line="193" w:lineRule="exact"/>
        <w:rPr>
          <w:sz w:val="20"/>
          <w:szCs w:val="20"/>
          <w:color w:val="auto"/>
        </w:rPr>
      </w:pPr>
    </w:p>
    <w:p>
      <w:pPr>
        <w:ind w:firstLine="369"/>
        <w:spacing w:after="0" w:line="276" w:lineRule="auto"/>
        <w:rPr>
          <w:sz w:val="20"/>
          <w:szCs w:val="20"/>
          <w:color w:val="auto"/>
        </w:rPr>
      </w:pPr>
      <w:r>
        <w:rPr>
          <w:rFonts w:ascii="Arial" w:cs="Arial" w:eastAsia="Arial" w:hAnsi="Arial"/>
          <w:sz w:val="15"/>
          <w:szCs w:val="15"/>
          <w:color w:val="auto"/>
        </w:rPr>
        <w:t>The information required by Item 13 is hereby incorporated by reference from our definitive Proxy Statement relating to our 2014 Annual Meeting of Stockholders, to be filed with the SEC within 120 days following the end of our fiscal year.</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14. PRINCIPAL ACCOUNTANT FEES AND SERVICES</w:t>
      </w:r>
    </w:p>
    <w:p>
      <w:pPr>
        <w:spacing w:after="0" w:line="193" w:lineRule="exact"/>
        <w:rPr>
          <w:sz w:val="20"/>
          <w:szCs w:val="20"/>
          <w:color w:val="auto"/>
        </w:rPr>
      </w:pPr>
    </w:p>
    <w:p>
      <w:pPr>
        <w:ind w:firstLine="369"/>
        <w:spacing w:after="0" w:line="276" w:lineRule="auto"/>
        <w:rPr>
          <w:sz w:val="20"/>
          <w:szCs w:val="20"/>
          <w:color w:val="auto"/>
        </w:rPr>
      </w:pPr>
      <w:r>
        <w:rPr>
          <w:rFonts w:ascii="Arial" w:cs="Arial" w:eastAsia="Arial" w:hAnsi="Arial"/>
          <w:sz w:val="15"/>
          <w:szCs w:val="15"/>
          <w:color w:val="auto"/>
        </w:rPr>
        <w:t>The information required by Item 14 is hereby incorporated by reference from our definitive Proxy Statement relating to our 2014 Annual Meeting of Stockholders, to be filed with the SEC within 120 days following the end of our fiscal year.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884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58"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5"/>
          <w:szCs w:val="15"/>
          <w:b w:val="1"/>
          <w:bCs w:val="1"/>
          <w:color w:val="auto"/>
        </w:rPr>
        <w:t>PART IV</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15. EXHIBITS AND FINANCIAL STATEMENT SCHEDULES</w:t>
      </w:r>
    </w:p>
    <w:p>
      <w:pPr>
        <w:spacing w:after="0" w:line="193" w:lineRule="exact"/>
        <w:rPr>
          <w:sz w:val="20"/>
          <w:szCs w:val="20"/>
          <w:color w:val="auto"/>
        </w:rPr>
      </w:pPr>
    </w:p>
    <w:p>
      <w:pPr>
        <w:ind w:right="7000" w:firstLine="262"/>
        <w:spacing w:after="0" w:line="500" w:lineRule="auto"/>
        <w:tabs>
          <w:tab w:leader="none" w:pos="543"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following documents are filed as part of this Annual Report: The following financial statements are set forth in Item 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0" w:type="dxa"/>
            <w:vAlign w:val="bottom"/>
            <w:gridSpan w:val="2"/>
          </w:tcPr>
          <w:p>
            <w:pPr>
              <w:ind w:left="2560"/>
              <w:spacing w:after="0"/>
              <w:rPr>
                <w:sz w:val="20"/>
                <w:szCs w:val="20"/>
                <w:color w:val="auto"/>
              </w:rPr>
            </w:pPr>
            <w:r>
              <w:rPr>
                <w:rFonts w:ascii="Arial" w:cs="Arial" w:eastAsia="Arial" w:hAnsi="Arial"/>
                <w:sz w:val="15"/>
                <w:szCs w:val="15"/>
                <w:b w:val="1"/>
                <w:bCs w:val="1"/>
                <w:color w:val="auto"/>
              </w:rPr>
              <w:t>INDEX TO FINANCIAL STATEMENTS</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w w:val="83"/>
              </w:rPr>
              <w:t>Page</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800" w:type="dxa"/>
            <w:vAlign w:val="bottom"/>
            <w:gridSpan w:val="5"/>
            <w:shd w:val="clear" w:color="auto" w:fill="CCFFCC"/>
          </w:tcPr>
          <w:p>
            <w:pPr>
              <w:spacing w:after="0"/>
              <w:rPr>
                <w:sz w:val="20"/>
                <w:szCs w:val="20"/>
                <w:color w:val="auto"/>
              </w:rPr>
            </w:pPr>
            <w:r>
              <w:rPr>
                <w:rFonts w:ascii="Arial" w:cs="Arial" w:eastAsia="Arial" w:hAnsi="Arial"/>
                <w:sz w:val="15"/>
                <w:szCs w:val="15"/>
                <w:color w:val="auto"/>
              </w:rPr>
              <w:t>Report of Independent Registered Public Accounting Firms</w:t>
            </w:r>
          </w:p>
        </w:tc>
        <w:tc>
          <w:tcPr>
            <w:tcW w:w="620" w:type="dxa"/>
            <w:vAlign w:val="bottom"/>
            <w:gridSpan w:val="2"/>
            <w:shd w:val="clear" w:color="auto" w:fill="CCFFCC"/>
          </w:tcPr>
          <w:p>
            <w:pPr>
              <w:jc w:val="center"/>
              <w:ind w:right="300"/>
              <w:spacing w:after="0"/>
              <w:rPr>
                <w:sz w:val="20"/>
                <w:szCs w:val="20"/>
                <w:color w:val="auto"/>
              </w:rPr>
            </w:pPr>
            <w:r>
              <w:rPr>
                <w:rFonts w:ascii="Arial" w:cs="Arial" w:eastAsia="Arial" w:hAnsi="Arial"/>
                <w:sz w:val="15"/>
                <w:szCs w:val="15"/>
                <w:color w:val="auto"/>
                <w:w w:val="88"/>
              </w:rPr>
              <w:t>F-1</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4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800" w:type="dxa"/>
            <w:vAlign w:val="bottom"/>
            <w:gridSpan w:val="5"/>
            <w:shd w:val="clear" w:color="auto" w:fill="CCFFCC"/>
          </w:tcPr>
          <w:p>
            <w:pPr>
              <w:spacing w:after="0"/>
              <w:rPr>
                <w:sz w:val="20"/>
                <w:szCs w:val="20"/>
                <w:color w:val="auto"/>
              </w:rPr>
            </w:pPr>
            <w:r>
              <w:rPr>
                <w:rFonts w:ascii="Arial" w:cs="Arial" w:eastAsia="Arial" w:hAnsi="Arial"/>
                <w:sz w:val="15"/>
                <w:szCs w:val="15"/>
                <w:b w:val="1"/>
                <w:bCs w:val="1"/>
                <w:color w:val="auto"/>
              </w:rPr>
              <w:t>Audited Financial Statements:</w:t>
            </w:r>
          </w:p>
        </w:tc>
        <w:tc>
          <w:tcPr>
            <w:tcW w:w="36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4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800" w:type="dxa"/>
            <w:vAlign w:val="bottom"/>
            <w:gridSpan w:val="5"/>
            <w:shd w:val="clear" w:color="auto" w:fill="CCFFCC"/>
          </w:tcPr>
          <w:p>
            <w:pPr>
              <w:spacing w:after="0"/>
              <w:rPr>
                <w:sz w:val="20"/>
                <w:szCs w:val="20"/>
                <w:color w:val="auto"/>
              </w:rPr>
            </w:pPr>
            <w:r>
              <w:rPr>
                <w:rFonts w:ascii="Arial" w:cs="Arial" w:eastAsia="Arial" w:hAnsi="Arial"/>
                <w:sz w:val="15"/>
                <w:szCs w:val="15"/>
                <w:color w:val="auto"/>
              </w:rPr>
              <w:t>Consolidated Statements of Assets and Liabilities as of December 31, 2013 and 2012</w:t>
            </w:r>
          </w:p>
        </w:tc>
        <w:tc>
          <w:tcPr>
            <w:tcW w:w="620" w:type="dxa"/>
            <w:vAlign w:val="bottom"/>
            <w:gridSpan w:val="2"/>
            <w:shd w:val="clear" w:color="auto" w:fill="CCFFCC"/>
          </w:tcPr>
          <w:p>
            <w:pPr>
              <w:jc w:val="center"/>
              <w:ind w:right="300"/>
              <w:spacing w:after="0"/>
              <w:rPr>
                <w:sz w:val="20"/>
                <w:szCs w:val="20"/>
                <w:color w:val="auto"/>
              </w:rPr>
            </w:pPr>
            <w:r>
              <w:rPr>
                <w:rFonts w:ascii="Arial" w:cs="Arial" w:eastAsia="Arial" w:hAnsi="Arial"/>
                <w:sz w:val="15"/>
                <w:szCs w:val="15"/>
                <w:color w:val="auto"/>
                <w:w w:val="88"/>
              </w:rPr>
              <w:t>F-3</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4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800" w:type="dxa"/>
            <w:vAlign w:val="bottom"/>
            <w:gridSpan w:val="5"/>
            <w:shd w:val="clear" w:color="auto" w:fill="CCFFCC"/>
          </w:tcPr>
          <w:p>
            <w:pPr>
              <w:spacing w:after="0"/>
              <w:rPr>
                <w:sz w:val="20"/>
                <w:szCs w:val="20"/>
                <w:color w:val="auto"/>
              </w:rPr>
            </w:pPr>
            <w:r>
              <w:rPr>
                <w:rFonts w:ascii="Arial" w:cs="Arial" w:eastAsia="Arial" w:hAnsi="Arial"/>
                <w:sz w:val="15"/>
                <w:szCs w:val="15"/>
                <w:color w:val="auto"/>
              </w:rPr>
              <w:t>Consolidated Statements of Operations for the years ended December 31, 2013, December 31, 2012 and December 31, 2011</w:t>
            </w:r>
          </w:p>
        </w:tc>
        <w:tc>
          <w:tcPr>
            <w:tcW w:w="620" w:type="dxa"/>
            <w:vAlign w:val="bottom"/>
            <w:gridSpan w:val="2"/>
            <w:shd w:val="clear" w:color="auto" w:fill="CCFFCC"/>
          </w:tcPr>
          <w:p>
            <w:pPr>
              <w:jc w:val="center"/>
              <w:ind w:right="300"/>
              <w:spacing w:after="0"/>
              <w:rPr>
                <w:sz w:val="20"/>
                <w:szCs w:val="20"/>
                <w:color w:val="auto"/>
              </w:rPr>
            </w:pPr>
            <w:r>
              <w:rPr>
                <w:rFonts w:ascii="Arial" w:cs="Arial" w:eastAsia="Arial" w:hAnsi="Arial"/>
                <w:sz w:val="15"/>
                <w:szCs w:val="15"/>
                <w:color w:val="auto"/>
                <w:w w:val="88"/>
              </w:rPr>
              <w:t>F-4</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4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800" w:type="dxa"/>
            <w:vAlign w:val="bottom"/>
            <w:gridSpan w:val="5"/>
            <w:shd w:val="clear" w:color="auto" w:fill="CCFFCC"/>
          </w:tcPr>
          <w:p>
            <w:pPr>
              <w:spacing w:after="0"/>
              <w:rPr>
                <w:sz w:val="20"/>
                <w:szCs w:val="20"/>
                <w:color w:val="auto"/>
              </w:rPr>
            </w:pPr>
            <w:r>
              <w:rPr>
                <w:rFonts w:ascii="Arial" w:cs="Arial" w:eastAsia="Arial" w:hAnsi="Arial"/>
                <w:sz w:val="15"/>
                <w:szCs w:val="15"/>
                <w:color w:val="auto"/>
              </w:rPr>
              <w:t>Consolidated Statements of Changes in Net Assets for the years ended December 31, 2013, December 31, 2012 and December 31, 2011</w:t>
            </w:r>
          </w:p>
        </w:tc>
        <w:tc>
          <w:tcPr>
            <w:tcW w:w="620" w:type="dxa"/>
            <w:vAlign w:val="bottom"/>
            <w:gridSpan w:val="2"/>
            <w:shd w:val="clear" w:color="auto" w:fill="CCFFCC"/>
          </w:tcPr>
          <w:p>
            <w:pPr>
              <w:jc w:val="center"/>
              <w:ind w:right="300"/>
              <w:spacing w:after="0"/>
              <w:rPr>
                <w:sz w:val="20"/>
                <w:szCs w:val="20"/>
                <w:color w:val="auto"/>
              </w:rPr>
            </w:pPr>
            <w:r>
              <w:rPr>
                <w:rFonts w:ascii="Arial" w:cs="Arial" w:eastAsia="Arial" w:hAnsi="Arial"/>
                <w:sz w:val="15"/>
                <w:szCs w:val="15"/>
                <w:color w:val="auto"/>
                <w:w w:val="88"/>
              </w:rPr>
              <w:t>F-5</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4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800" w:type="dxa"/>
            <w:vAlign w:val="bottom"/>
            <w:gridSpan w:val="5"/>
            <w:shd w:val="clear" w:color="auto" w:fill="CCFFCC"/>
          </w:tcPr>
          <w:p>
            <w:pPr>
              <w:spacing w:after="0"/>
              <w:rPr>
                <w:sz w:val="20"/>
                <w:szCs w:val="20"/>
                <w:color w:val="auto"/>
              </w:rPr>
            </w:pPr>
            <w:r>
              <w:rPr>
                <w:rFonts w:ascii="Arial" w:cs="Arial" w:eastAsia="Arial" w:hAnsi="Arial"/>
                <w:sz w:val="15"/>
                <w:szCs w:val="15"/>
                <w:color w:val="auto"/>
              </w:rPr>
              <w:t>Consolidated Statements of Cash Flows for the years ended December 31, 2013, December 31, 2012 and December 31, 2011</w:t>
            </w:r>
          </w:p>
        </w:tc>
        <w:tc>
          <w:tcPr>
            <w:tcW w:w="620" w:type="dxa"/>
            <w:vAlign w:val="bottom"/>
            <w:gridSpan w:val="2"/>
            <w:shd w:val="clear" w:color="auto" w:fill="CCFFCC"/>
          </w:tcPr>
          <w:p>
            <w:pPr>
              <w:jc w:val="center"/>
              <w:ind w:right="300"/>
              <w:spacing w:after="0"/>
              <w:rPr>
                <w:sz w:val="20"/>
                <w:szCs w:val="20"/>
                <w:color w:val="auto"/>
              </w:rPr>
            </w:pPr>
            <w:r>
              <w:rPr>
                <w:rFonts w:ascii="Arial" w:cs="Arial" w:eastAsia="Arial" w:hAnsi="Arial"/>
                <w:sz w:val="15"/>
                <w:szCs w:val="15"/>
                <w:color w:val="auto"/>
                <w:w w:val="88"/>
              </w:rPr>
              <w:t>F-6</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4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800" w:type="dxa"/>
            <w:vAlign w:val="bottom"/>
            <w:gridSpan w:val="5"/>
            <w:shd w:val="clear" w:color="auto" w:fill="CCFFCC"/>
          </w:tcPr>
          <w:p>
            <w:pPr>
              <w:spacing w:after="0"/>
              <w:rPr>
                <w:sz w:val="20"/>
                <w:szCs w:val="20"/>
                <w:color w:val="auto"/>
              </w:rPr>
            </w:pPr>
            <w:r>
              <w:rPr>
                <w:rFonts w:ascii="Arial" w:cs="Arial" w:eastAsia="Arial" w:hAnsi="Arial"/>
                <w:sz w:val="15"/>
                <w:szCs w:val="15"/>
                <w:color w:val="auto"/>
              </w:rPr>
              <w:t>Consolidated Schedules of Investments as of December 31, 2013 and December 31, 2012</w:t>
            </w:r>
          </w:p>
        </w:tc>
        <w:tc>
          <w:tcPr>
            <w:tcW w:w="620" w:type="dxa"/>
            <w:vAlign w:val="bottom"/>
            <w:gridSpan w:val="2"/>
            <w:shd w:val="clear" w:color="auto" w:fill="CCFFCC"/>
          </w:tcPr>
          <w:p>
            <w:pPr>
              <w:jc w:val="center"/>
              <w:ind w:right="300"/>
              <w:spacing w:after="0"/>
              <w:rPr>
                <w:sz w:val="20"/>
                <w:szCs w:val="20"/>
                <w:color w:val="auto"/>
              </w:rPr>
            </w:pPr>
            <w:r>
              <w:rPr>
                <w:rFonts w:ascii="Arial" w:cs="Arial" w:eastAsia="Arial" w:hAnsi="Arial"/>
                <w:sz w:val="15"/>
                <w:szCs w:val="15"/>
                <w:color w:val="auto"/>
                <w:w w:val="88"/>
              </w:rPr>
              <w:t>F-7</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4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800" w:type="dxa"/>
            <w:vAlign w:val="bottom"/>
            <w:gridSpan w:val="5"/>
            <w:shd w:val="clear" w:color="auto" w:fill="CCFFCC"/>
          </w:tcPr>
          <w:p>
            <w:pPr>
              <w:spacing w:after="0"/>
              <w:rPr>
                <w:sz w:val="20"/>
                <w:szCs w:val="20"/>
                <w:color w:val="auto"/>
              </w:rPr>
            </w:pPr>
            <w:r>
              <w:rPr>
                <w:rFonts w:ascii="Arial" w:cs="Arial" w:eastAsia="Arial" w:hAnsi="Arial"/>
                <w:sz w:val="15"/>
                <w:szCs w:val="15"/>
                <w:color w:val="auto"/>
              </w:rPr>
              <w:t>Notes to Consolidated Financial Statements</w:t>
            </w:r>
          </w:p>
        </w:tc>
        <w:tc>
          <w:tcPr>
            <w:tcW w:w="620" w:type="dxa"/>
            <w:vAlign w:val="bottom"/>
            <w:gridSpan w:val="2"/>
            <w:shd w:val="clear" w:color="auto" w:fill="CCFFCC"/>
          </w:tcPr>
          <w:p>
            <w:pPr>
              <w:jc w:val="center"/>
              <w:ind w:right="300"/>
              <w:spacing w:after="0"/>
              <w:rPr>
                <w:sz w:val="20"/>
                <w:szCs w:val="20"/>
                <w:color w:val="auto"/>
              </w:rPr>
            </w:pPr>
            <w:r>
              <w:rPr>
                <w:rFonts w:ascii="Arial" w:cs="Arial" w:eastAsia="Arial" w:hAnsi="Arial"/>
                <w:sz w:val="15"/>
                <w:szCs w:val="15"/>
                <w:color w:val="auto"/>
                <w:w w:val="90"/>
              </w:rPr>
              <w:t>F-11</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1800" w:type="dxa"/>
            <w:vAlign w:val="bottom"/>
            <w:gridSpan w:val="3"/>
          </w:tcPr>
          <w:p>
            <w:pPr>
              <w:ind w:left="240"/>
              <w:spacing w:after="0"/>
              <w:rPr>
                <w:sz w:val="20"/>
                <w:szCs w:val="20"/>
                <w:color w:val="auto"/>
              </w:rPr>
            </w:pPr>
            <w:r>
              <w:rPr>
                <w:rFonts w:ascii="Arial" w:cs="Arial" w:eastAsia="Arial" w:hAnsi="Arial"/>
                <w:sz w:val="15"/>
                <w:szCs w:val="15"/>
                <w:color w:val="auto"/>
              </w:rPr>
              <w:t>b.  Exhibits</w:t>
            </w:r>
          </w:p>
        </w:tc>
        <w:tc>
          <w:tcPr>
            <w:tcW w:w="8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0820" w:type="dxa"/>
            <w:vAlign w:val="bottom"/>
            <w:gridSpan w:val="6"/>
          </w:tcPr>
          <w:p>
            <w:pPr>
              <w:spacing w:after="0"/>
              <w:rPr>
                <w:sz w:val="20"/>
                <w:szCs w:val="20"/>
                <w:color w:val="auto"/>
              </w:rPr>
            </w:pPr>
            <w:r>
              <w:rPr>
                <w:rFonts w:ascii="Arial" w:cs="Arial" w:eastAsia="Arial" w:hAnsi="Arial"/>
                <w:sz w:val="15"/>
                <w:szCs w:val="15"/>
                <w:color w:val="auto"/>
              </w:rPr>
              <w:t>The following exhibits are filed as part of this report or hereby incorporated by reference to exhibits previously filed with the SEC:</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1800" w:type="dxa"/>
            <w:vAlign w:val="bottom"/>
            <w:gridSpan w:val="3"/>
          </w:tcPr>
          <w:p>
            <w:pPr>
              <w:ind w:left="520"/>
              <w:spacing w:after="0"/>
              <w:rPr>
                <w:sz w:val="20"/>
                <w:szCs w:val="20"/>
                <w:color w:val="auto"/>
              </w:rPr>
            </w:pPr>
            <w:r>
              <w:rPr>
                <w:rFonts w:ascii="Arial" w:cs="Arial" w:eastAsia="Arial" w:hAnsi="Arial"/>
                <w:sz w:val="15"/>
                <w:szCs w:val="15"/>
                <w:b w:val="1"/>
                <w:bCs w:val="1"/>
                <w:color w:val="auto"/>
              </w:rPr>
              <w:t>Exhibit</w:t>
            </w:r>
          </w:p>
        </w:tc>
        <w:tc>
          <w:tcPr>
            <w:tcW w:w="8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00" w:type="dxa"/>
            <w:vAlign w:val="bottom"/>
            <w:gridSpan w:val="3"/>
          </w:tcPr>
          <w:p>
            <w:pPr>
              <w:ind w:left="520"/>
              <w:spacing w:after="0"/>
              <w:rPr>
                <w:sz w:val="20"/>
                <w:szCs w:val="20"/>
                <w:color w:val="auto"/>
              </w:rPr>
            </w:pPr>
            <w:r>
              <w:rPr>
                <w:rFonts w:ascii="Arial" w:cs="Arial" w:eastAsia="Arial" w:hAnsi="Arial"/>
                <w:sz w:val="15"/>
                <w:szCs w:val="15"/>
                <w:b w:val="1"/>
                <w:bCs w:val="1"/>
                <w:color w:val="auto"/>
              </w:rPr>
              <w:t>Number</w:t>
            </w:r>
          </w:p>
        </w:tc>
        <w:tc>
          <w:tcPr>
            <w:tcW w:w="9000" w:type="dxa"/>
            <w:vAlign w:val="bottom"/>
            <w:gridSpan w:val="2"/>
          </w:tcPr>
          <w:p>
            <w:pPr>
              <w:spacing w:after="0"/>
              <w:rPr>
                <w:sz w:val="20"/>
                <w:szCs w:val="20"/>
                <w:color w:val="auto"/>
              </w:rPr>
            </w:pPr>
            <w:r>
              <w:rPr>
                <w:rFonts w:ascii="Arial" w:cs="Arial" w:eastAsia="Arial" w:hAnsi="Arial"/>
                <w:sz w:val="15"/>
                <w:szCs w:val="15"/>
                <w:b w:val="1"/>
                <w:bCs w:val="1"/>
                <w:color w:val="auto"/>
              </w:rPr>
              <w:t>Description of Document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700" w:type="dxa"/>
            <w:vAlign w:val="bottom"/>
            <w:gridSpan w:val="3"/>
          </w:tcPr>
          <w:p>
            <w:pPr>
              <w:ind w:left="540"/>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5"/>
                <w:szCs w:val="15"/>
                <w:color w:val="auto"/>
              </w:rPr>
              <w:t>Articles of Amendment and Restatement(1)</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700" w:type="dxa"/>
            <w:vAlign w:val="bottom"/>
            <w:gridSpan w:val="3"/>
          </w:tcPr>
          <w:p>
            <w:pPr>
              <w:ind w:left="540"/>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5"/>
                <w:szCs w:val="15"/>
                <w:color w:val="auto"/>
              </w:rPr>
              <w:t>Certificate of Limited Partnership of CapitalSouth Partners Fund II Limited Partnership(2)</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700" w:type="dxa"/>
            <w:vAlign w:val="bottom"/>
            <w:gridSpan w:val="3"/>
          </w:tcPr>
          <w:p>
            <w:pPr>
              <w:ind w:left="540"/>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5"/>
                <w:szCs w:val="15"/>
                <w:color w:val="auto"/>
              </w:rPr>
              <w:t>Certificate of Limited Partnership of CapitalSouth Partners SBIC Fund III, L.P.(2)</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700" w:type="dxa"/>
            <w:vAlign w:val="bottom"/>
            <w:gridSpan w:val="3"/>
          </w:tcPr>
          <w:p>
            <w:pPr>
              <w:ind w:left="540"/>
              <w:spacing w:after="0"/>
              <w:rPr>
                <w:sz w:val="20"/>
                <w:szCs w:val="20"/>
                <w:color w:val="auto"/>
              </w:rPr>
            </w:pPr>
            <w:r>
              <w:rPr>
                <w:rFonts w:ascii="Arial" w:cs="Arial" w:eastAsia="Arial" w:hAnsi="Arial"/>
                <w:sz w:val="15"/>
                <w:szCs w:val="15"/>
                <w:color w:val="auto"/>
              </w:rPr>
              <w:t>3.4</w:t>
            </w:r>
          </w:p>
        </w:tc>
        <w:tc>
          <w:tcPr>
            <w:tcW w:w="12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5"/>
                <w:szCs w:val="15"/>
                <w:color w:val="auto"/>
              </w:rPr>
              <w:t>Bylaws(1)</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700" w:type="dxa"/>
            <w:vAlign w:val="bottom"/>
            <w:gridSpan w:val="3"/>
          </w:tcPr>
          <w:p>
            <w:pPr>
              <w:ind w:left="540"/>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5"/>
                <w:szCs w:val="15"/>
                <w:color w:val="auto"/>
              </w:rPr>
              <w:t>Form of Amended and Restated Limited Partnership Agreement of CapitalSouth Partners Fund II Limited Partnership(4)</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700" w:type="dxa"/>
            <w:vAlign w:val="bottom"/>
            <w:gridSpan w:val="3"/>
          </w:tcPr>
          <w:p>
            <w:pPr>
              <w:ind w:left="540"/>
              <w:spacing w:after="0"/>
              <w:rPr>
                <w:sz w:val="20"/>
                <w:szCs w:val="20"/>
                <w:color w:val="auto"/>
              </w:rPr>
            </w:pPr>
            <w:r>
              <w:rPr>
                <w:rFonts w:ascii="Arial" w:cs="Arial" w:eastAsia="Arial" w:hAnsi="Arial"/>
                <w:sz w:val="15"/>
                <w:szCs w:val="15"/>
                <w:color w:val="auto"/>
              </w:rPr>
              <w:t>3.6</w:t>
            </w:r>
          </w:p>
        </w:tc>
        <w:tc>
          <w:tcPr>
            <w:tcW w:w="12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5"/>
                <w:szCs w:val="15"/>
                <w:color w:val="auto"/>
              </w:rPr>
              <w:t>Form of Amended and Restated Agreement of Limited Partnership of CapitalSouth Partners SBIC Fund III, L.P.(4)</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700" w:type="dxa"/>
            <w:vAlign w:val="bottom"/>
            <w:gridSpan w:val="3"/>
          </w:tcPr>
          <w:p>
            <w:pPr>
              <w:ind w:left="540"/>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5"/>
                <w:szCs w:val="15"/>
                <w:color w:val="auto"/>
              </w:rPr>
              <w:t>Form of Common Stock Certificate(1)</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700" w:type="dxa"/>
            <w:vAlign w:val="bottom"/>
            <w:gridSpan w:val="3"/>
          </w:tcPr>
          <w:p>
            <w:pPr>
              <w:ind w:left="540"/>
              <w:spacing w:after="0"/>
              <w:rPr>
                <w:sz w:val="20"/>
                <w:szCs w:val="20"/>
                <w:color w:val="auto"/>
              </w:rPr>
            </w:pPr>
            <w:r>
              <w:rPr>
                <w:rFonts w:ascii="Arial" w:cs="Arial" w:eastAsia="Arial" w:hAnsi="Arial"/>
                <w:sz w:val="15"/>
                <w:szCs w:val="15"/>
                <w:color w:val="auto"/>
              </w:rPr>
              <w:t>10.1</w:t>
            </w:r>
          </w:p>
        </w:tc>
        <w:tc>
          <w:tcPr>
            <w:tcW w:w="12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5"/>
                <w:szCs w:val="15"/>
                <w:color w:val="auto"/>
              </w:rPr>
              <w:t>Form of Dividend Reinvestment Plan(1)</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700" w:type="dxa"/>
            <w:vAlign w:val="bottom"/>
            <w:gridSpan w:val="3"/>
          </w:tcPr>
          <w:p>
            <w:pPr>
              <w:ind w:left="540"/>
              <w:spacing w:after="0"/>
              <w:rPr>
                <w:sz w:val="20"/>
                <w:szCs w:val="20"/>
                <w:color w:val="auto"/>
              </w:rPr>
            </w:pPr>
            <w:r>
              <w:rPr>
                <w:rFonts w:ascii="Arial" w:cs="Arial" w:eastAsia="Arial" w:hAnsi="Arial"/>
                <w:sz w:val="15"/>
                <w:szCs w:val="15"/>
                <w:color w:val="auto"/>
              </w:rPr>
              <w:t>10.2</w:t>
            </w:r>
          </w:p>
        </w:tc>
        <w:tc>
          <w:tcPr>
            <w:tcW w:w="12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5"/>
                <w:szCs w:val="15"/>
                <w:color w:val="auto"/>
              </w:rPr>
              <w:t>Form of Investment Advisory Agreement by and between Registrant and Capitala Investment Advisors, LLC(1)</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700" w:type="dxa"/>
            <w:vAlign w:val="bottom"/>
            <w:gridSpan w:val="3"/>
          </w:tcPr>
          <w:p>
            <w:pPr>
              <w:ind w:left="540"/>
              <w:spacing w:after="0"/>
              <w:rPr>
                <w:sz w:val="20"/>
                <w:szCs w:val="20"/>
                <w:color w:val="auto"/>
              </w:rPr>
            </w:pPr>
            <w:r>
              <w:rPr>
                <w:rFonts w:ascii="Arial" w:cs="Arial" w:eastAsia="Arial" w:hAnsi="Arial"/>
                <w:sz w:val="15"/>
                <w:szCs w:val="15"/>
                <w:color w:val="auto"/>
              </w:rPr>
              <w:t>10.3</w:t>
            </w:r>
          </w:p>
        </w:tc>
        <w:tc>
          <w:tcPr>
            <w:tcW w:w="12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5"/>
                <w:szCs w:val="15"/>
                <w:color w:val="auto"/>
              </w:rPr>
              <w:t>Form of Custodian Agreement(1)</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700" w:type="dxa"/>
            <w:vAlign w:val="bottom"/>
            <w:gridSpan w:val="3"/>
          </w:tcPr>
          <w:p>
            <w:pPr>
              <w:ind w:left="540"/>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5"/>
                <w:szCs w:val="15"/>
                <w:color w:val="auto"/>
              </w:rPr>
              <w:t>Form of Administration Agreement by and between Registrant and Capitala Advisors Corp.(1)</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700" w:type="dxa"/>
            <w:vAlign w:val="bottom"/>
            <w:gridSpan w:val="3"/>
          </w:tcPr>
          <w:p>
            <w:pPr>
              <w:ind w:left="540"/>
              <w:spacing w:after="0"/>
              <w:rPr>
                <w:sz w:val="20"/>
                <w:szCs w:val="20"/>
                <w:color w:val="auto"/>
              </w:rPr>
            </w:pPr>
            <w:r>
              <w:rPr>
                <w:rFonts w:ascii="Arial" w:cs="Arial" w:eastAsia="Arial" w:hAnsi="Arial"/>
                <w:sz w:val="15"/>
                <w:szCs w:val="15"/>
                <w:color w:val="auto"/>
              </w:rPr>
              <w:t>10.5</w:t>
            </w:r>
          </w:p>
        </w:tc>
        <w:tc>
          <w:tcPr>
            <w:tcW w:w="12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5"/>
                <w:szCs w:val="15"/>
                <w:color w:val="auto"/>
              </w:rPr>
              <w:t>Form of Indemnification Agreement by and between Registrant and each of its directors(1)</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700" w:type="dxa"/>
            <w:vAlign w:val="bottom"/>
            <w:gridSpan w:val="3"/>
          </w:tcPr>
          <w:p>
            <w:pPr>
              <w:ind w:left="540"/>
              <w:spacing w:after="0"/>
              <w:rPr>
                <w:sz w:val="20"/>
                <w:szCs w:val="20"/>
                <w:color w:val="auto"/>
              </w:rPr>
            </w:pPr>
            <w:r>
              <w:rPr>
                <w:rFonts w:ascii="Arial" w:cs="Arial" w:eastAsia="Arial" w:hAnsi="Arial"/>
                <w:sz w:val="15"/>
                <w:szCs w:val="15"/>
                <w:color w:val="auto"/>
              </w:rPr>
              <w:t>10.6</w:t>
            </w:r>
          </w:p>
        </w:tc>
        <w:tc>
          <w:tcPr>
            <w:tcW w:w="12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5"/>
                <w:szCs w:val="15"/>
                <w:color w:val="auto"/>
              </w:rPr>
              <w:t>Form of Trademark License Agreement by and between Registrant and Capitala Investment Advisors, LLC(1)</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700" w:type="dxa"/>
            <w:vAlign w:val="bottom"/>
            <w:gridSpan w:val="3"/>
          </w:tcPr>
          <w:p>
            <w:pPr>
              <w:ind w:left="540"/>
              <w:spacing w:after="0"/>
              <w:rPr>
                <w:sz w:val="20"/>
                <w:szCs w:val="20"/>
                <w:color w:val="auto"/>
              </w:rPr>
            </w:pPr>
            <w:r>
              <w:rPr>
                <w:rFonts w:ascii="Arial" w:cs="Arial" w:eastAsia="Arial" w:hAnsi="Arial"/>
                <w:sz w:val="15"/>
                <w:szCs w:val="15"/>
                <w:color w:val="auto"/>
              </w:rPr>
              <w:t>10.7</w:t>
            </w:r>
          </w:p>
        </w:tc>
        <w:tc>
          <w:tcPr>
            <w:tcW w:w="12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5"/>
                <w:szCs w:val="15"/>
                <w:color w:val="auto"/>
                <w:w w:val="90"/>
              </w:rPr>
              <w:t>Form of Purchase and Sale Agreement by and among Registrant, CapitalSouth Partners Fund III, L.P., CapitalSouth Partners SBIC Fund III, L.P. and</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0" w:type="dxa"/>
            <w:vAlign w:val="bottom"/>
            <w:gridSpan w:val="2"/>
          </w:tcPr>
          <w:p>
            <w:pPr>
              <w:spacing w:after="0"/>
              <w:rPr>
                <w:sz w:val="20"/>
                <w:szCs w:val="20"/>
                <w:color w:val="auto"/>
              </w:rPr>
            </w:pPr>
            <w:r>
              <w:rPr>
                <w:rFonts w:ascii="Arial" w:cs="Arial" w:eastAsia="Arial" w:hAnsi="Arial"/>
                <w:sz w:val="15"/>
                <w:szCs w:val="15"/>
                <w:color w:val="auto"/>
              </w:rPr>
              <w:t>CapitalSouth Partners SBIC F-III, LLC(4)</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1700" w:type="dxa"/>
            <w:vAlign w:val="bottom"/>
            <w:gridSpan w:val="3"/>
          </w:tcPr>
          <w:p>
            <w:pPr>
              <w:ind w:left="540"/>
              <w:spacing w:after="0"/>
              <w:rPr>
                <w:sz w:val="20"/>
                <w:szCs w:val="20"/>
                <w:color w:val="auto"/>
              </w:rPr>
            </w:pPr>
            <w:r>
              <w:rPr>
                <w:rFonts w:ascii="Arial" w:cs="Arial" w:eastAsia="Arial" w:hAnsi="Arial"/>
                <w:sz w:val="15"/>
                <w:szCs w:val="15"/>
                <w:color w:val="auto"/>
              </w:rPr>
              <w:t>10.8</w:t>
            </w:r>
          </w:p>
        </w:tc>
        <w:tc>
          <w:tcPr>
            <w:tcW w:w="12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5"/>
                <w:szCs w:val="15"/>
                <w:color w:val="auto"/>
                <w:w w:val="92"/>
              </w:rPr>
              <w:t>Form of Purchase and Sale Agreement by and among Registrant, Atlas Powers Investments, LLC, Markham Hunt Broyhill and John F. McGlinn(4)</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ind w:left="3820"/>
              <w:spacing w:after="0"/>
              <w:rPr>
                <w:sz w:val="20"/>
                <w:szCs w:val="20"/>
                <w:color w:val="auto"/>
              </w:rPr>
            </w:pPr>
            <w:r>
              <w:rPr>
                <w:rFonts w:ascii="Arial" w:cs="Arial" w:eastAsia="Arial" w:hAnsi="Arial"/>
                <w:sz w:val="15"/>
                <w:szCs w:val="15"/>
                <w:color w:val="auto"/>
              </w:rPr>
              <w:t>71</w:t>
            </w: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58" w:right="219" w:bottom="1440" w:gutter="0" w:footer="0" w:header="0"/>
        </w:sectPr>
      </w:pPr>
    </w:p>
    <w:bookmarkStart w:id="101" w:name="page102"/>
    <w:bookmarkEnd w:id="101"/>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181"/>
        </w:trPr>
        <w:tc>
          <w:tcPr>
            <w:tcW w:w="800" w:type="dxa"/>
            <w:vAlign w:val="bottom"/>
          </w:tcPr>
          <w:p>
            <w:pPr>
              <w:spacing w:after="0"/>
              <w:rPr>
                <w:sz w:val="20"/>
                <w:szCs w:val="20"/>
                <w:color w:val="auto"/>
              </w:rPr>
            </w:pPr>
            <w:r>
              <w:rPr>
                <w:rFonts w:ascii="Arial" w:cs="Arial" w:eastAsia="Arial" w:hAnsi="Arial"/>
                <w:sz w:val="15"/>
                <w:szCs w:val="15"/>
                <w:color w:val="auto"/>
              </w:rPr>
              <w:t>10.9</w:t>
            </w:r>
          </w:p>
        </w:tc>
        <w:tc>
          <w:tcPr>
            <w:tcW w:w="9820" w:type="dxa"/>
            <w:vAlign w:val="bottom"/>
          </w:tcPr>
          <w:p>
            <w:pPr>
              <w:ind w:left="480"/>
              <w:spacing w:after="0"/>
              <w:rPr>
                <w:sz w:val="20"/>
                <w:szCs w:val="20"/>
                <w:color w:val="auto"/>
              </w:rPr>
            </w:pPr>
            <w:r>
              <w:rPr>
                <w:rFonts w:ascii="Arial" w:cs="Arial" w:eastAsia="Arial" w:hAnsi="Arial"/>
                <w:sz w:val="15"/>
                <w:szCs w:val="15"/>
                <w:color w:val="auto"/>
                <w:w w:val="95"/>
              </w:rPr>
              <w:t>Form of Purchase and Sale Agreement by and among Registrant, CapitalSouth Partners F-II, LLC, Atlas Powers Investments, LLC, Markham Hunt</w:t>
            </w:r>
          </w:p>
        </w:tc>
      </w:tr>
      <w:tr>
        <w:trPr>
          <w:trHeight w:val="190"/>
        </w:trPr>
        <w:tc>
          <w:tcPr>
            <w:tcW w:w="800" w:type="dxa"/>
            <w:vAlign w:val="bottom"/>
          </w:tcPr>
          <w:p>
            <w:pPr>
              <w:spacing w:after="0"/>
              <w:rPr>
                <w:sz w:val="16"/>
                <w:szCs w:val="16"/>
                <w:color w:val="auto"/>
              </w:rPr>
            </w:pPr>
          </w:p>
        </w:tc>
        <w:tc>
          <w:tcPr>
            <w:tcW w:w="9820" w:type="dxa"/>
            <w:vAlign w:val="bottom"/>
          </w:tcPr>
          <w:p>
            <w:pPr>
              <w:ind w:left="480"/>
              <w:spacing w:after="0"/>
              <w:rPr>
                <w:sz w:val="20"/>
                <w:szCs w:val="20"/>
                <w:color w:val="auto"/>
              </w:rPr>
            </w:pPr>
            <w:r>
              <w:rPr>
                <w:rFonts w:ascii="Arial" w:cs="Arial" w:eastAsia="Arial" w:hAnsi="Arial"/>
                <w:sz w:val="15"/>
                <w:szCs w:val="15"/>
                <w:color w:val="auto"/>
              </w:rPr>
              <w:t>Broyhill, John F. McGlinn, Capitala Transaction Corp., Joseph B. Alala, III and Chris Norton(4)</w:t>
            </w:r>
          </w:p>
        </w:tc>
      </w:tr>
      <w:tr>
        <w:trPr>
          <w:trHeight w:val="353"/>
        </w:trPr>
        <w:tc>
          <w:tcPr>
            <w:tcW w:w="800" w:type="dxa"/>
            <w:vAlign w:val="bottom"/>
          </w:tcPr>
          <w:p>
            <w:pPr>
              <w:spacing w:after="0"/>
              <w:rPr>
                <w:sz w:val="20"/>
                <w:szCs w:val="20"/>
                <w:color w:val="auto"/>
              </w:rPr>
            </w:pPr>
            <w:r>
              <w:rPr>
                <w:rFonts w:ascii="Arial" w:cs="Arial" w:eastAsia="Arial" w:hAnsi="Arial"/>
                <w:sz w:val="15"/>
                <w:szCs w:val="15"/>
                <w:color w:val="auto"/>
              </w:rPr>
              <w:t>10.10</w:t>
            </w:r>
          </w:p>
        </w:tc>
        <w:tc>
          <w:tcPr>
            <w:tcW w:w="9820" w:type="dxa"/>
            <w:vAlign w:val="bottom"/>
          </w:tcPr>
          <w:p>
            <w:pPr>
              <w:ind w:left="480"/>
              <w:spacing w:after="0"/>
              <w:rPr>
                <w:sz w:val="20"/>
                <w:szCs w:val="20"/>
                <w:color w:val="auto"/>
              </w:rPr>
            </w:pPr>
            <w:r>
              <w:rPr>
                <w:rFonts w:ascii="Arial" w:cs="Arial" w:eastAsia="Arial" w:hAnsi="Arial"/>
                <w:sz w:val="15"/>
                <w:szCs w:val="15"/>
                <w:color w:val="auto"/>
                <w:w w:val="92"/>
              </w:rPr>
              <w:t>Form of Agreement and Plan of Merger by and between Registrant, CS F-II Acquisition Sub, LLC, CapitalSouth Partners Fund II Limited Partnership and</w:t>
            </w:r>
          </w:p>
        </w:tc>
      </w:tr>
      <w:tr>
        <w:trPr>
          <w:trHeight w:val="190"/>
        </w:trPr>
        <w:tc>
          <w:tcPr>
            <w:tcW w:w="800" w:type="dxa"/>
            <w:vAlign w:val="bottom"/>
          </w:tcPr>
          <w:p>
            <w:pPr>
              <w:spacing w:after="0"/>
              <w:rPr>
                <w:sz w:val="16"/>
                <w:szCs w:val="16"/>
                <w:color w:val="auto"/>
              </w:rPr>
            </w:pPr>
          </w:p>
        </w:tc>
        <w:tc>
          <w:tcPr>
            <w:tcW w:w="9820" w:type="dxa"/>
            <w:vAlign w:val="bottom"/>
          </w:tcPr>
          <w:p>
            <w:pPr>
              <w:ind w:left="480"/>
              <w:spacing w:after="0"/>
              <w:rPr>
                <w:sz w:val="20"/>
                <w:szCs w:val="20"/>
                <w:color w:val="auto"/>
              </w:rPr>
            </w:pPr>
            <w:r>
              <w:rPr>
                <w:rFonts w:ascii="Arial" w:cs="Arial" w:eastAsia="Arial" w:hAnsi="Arial"/>
                <w:sz w:val="15"/>
                <w:szCs w:val="15"/>
                <w:color w:val="auto"/>
              </w:rPr>
              <w:t>CapitalSouth Partners F-II, LLC(4)</w:t>
            </w:r>
          </w:p>
        </w:tc>
      </w:tr>
      <w:tr>
        <w:trPr>
          <w:trHeight w:val="362"/>
        </w:trPr>
        <w:tc>
          <w:tcPr>
            <w:tcW w:w="800" w:type="dxa"/>
            <w:vAlign w:val="bottom"/>
          </w:tcPr>
          <w:p>
            <w:pPr>
              <w:spacing w:after="0"/>
              <w:rPr>
                <w:sz w:val="20"/>
                <w:szCs w:val="20"/>
                <w:color w:val="auto"/>
              </w:rPr>
            </w:pPr>
            <w:r>
              <w:rPr>
                <w:rFonts w:ascii="Arial" w:cs="Arial" w:eastAsia="Arial" w:hAnsi="Arial"/>
                <w:sz w:val="15"/>
                <w:szCs w:val="15"/>
                <w:color w:val="auto"/>
              </w:rPr>
              <w:t>10.11</w:t>
            </w:r>
          </w:p>
        </w:tc>
        <w:tc>
          <w:tcPr>
            <w:tcW w:w="9820" w:type="dxa"/>
            <w:vAlign w:val="bottom"/>
          </w:tcPr>
          <w:p>
            <w:pPr>
              <w:ind w:left="480"/>
              <w:spacing w:after="0"/>
              <w:rPr>
                <w:sz w:val="20"/>
                <w:szCs w:val="20"/>
                <w:color w:val="auto"/>
              </w:rPr>
            </w:pPr>
            <w:r>
              <w:rPr>
                <w:rFonts w:ascii="Arial" w:cs="Arial" w:eastAsia="Arial" w:hAnsi="Arial"/>
                <w:sz w:val="15"/>
                <w:szCs w:val="15"/>
                <w:color w:val="auto"/>
              </w:rPr>
              <w:t>Form of Purchase Agreement by and between Registrant, CapitalSouth Partners Fund III, L.P. and CapitalSouth Partners F-III, LLC(4)</w:t>
            </w:r>
          </w:p>
        </w:tc>
      </w:tr>
      <w:tr>
        <w:trPr>
          <w:trHeight w:val="353"/>
        </w:trPr>
        <w:tc>
          <w:tcPr>
            <w:tcW w:w="800" w:type="dxa"/>
            <w:vAlign w:val="bottom"/>
          </w:tcPr>
          <w:p>
            <w:pPr>
              <w:spacing w:after="0"/>
              <w:rPr>
                <w:sz w:val="20"/>
                <w:szCs w:val="20"/>
                <w:color w:val="auto"/>
              </w:rPr>
            </w:pPr>
            <w:r>
              <w:rPr>
                <w:rFonts w:ascii="Arial" w:cs="Arial" w:eastAsia="Arial" w:hAnsi="Arial"/>
                <w:sz w:val="15"/>
                <w:szCs w:val="15"/>
                <w:color w:val="auto"/>
              </w:rPr>
              <w:t>10.12</w:t>
            </w:r>
          </w:p>
        </w:tc>
        <w:tc>
          <w:tcPr>
            <w:tcW w:w="9820" w:type="dxa"/>
            <w:vAlign w:val="bottom"/>
          </w:tcPr>
          <w:p>
            <w:pPr>
              <w:ind w:left="480"/>
              <w:spacing w:after="0"/>
              <w:rPr>
                <w:sz w:val="20"/>
                <w:szCs w:val="20"/>
                <w:color w:val="auto"/>
              </w:rPr>
            </w:pPr>
            <w:r>
              <w:rPr>
                <w:rFonts w:ascii="Arial" w:cs="Arial" w:eastAsia="Arial" w:hAnsi="Arial"/>
                <w:sz w:val="15"/>
                <w:szCs w:val="15"/>
                <w:color w:val="auto"/>
                <w:w w:val="90"/>
              </w:rPr>
              <w:t>Form of Purchase and Sale Agreement by and among Registrant, CapitalSouth Partners Florida Sidecar Fund I, L.P., Florida Growth Fund, LLC and CSP -</w:t>
            </w:r>
          </w:p>
        </w:tc>
      </w:tr>
      <w:tr>
        <w:trPr>
          <w:trHeight w:val="190"/>
        </w:trPr>
        <w:tc>
          <w:tcPr>
            <w:tcW w:w="800" w:type="dxa"/>
            <w:vAlign w:val="bottom"/>
          </w:tcPr>
          <w:p>
            <w:pPr>
              <w:spacing w:after="0"/>
              <w:rPr>
                <w:sz w:val="16"/>
                <w:szCs w:val="16"/>
                <w:color w:val="auto"/>
              </w:rPr>
            </w:pPr>
          </w:p>
        </w:tc>
        <w:tc>
          <w:tcPr>
            <w:tcW w:w="9820" w:type="dxa"/>
            <w:vAlign w:val="bottom"/>
          </w:tcPr>
          <w:p>
            <w:pPr>
              <w:ind w:left="480"/>
              <w:spacing w:after="0"/>
              <w:rPr>
                <w:sz w:val="20"/>
                <w:szCs w:val="20"/>
                <w:color w:val="auto"/>
              </w:rPr>
            </w:pPr>
            <w:r>
              <w:rPr>
                <w:rFonts w:ascii="Arial" w:cs="Arial" w:eastAsia="Arial" w:hAnsi="Arial"/>
                <w:sz w:val="15"/>
                <w:szCs w:val="15"/>
                <w:color w:val="auto"/>
              </w:rPr>
              <w:t>Florida Mezzanine Fund I, LLC(4)</w:t>
            </w:r>
          </w:p>
        </w:tc>
      </w:tr>
      <w:tr>
        <w:trPr>
          <w:trHeight w:val="362"/>
        </w:trPr>
        <w:tc>
          <w:tcPr>
            <w:tcW w:w="800" w:type="dxa"/>
            <w:vAlign w:val="bottom"/>
          </w:tcPr>
          <w:p>
            <w:pPr>
              <w:spacing w:after="0"/>
              <w:rPr>
                <w:sz w:val="20"/>
                <w:szCs w:val="20"/>
                <w:color w:val="auto"/>
              </w:rPr>
            </w:pPr>
            <w:r>
              <w:rPr>
                <w:rFonts w:ascii="Arial" w:cs="Arial" w:eastAsia="Arial" w:hAnsi="Arial"/>
                <w:sz w:val="15"/>
                <w:szCs w:val="15"/>
                <w:color w:val="auto"/>
              </w:rPr>
              <w:t>10.13</w:t>
            </w:r>
          </w:p>
        </w:tc>
        <w:tc>
          <w:tcPr>
            <w:tcW w:w="9820" w:type="dxa"/>
            <w:vAlign w:val="bottom"/>
          </w:tcPr>
          <w:p>
            <w:pPr>
              <w:ind w:left="480"/>
              <w:spacing w:after="0"/>
              <w:rPr>
                <w:sz w:val="20"/>
                <w:szCs w:val="20"/>
                <w:color w:val="auto"/>
              </w:rPr>
            </w:pPr>
            <w:r>
              <w:rPr>
                <w:rFonts w:ascii="Arial" w:cs="Arial" w:eastAsia="Arial" w:hAnsi="Arial"/>
                <w:sz w:val="15"/>
                <w:szCs w:val="15"/>
                <w:color w:val="auto"/>
                <w:w w:val="98"/>
              </w:rPr>
              <w:t>Form of Purchase Agreement by and among Registrant, CapitalSouth Partners Fund I, Limited Partnership and CapitalSouth Partners, LLC(4)</w:t>
            </w:r>
          </w:p>
        </w:tc>
      </w:tr>
      <w:tr>
        <w:trPr>
          <w:trHeight w:val="362"/>
        </w:trPr>
        <w:tc>
          <w:tcPr>
            <w:tcW w:w="800" w:type="dxa"/>
            <w:vAlign w:val="bottom"/>
          </w:tcPr>
          <w:p>
            <w:pPr>
              <w:spacing w:after="0"/>
              <w:rPr>
                <w:sz w:val="20"/>
                <w:szCs w:val="20"/>
                <w:color w:val="auto"/>
              </w:rPr>
            </w:pPr>
            <w:r>
              <w:rPr>
                <w:rFonts w:ascii="Arial" w:cs="Arial" w:eastAsia="Arial" w:hAnsi="Arial"/>
                <w:sz w:val="15"/>
                <w:szCs w:val="15"/>
                <w:color w:val="auto"/>
              </w:rPr>
              <w:t>10.14</w:t>
            </w:r>
          </w:p>
        </w:tc>
        <w:tc>
          <w:tcPr>
            <w:tcW w:w="9820" w:type="dxa"/>
            <w:vAlign w:val="bottom"/>
          </w:tcPr>
          <w:p>
            <w:pPr>
              <w:ind w:left="480"/>
              <w:spacing w:after="0"/>
              <w:rPr>
                <w:sz w:val="20"/>
                <w:szCs w:val="20"/>
                <w:color w:val="auto"/>
              </w:rPr>
            </w:pPr>
            <w:r>
              <w:rPr>
                <w:rFonts w:ascii="Arial" w:cs="Arial" w:eastAsia="Arial" w:hAnsi="Arial"/>
                <w:sz w:val="15"/>
                <w:szCs w:val="15"/>
                <w:color w:val="auto"/>
              </w:rPr>
              <w:t>Form of Purchase and Sale Agreement by and between Registrant and CapitalSouth Corporation (4)</w:t>
            </w:r>
          </w:p>
        </w:tc>
      </w:tr>
      <w:tr>
        <w:trPr>
          <w:trHeight w:val="362"/>
        </w:trPr>
        <w:tc>
          <w:tcPr>
            <w:tcW w:w="800" w:type="dxa"/>
            <w:vAlign w:val="bottom"/>
          </w:tcPr>
          <w:p>
            <w:pPr>
              <w:spacing w:after="0"/>
              <w:rPr>
                <w:sz w:val="20"/>
                <w:szCs w:val="20"/>
                <w:color w:val="auto"/>
              </w:rPr>
            </w:pPr>
            <w:r>
              <w:rPr>
                <w:rFonts w:ascii="Arial" w:cs="Arial" w:eastAsia="Arial" w:hAnsi="Arial"/>
                <w:sz w:val="15"/>
                <w:szCs w:val="15"/>
                <w:color w:val="auto"/>
              </w:rPr>
              <w:t>11.1</w:t>
            </w:r>
          </w:p>
        </w:tc>
        <w:tc>
          <w:tcPr>
            <w:tcW w:w="9820" w:type="dxa"/>
            <w:vAlign w:val="bottom"/>
          </w:tcPr>
          <w:p>
            <w:pPr>
              <w:ind w:left="480"/>
              <w:spacing w:after="0"/>
              <w:rPr>
                <w:sz w:val="20"/>
                <w:szCs w:val="20"/>
                <w:color w:val="auto"/>
              </w:rPr>
            </w:pPr>
            <w:r>
              <w:rPr>
                <w:rFonts w:ascii="Arial" w:cs="Arial" w:eastAsia="Arial" w:hAnsi="Arial"/>
                <w:sz w:val="15"/>
                <w:szCs w:val="15"/>
                <w:color w:val="auto"/>
              </w:rPr>
              <w:t>Computation of Per Share Earnings (included in the notes to the financial statements contained in this report)</w:t>
            </w:r>
          </w:p>
        </w:tc>
      </w:tr>
      <w:tr>
        <w:trPr>
          <w:trHeight w:val="362"/>
        </w:trPr>
        <w:tc>
          <w:tcPr>
            <w:tcW w:w="800" w:type="dxa"/>
            <w:vAlign w:val="bottom"/>
          </w:tcPr>
          <w:p>
            <w:pPr>
              <w:spacing w:after="0"/>
              <w:rPr>
                <w:sz w:val="20"/>
                <w:szCs w:val="20"/>
                <w:color w:val="auto"/>
              </w:rPr>
            </w:pPr>
            <w:r>
              <w:rPr>
                <w:rFonts w:ascii="Arial" w:cs="Arial" w:eastAsia="Arial" w:hAnsi="Arial"/>
                <w:sz w:val="15"/>
                <w:szCs w:val="15"/>
                <w:color w:val="auto"/>
              </w:rPr>
              <w:t>14.1</w:t>
            </w:r>
          </w:p>
        </w:tc>
        <w:tc>
          <w:tcPr>
            <w:tcW w:w="9820" w:type="dxa"/>
            <w:vAlign w:val="bottom"/>
          </w:tcPr>
          <w:p>
            <w:pPr>
              <w:ind w:left="480"/>
              <w:spacing w:after="0"/>
              <w:rPr>
                <w:sz w:val="20"/>
                <w:szCs w:val="20"/>
                <w:color w:val="auto"/>
              </w:rPr>
            </w:pPr>
            <w:r>
              <w:rPr>
                <w:rFonts w:ascii="Arial" w:cs="Arial" w:eastAsia="Arial" w:hAnsi="Arial"/>
                <w:sz w:val="15"/>
                <w:szCs w:val="15"/>
                <w:color w:val="auto"/>
              </w:rPr>
              <w:t>Code of Ethics (2)</w:t>
            </w:r>
          </w:p>
        </w:tc>
      </w:tr>
      <w:tr>
        <w:trPr>
          <w:trHeight w:val="362"/>
        </w:trPr>
        <w:tc>
          <w:tcPr>
            <w:tcW w:w="800" w:type="dxa"/>
            <w:vAlign w:val="bottom"/>
          </w:tcPr>
          <w:p>
            <w:pPr>
              <w:spacing w:after="0"/>
              <w:rPr>
                <w:sz w:val="20"/>
                <w:szCs w:val="20"/>
                <w:color w:val="auto"/>
              </w:rPr>
            </w:pPr>
            <w:r>
              <w:rPr>
                <w:rFonts w:ascii="Arial" w:cs="Arial" w:eastAsia="Arial" w:hAnsi="Arial"/>
                <w:sz w:val="15"/>
                <w:szCs w:val="15"/>
                <w:color w:val="auto"/>
              </w:rPr>
              <w:t>21.1</w:t>
            </w:r>
          </w:p>
        </w:tc>
        <w:tc>
          <w:tcPr>
            <w:tcW w:w="9820" w:type="dxa"/>
            <w:vAlign w:val="bottom"/>
          </w:tcPr>
          <w:p>
            <w:pPr>
              <w:ind w:left="480"/>
              <w:spacing w:after="0"/>
              <w:rPr>
                <w:sz w:val="20"/>
                <w:szCs w:val="20"/>
                <w:color w:val="auto"/>
              </w:rPr>
            </w:pPr>
            <w:r>
              <w:rPr>
                <w:rFonts w:ascii="Arial" w:cs="Arial" w:eastAsia="Arial" w:hAnsi="Arial"/>
                <w:sz w:val="15"/>
                <w:szCs w:val="15"/>
                <w:color w:val="auto"/>
              </w:rPr>
              <w:t>List of Subsidiaries (filed herewith)</w:t>
            </w:r>
          </w:p>
        </w:tc>
      </w:tr>
      <w:tr>
        <w:trPr>
          <w:trHeight w:val="353"/>
        </w:trPr>
        <w:tc>
          <w:tcPr>
            <w:tcW w:w="800" w:type="dxa"/>
            <w:vAlign w:val="bottom"/>
          </w:tcPr>
          <w:p>
            <w:pPr>
              <w:spacing w:after="0"/>
              <w:rPr>
                <w:sz w:val="20"/>
                <w:szCs w:val="20"/>
                <w:color w:val="auto"/>
              </w:rPr>
            </w:pPr>
            <w:r>
              <w:rPr>
                <w:rFonts w:ascii="Arial" w:cs="Arial" w:eastAsia="Arial" w:hAnsi="Arial"/>
                <w:sz w:val="15"/>
                <w:szCs w:val="15"/>
                <w:color w:val="auto"/>
              </w:rPr>
              <w:t>31.1</w:t>
            </w:r>
          </w:p>
        </w:tc>
        <w:tc>
          <w:tcPr>
            <w:tcW w:w="9820" w:type="dxa"/>
            <w:vAlign w:val="bottom"/>
          </w:tcPr>
          <w:p>
            <w:pPr>
              <w:ind w:left="480"/>
              <w:spacing w:after="0"/>
              <w:rPr>
                <w:sz w:val="20"/>
                <w:szCs w:val="20"/>
                <w:color w:val="auto"/>
              </w:rPr>
            </w:pPr>
            <w:r>
              <w:rPr>
                <w:rFonts w:ascii="Arial" w:cs="Arial" w:eastAsia="Arial" w:hAnsi="Arial"/>
                <w:sz w:val="15"/>
                <w:szCs w:val="15"/>
                <w:color w:val="auto"/>
                <w:w w:val="96"/>
              </w:rPr>
              <w:t>Certification of Chief Executive Officer pursuant to Rule 13a-14 of the Securities Exchange Act of 1934, as adopted pursuant to Section 302 of the</w:t>
            </w:r>
          </w:p>
        </w:tc>
      </w:tr>
      <w:tr>
        <w:trPr>
          <w:trHeight w:val="190"/>
        </w:trPr>
        <w:tc>
          <w:tcPr>
            <w:tcW w:w="800" w:type="dxa"/>
            <w:vAlign w:val="bottom"/>
          </w:tcPr>
          <w:p>
            <w:pPr>
              <w:spacing w:after="0"/>
              <w:rPr>
                <w:sz w:val="16"/>
                <w:szCs w:val="16"/>
                <w:color w:val="auto"/>
              </w:rPr>
            </w:pPr>
          </w:p>
        </w:tc>
        <w:tc>
          <w:tcPr>
            <w:tcW w:w="9820" w:type="dxa"/>
            <w:vAlign w:val="bottom"/>
          </w:tcPr>
          <w:p>
            <w:pPr>
              <w:ind w:left="480"/>
              <w:spacing w:after="0"/>
              <w:rPr>
                <w:sz w:val="20"/>
                <w:szCs w:val="20"/>
                <w:color w:val="auto"/>
              </w:rPr>
            </w:pPr>
            <w:r>
              <w:rPr>
                <w:rFonts w:ascii="Arial" w:cs="Arial" w:eastAsia="Arial" w:hAnsi="Arial"/>
                <w:sz w:val="15"/>
                <w:szCs w:val="15"/>
                <w:color w:val="auto"/>
              </w:rPr>
              <w:t>Sarbanes-Oxley Act of 2002 (filed herewith)</w:t>
            </w:r>
          </w:p>
        </w:tc>
      </w:tr>
      <w:tr>
        <w:trPr>
          <w:trHeight w:val="353"/>
        </w:trPr>
        <w:tc>
          <w:tcPr>
            <w:tcW w:w="800" w:type="dxa"/>
            <w:vAlign w:val="bottom"/>
          </w:tcPr>
          <w:p>
            <w:pPr>
              <w:spacing w:after="0"/>
              <w:rPr>
                <w:sz w:val="20"/>
                <w:szCs w:val="20"/>
                <w:color w:val="auto"/>
              </w:rPr>
            </w:pPr>
            <w:r>
              <w:rPr>
                <w:rFonts w:ascii="Arial" w:cs="Arial" w:eastAsia="Arial" w:hAnsi="Arial"/>
                <w:sz w:val="15"/>
                <w:szCs w:val="15"/>
                <w:color w:val="auto"/>
              </w:rPr>
              <w:t>31.2</w:t>
            </w:r>
          </w:p>
        </w:tc>
        <w:tc>
          <w:tcPr>
            <w:tcW w:w="9820" w:type="dxa"/>
            <w:vAlign w:val="bottom"/>
          </w:tcPr>
          <w:p>
            <w:pPr>
              <w:ind w:left="480"/>
              <w:spacing w:after="0"/>
              <w:rPr>
                <w:sz w:val="20"/>
                <w:szCs w:val="20"/>
                <w:color w:val="auto"/>
              </w:rPr>
            </w:pPr>
            <w:r>
              <w:rPr>
                <w:rFonts w:ascii="Arial" w:cs="Arial" w:eastAsia="Arial" w:hAnsi="Arial"/>
                <w:sz w:val="15"/>
                <w:szCs w:val="15"/>
                <w:color w:val="auto"/>
                <w:w w:val="96"/>
              </w:rPr>
              <w:t>Certification of Chief Financial Officer pursuant to Rule 13a-14 of the Securities Exchange Act of 1934, as adopted pursuant to Section 302 of the</w:t>
            </w:r>
          </w:p>
        </w:tc>
      </w:tr>
      <w:tr>
        <w:trPr>
          <w:trHeight w:val="190"/>
        </w:trPr>
        <w:tc>
          <w:tcPr>
            <w:tcW w:w="800" w:type="dxa"/>
            <w:vAlign w:val="bottom"/>
          </w:tcPr>
          <w:p>
            <w:pPr>
              <w:spacing w:after="0"/>
              <w:rPr>
                <w:sz w:val="16"/>
                <w:szCs w:val="16"/>
                <w:color w:val="auto"/>
              </w:rPr>
            </w:pPr>
          </w:p>
        </w:tc>
        <w:tc>
          <w:tcPr>
            <w:tcW w:w="9820" w:type="dxa"/>
            <w:vAlign w:val="bottom"/>
          </w:tcPr>
          <w:p>
            <w:pPr>
              <w:ind w:left="480"/>
              <w:spacing w:after="0"/>
              <w:rPr>
                <w:sz w:val="20"/>
                <w:szCs w:val="20"/>
                <w:color w:val="auto"/>
              </w:rPr>
            </w:pPr>
            <w:r>
              <w:rPr>
                <w:rFonts w:ascii="Arial" w:cs="Arial" w:eastAsia="Arial" w:hAnsi="Arial"/>
                <w:sz w:val="15"/>
                <w:szCs w:val="15"/>
                <w:color w:val="auto"/>
              </w:rPr>
              <w:t>Sarbanes-Oxley Act of 2002 (filed herewith)a</w:t>
            </w:r>
          </w:p>
        </w:tc>
      </w:tr>
      <w:tr>
        <w:trPr>
          <w:trHeight w:val="362"/>
        </w:trPr>
        <w:tc>
          <w:tcPr>
            <w:tcW w:w="800" w:type="dxa"/>
            <w:vAlign w:val="bottom"/>
          </w:tcPr>
          <w:p>
            <w:pPr>
              <w:spacing w:after="0"/>
              <w:rPr>
                <w:sz w:val="20"/>
                <w:szCs w:val="20"/>
                <w:color w:val="auto"/>
              </w:rPr>
            </w:pPr>
            <w:r>
              <w:rPr>
                <w:rFonts w:ascii="Arial" w:cs="Arial" w:eastAsia="Arial" w:hAnsi="Arial"/>
                <w:sz w:val="15"/>
                <w:szCs w:val="15"/>
                <w:color w:val="auto"/>
              </w:rPr>
              <w:t>32.1</w:t>
            </w:r>
          </w:p>
        </w:tc>
        <w:tc>
          <w:tcPr>
            <w:tcW w:w="9820" w:type="dxa"/>
            <w:vAlign w:val="bottom"/>
          </w:tcPr>
          <w:p>
            <w:pPr>
              <w:ind w:left="480"/>
              <w:spacing w:after="0"/>
              <w:rPr>
                <w:sz w:val="20"/>
                <w:szCs w:val="20"/>
                <w:color w:val="auto"/>
              </w:rPr>
            </w:pPr>
            <w:r>
              <w:rPr>
                <w:rFonts w:ascii="Arial" w:cs="Arial" w:eastAsia="Arial" w:hAnsi="Arial"/>
                <w:sz w:val="15"/>
                <w:szCs w:val="15"/>
                <w:color w:val="auto"/>
                <w:w w:val="93"/>
              </w:rPr>
              <w:t>Certification of Chief Executive Officer 18 U.S.C. Section 1350, as adopted pursuant to section 906 of the Sarbanes-Oxley Act of 2002 (filed herewith)</w:t>
            </w:r>
          </w:p>
        </w:tc>
      </w:tr>
      <w:tr>
        <w:trPr>
          <w:trHeight w:val="362"/>
        </w:trPr>
        <w:tc>
          <w:tcPr>
            <w:tcW w:w="800" w:type="dxa"/>
            <w:vAlign w:val="bottom"/>
          </w:tcPr>
          <w:p>
            <w:pPr>
              <w:spacing w:after="0"/>
              <w:rPr>
                <w:sz w:val="20"/>
                <w:szCs w:val="20"/>
                <w:color w:val="auto"/>
              </w:rPr>
            </w:pPr>
            <w:r>
              <w:rPr>
                <w:rFonts w:ascii="Arial" w:cs="Arial" w:eastAsia="Arial" w:hAnsi="Arial"/>
                <w:sz w:val="15"/>
                <w:szCs w:val="15"/>
                <w:color w:val="auto"/>
              </w:rPr>
              <w:t>32.2</w:t>
            </w:r>
          </w:p>
        </w:tc>
        <w:tc>
          <w:tcPr>
            <w:tcW w:w="9820" w:type="dxa"/>
            <w:vAlign w:val="bottom"/>
          </w:tcPr>
          <w:p>
            <w:pPr>
              <w:ind w:left="480"/>
              <w:spacing w:after="0"/>
              <w:rPr>
                <w:sz w:val="20"/>
                <w:szCs w:val="20"/>
                <w:color w:val="auto"/>
              </w:rPr>
            </w:pPr>
            <w:r>
              <w:rPr>
                <w:rFonts w:ascii="Arial" w:cs="Arial" w:eastAsia="Arial" w:hAnsi="Arial"/>
                <w:sz w:val="15"/>
                <w:szCs w:val="15"/>
                <w:color w:val="auto"/>
                <w:w w:val="94"/>
              </w:rPr>
              <w:t>Certification of Chief Financial Officer 18 U.S.C. Section 1350, as adopted pursuant to section 906 of the Sarbanes-Oxley Act of 2002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181737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17370" cy="6985"/>
                    </a:xfrm>
                    <a:prstGeom prst="rect">
                      <a:avLst/>
                    </a:prstGeom>
                    <a:noFill/>
                  </pic:spPr>
                </pic:pic>
              </a:graphicData>
            </a:graphic>
          </wp:anchor>
        </w:drawing>
      </w:r>
    </w:p>
    <w:p>
      <w:pPr>
        <w:spacing w:after="0" w:line="163" w:lineRule="exact"/>
        <w:rPr>
          <w:sz w:val="20"/>
          <w:szCs w:val="20"/>
          <w:color w:val="auto"/>
        </w:rPr>
      </w:pPr>
    </w:p>
    <w:p>
      <w:pPr>
        <w:ind w:left="1080" w:right="260" w:hanging="547"/>
        <w:spacing w:after="0" w:line="258" w:lineRule="auto"/>
        <w:tabs>
          <w:tab w:leader="none" w:pos="1080" w:val="left"/>
        </w:tabs>
        <w:numPr>
          <w:ilvl w:val="1"/>
          <w:numId w:val="67"/>
        </w:numPr>
        <w:rPr>
          <w:rFonts w:ascii="Arial" w:cs="Arial" w:eastAsia="Arial" w:hAnsi="Arial"/>
          <w:sz w:val="15"/>
          <w:szCs w:val="15"/>
          <w:color w:val="auto"/>
        </w:rPr>
      </w:pPr>
      <w:r>
        <w:rPr>
          <w:rFonts w:ascii="Arial" w:cs="Arial" w:eastAsia="Arial" w:hAnsi="Arial"/>
          <w:sz w:val="15"/>
          <w:szCs w:val="15"/>
          <w:color w:val="auto"/>
        </w:rPr>
        <w:t>Previously filed in connection with the Pre-Effective Amendment No. 1 to Capitala Finance Corp.’s registration statement on Form N-2 (File No. 333-188956) filed on September 9, 2013.</w:t>
      </w:r>
    </w:p>
    <w:p>
      <w:pPr>
        <w:ind w:left="1080" w:right="480" w:hanging="547"/>
        <w:spacing w:after="0" w:line="251" w:lineRule="auto"/>
        <w:tabs>
          <w:tab w:leader="none" w:pos="1080" w:val="left"/>
        </w:tabs>
        <w:numPr>
          <w:ilvl w:val="1"/>
          <w:numId w:val="67"/>
        </w:numPr>
        <w:rPr>
          <w:rFonts w:ascii="Arial" w:cs="Arial" w:eastAsia="Arial" w:hAnsi="Arial"/>
          <w:sz w:val="15"/>
          <w:szCs w:val="15"/>
          <w:color w:val="auto"/>
        </w:rPr>
      </w:pPr>
      <w:r>
        <w:rPr>
          <w:rFonts w:ascii="Arial" w:cs="Arial" w:eastAsia="Arial" w:hAnsi="Arial"/>
          <w:sz w:val="15"/>
          <w:szCs w:val="15"/>
          <w:color w:val="auto"/>
        </w:rPr>
        <w:t>Previously filed in connection with Pre-Effective Amendment No. 2 to Capitala Finance Corp.’s registration statement on Form N-2 (File No. 333-188956) filed on September 16, 2013.</w:t>
      </w:r>
    </w:p>
    <w:p>
      <w:pPr>
        <w:spacing w:after="0" w:line="1" w:lineRule="exact"/>
        <w:rPr>
          <w:rFonts w:ascii="Arial" w:cs="Arial" w:eastAsia="Arial" w:hAnsi="Arial"/>
          <w:sz w:val="15"/>
          <w:szCs w:val="15"/>
          <w:color w:val="auto"/>
        </w:rPr>
      </w:pPr>
    </w:p>
    <w:p>
      <w:pPr>
        <w:ind w:left="1080" w:right="480" w:hanging="547"/>
        <w:spacing w:after="0" w:line="251" w:lineRule="auto"/>
        <w:tabs>
          <w:tab w:leader="none" w:pos="1080" w:val="left"/>
        </w:tabs>
        <w:numPr>
          <w:ilvl w:val="1"/>
          <w:numId w:val="67"/>
        </w:numPr>
        <w:rPr>
          <w:rFonts w:ascii="Arial" w:cs="Arial" w:eastAsia="Arial" w:hAnsi="Arial"/>
          <w:sz w:val="15"/>
          <w:szCs w:val="15"/>
          <w:color w:val="auto"/>
        </w:rPr>
      </w:pPr>
      <w:r>
        <w:rPr>
          <w:rFonts w:ascii="Arial" w:cs="Arial" w:eastAsia="Arial" w:hAnsi="Arial"/>
          <w:sz w:val="15"/>
          <w:szCs w:val="15"/>
          <w:color w:val="auto"/>
        </w:rPr>
        <w:t>Previously filed in connection with Pre-Effective Amendment No. 4 to Capitala Finance Corp.’s registration statement on Form N-2 (File No. 333-188956) filed on September 20, 2013.</w:t>
      </w:r>
    </w:p>
    <w:p>
      <w:pPr>
        <w:spacing w:after="0" w:line="1" w:lineRule="exact"/>
        <w:rPr>
          <w:rFonts w:ascii="Arial" w:cs="Arial" w:eastAsia="Arial" w:hAnsi="Arial"/>
          <w:sz w:val="15"/>
          <w:szCs w:val="15"/>
          <w:color w:val="auto"/>
        </w:rPr>
      </w:pPr>
    </w:p>
    <w:p>
      <w:pPr>
        <w:ind w:left="1080" w:hanging="547"/>
        <w:spacing w:after="0" w:line="263" w:lineRule="auto"/>
        <w:tabs>
          <w:tab w:leader="none" w:pos="1080" w:val="left"/>
        </w:tabs>
        <w:numPr>
          <w:ilvl w:val="1"/>
          <w:numId w:val="67"/>
        </w:numPr>
        <w:rPr>
          <w:rFonts w:ascii="Arial" w:cs="Arial" w:eastAsia="Arial" w:hAnsi="Arial"/>
          <w:sz w:val="15"/>
          <w:szCs w:val="15"/>
          <w:color w:val="auto"/>
        </w:rPr>
      </w:pPr>
      <w:r>
        <w:rPr>
          <w:rFonts w:ascii="Arial" w:cs="Arial" w:eastAsia="Arial" w:hAnsi="Arial"/>
          <w:sz w:val="15"/>
          <w:szCs w:val="15"/>
          <w:color w:val="auto"/>
        </w:rPr>
        <w:t>Previously filed in connection with Pre-Effective Amendment No. 5 to Capitala Finance Corp.’s registration statement on Form N-2 (File No. 333-188956) filed on September 24, 2013.</w:t>
      </w:r>
    </w:p>
    <w:p>
      <w:pPr>
        <w:spacing w:after="0" w:line="155" w:lineRule="exact"/>
        <w:rPr>
          <w:rFonts w:ascii="Arial" w:cs="Arial" w:eastAsia="Arial" w:hAnsi="Arial"/>
          <w:sz w:val="15"/>
          <w:szCs w:val="15"/>
          <w:color w:val="auto"/>
        </w:rPr>
      </w:pPr>
    </w:p>
    <w:p>
      <w:pPr>
        <w:ind w:left="540" w:hanging="278"/>
        <w:spacing w:after="0"/>
        <w:tabs>
          <w:tab w:leader="none" w:pos="5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Consolidated Financial Statement Schedules</w:t>
      </w:r>
    </w:p>
    <w:p>
      <w:pPr>
        <w:spacing w:after="0" w:line="189" w:lineRule="exact"/>
        <w:rPr>
          <w:sz w:val="20"/>
          <w:szCs w:val="20"/>
          <w:color w:val="auto"/>
        </w:rPr>
      </w:pPr>
    </w:p>
    <w:p>
      <w:pPr>
        <w:ind w:right="60" w:firstLine="369"/>
        <w:spacing w:after="0" w:line="276" w:lineRule="auto"/>
        <w:rPr>
          <w:sz w:val="20"/>
          <w:szCs w:val="20"/>
          <w:color w:val="auto"/>
        </w:rPr>
      </w:pPr>
      <w:r>
        <w:rPr>
          <w:rFonts w:ascii="Arial" w:cs="Arial" w:eastAsia="Arial" w:hAnsi="Arial"/>
          <w:sz w:val="15"/>
          <w:szCs w:val="15"/>
          <w:color w:val="auto"/>
        </w:rPr>
        <w:t>No consolidated financial statement schedules are filed herewith because (1) such schedules are not required or (2) the information has been presented in the aforementioned financial statements.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726884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785"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5"/>
          <w:szCs w:val="15"/>
          <w:b w:val="1"/>
          <w:bCs w:val="1"/>
          <w:color w:val="auto"/>
        </w:rPr>
        <w:t>SIGNATURES</w:t>
      </w:r>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Capitala Finance Corp.</w:t>
      </w:r>
    </w:p>
    <w:p>
      <w:pPr>
        <w:spacing w:after="0" w:line="189" w:lineRule="exact"/>
        <w:rPr>
          <w:sz w:val="20"/>
          <w:szCs w:val="20"/>
          <w:color w:val="auto"/>
        </w:rPr>
      </w:pPr>
    </w:p>
    <w:p>
      <w:pPr>
        <w:spacing w:after="0"/>
        <w:tabs>
          <w:tab w:leader="none" w:pos="5820" w:val="left"/>
          <w:tab w:leader="none" w:pos="6160" w:val="left"/>
        </w:tabs>
        <w:rPr>
          <w:sz w:val="20"/>
          <w:szCs w:val="20"/>
          <w:color w:val="auto"/>
        </w:rPr>
      </w:pPr>
      <w:r>
        <w:rPr>
          <w:rFonts w:ascii="Arial" w:cs="Arial" w:eastAsia="Arial" w:hAnsi="Arial"/>
          <w:sz w:val="15"/>
          <w:szCs w:val="15"/>
          <w:color w:val="auto"/>
        </w:rPr>
        <w:t>Date: March 28, 2014</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19050</wp:posOffset>
            </wp:positionV>
            <wp:extent cx="334010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40100" cy="6985"/>
                    </a:xfrm>
                    <a:prstGeom prst="rect">
                      <a:avLst/>
                    </a:prstGeom>
                    <a:noFill/>
                  </pic:spPr>
                </pic:pic>
              </a:graphicData>
            </a:graphic>
          </wp:anchor>
        </w:drawing>
      </w:r>
    </w:p>
    <w:p>
      <w:pPr>
        <w:spacing w:after="0" w:line="45"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Joseph B. Alala III</w:t>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Chief Executive Officer</w:t>
      </w:r>
    </w:p>
    <w:p>
      <w:pPr>
        <w:spacing w:after="0" w:line="8" w:lineRule="exact"/>
        <w:rPr>
          <w:sz w:val="20"/>
          <w:szCs w:val="20"/>
          <w:color w:val="auto"/>
        </w:rPr>
      </w:pPr>
    </w:p>
    <w:p>
      <w:pPr>
        <w:ind w:left="6180"/>
        <w:spacing w:after="0"/>
        <w:rPr>
          <w:sz w:val="20"/>
          <w:szCs w:val="20"/>
          <w:color w:val="auto"/>
        </w:rPr>
      </w:pPr>
      <w:r>
        <w:rPr>
          <w:rFonts w:ascii="Arial" w:cs="Arial" w:eastAsia="Arial" w:hAnsi="Arial"/>
          <w:sz w:val="15"/>
          <w:szCs w:val="15"/>
          <w:i w:val="1"/>
          <w:iCs w:val="1"/>
          <w:color w:val="auto"/>
        </w:rPr>
        <w:t>(Principal Executive Officer)</w:t>
      </w:r>
    </w:p>
    <w:p>
      <w:pPr>
        <w:spacing w:after="0" w:line="8"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Capitala Finance Corp.</w:t>
      </w:r>
    </w:p>
    <w:p>
      <w:pPr>
        <w:spacing w:after="0" w:line="180" w:lineRule="exact"/>
        <w:rPr>
          <w:sz w:val="20"/>
          <w:szCs w:val="20"/>
          <w:color w:val="auto"/>
        </w:rPr>
      </w:pPr>
    </w:p>
    <w:p>
      <w:pPr>
        <w:spacing w:after="0"/>
        <w:tabs>
          <w:tab w:leader="none" w:pos="5820" w:val="left"/>
          <w:tab w:leader="none" w:pos="6160" w:val="left"/>
        </w:tabs>
        <w:rPr>
          <w:sz w:val="20"/>
          <w:szCs w:val="20"/>
          <w:color w:val="auto"/>
        </w:rPr>
      </w:pPr>
      <w:r>
        <w:rPr>
          <w:rFonts w:ascii="Arial" w:cs="Arial" w:eastAsia="Arial" w:hAnsi="Arial"/>
          <w:sz w:val="15"/>
          <w:szCs w:val="15"/>
          <w:color w:val="auto"/>
        </w:rPr>
        <w:t>Date: March 28, 2014</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19050</wp:posOffset>
            </wp:positionV>
            <wp:extent cx="334010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40100" cy="6985"/>
                    </a:xfrm>
                    <a:prstGeom prst="rect">
                      <a:avLst/>
                    </a:prstGeom>
                    <a:noFill/>
                  </pic:spPr>
                </pic:pic>
              </a:graphicData>
            </a:graphic>
          </wp:anchor>
        </w:drawing>
      </w:r>
    </w:p>
    <w:p>
      <w:pPr>
        <w:spacing w:after="0" w:line="45"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Stephen A. Arnall</w:t>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Chief Financial Officer</w:t>
      </w:r>
    </w:p>
    <w:p>
      <w:pPr>
        <w:spacing w:after="0" w:line="8" w:lineRule="exact"/>
        <w:rPr>
          <w:sz w:val="20"/>
          <w:szCs w:val="20"/>
          <w:color w:val="auto"/>
        </w:rPr>
      </w:pPr>
    </w:p>
    <w:p>
      <w:pPr>
        <w:ind w:left="6180"/>
        <w:spacing w:after="0"/>
        <w:rPr>
          <w:sz w:val="20"/>
          <w:szCs w:val="20"/>
          <w:color w:val="auto"/>
        </w:rPr>
      </w:pPr>
      <w:r>
        <w:rPr>
          <w:rFonts w:ascii="Arial" w:cs="Arial" w:eastAsia="Arial" w:hAnsi="Arial"/>
          <w:sz w:val="15"/>
          <w:szCs w:val="15"/>
          <w:i w:val="1"/>
          <w:iCs w:val="1"/>
          <w:color w:val="auto"/>
        </w:rPr>
        <w:t>(Principal Financial and Accounting Officer)</w:t>
      </w:r>
    </w:p>
    <w:p>
      <w:pPr>
        <w:spacing w:after="0" w:line="8"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Capitala Finance Corp.</w:t>
      </w:r>
    </w:p>
    <w:p>
      <w:pPr>
        <w:spacing w:after="0" w:line="180" w:lineRule="exact"/>
        <w:rPr>
          <w:sz w:val="20"/>
          <w:szCs w:val="20"/>
          <w:color w:val="auto"/>
        </w:rPr>
      </w:pPr>
    </w:p>
    <w:p>
      <w:pPr>
        <w:ind w:right="160"/>
        <w:spacing w:after="0" w:line="276"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20"/>
                <w:szCs w:val="20"/>
                <w:color w:val="auto"/>
              </w:rPr>
            </w:pPr>
            <w:r>
              <w:rPr>
                <w:rFonts w:ascii="Arial" w:cs="Arial" w:eastAsia="Arial" w:hAnsi="Arial"/>
                <w:sz w:val="15"/>
                <w:szCs w:val="15"/>
                <w:color w:val="auto"/>
              </w:rPr>
              <w:t>Signature</w:t>
            </w:r>
          </w:p>
        </w:tc>
        <w:tc>
          <w:tcPr>
            <w:tcW w:w="5860" w:type="dxa"/>
            <w:vAlign w:val="bottom"/>
          </w:tcPr>
          <w:p>
            <w:pPr>
              <w:ind w:left="120"/>
              <w:spacing w:after="0"/>
              <w:rPr>
                <w:sz w:val="20"/>
                <w:szCs w:val="20"/>
                <w:color w:val="auto"/>
              </w:rPr>
            </w:pPr>
            <w:r>
              <w:rPr>
                <w:rFonts w:ascii="Arial" w:cs="Arial" w:eastAsia="Arial" w:hAnsi="Arial"/>
                <w:sz w:val="15"/>
                <w:szCs w:val="15"/>
                <w:color w:val="auto"/>
              </w:rPr>
              <w:t>Title</w:t>
            </w:r>
          </w:p>
        </w:tc>
        <w:tc>
          <w:tcPr>
            <w:tcW w:w="2840" w:type="dxa"/>
            <w:vAlign w:val="bottom"/>
          </w:tcPr>
          <w:p>
            <w:pPr>
              <w:ind w:left="1240"/>
              <w:spacing w:after="0"/>
              <w:rPr>
                <w:sz w:val="20"/>
                <w:szCs w:val="20"/>
                <w:color w:val="auto"/>
              </w:rPr>
            </w:pPr>
            <w:r>
              <w:rPr>
                <w:rFonts w:ascii="Arial" w:cs="Arial" w:eastAsia="Arial" w:hAnsi="Arial"/>
                <w:sz w:val="15"/>
                <w:szCs w:val="15"/>
                <w:color w:val="auto"/>
              </w:rPr>
              <w:t>Date</w:t>
            </w:r>
          </w:p>
        </w:tc>
      </w:tr>
      <w:tr>
        <w:trPr>
          <w:trHeight w:val="362"/>
        </w:trPr>
        <w:tc>
          <w:tcPr>
            <w:tcW w:w="27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Joseph B. Alala III</w:t>
            </w:r>
          </w:p>
        </w:tc>
        <w:tc>
          <w:tcPr>
            <w:tcW w:w="5860" w:type="dxa"/>
            <w:vAlign w:val="bottom"/>
          </w:tcPr>
          <w:p>
            <w:pPr>
              <w:ind w:left="100"/>
              <w:spacing w:after="0"/>
              <w:rPr>
                <w:sz w:val="20"/>
                <w:szCs w:val="20"/>
                <w:color w:val="auto"/>
              </w:rPr>
            </w:pPr>
            <w:r>
              <w:rPr>
                <w:rFonts w:ascii="Arial" w:cs="Arial" w:eastAsia="Arial" w:hAnsi="Arial"/>
                <w:sz w:val="15"/>
                <w:szCs w:val="15"/>
                <w:color w:val="auto"/>
              </w:rPr>
              <w:t>Chief Executive Officer, President and Chairman of the Board of Directors</w:t>
            </w:r>
          </w:p>
        </w:tc>
        <w:tc>
          <w:tcPr>
            <w:tcW w:w="2840" w:type="dxa"/>
            <w:vAlign w:val="bottom"/>
          </w:tcPr>
          <w:p>
            <w:pPr>
              <w:ind w:left="1240"/>
              <w:spacing w:after="0"/>
              <w:rPr>
                <w:sz w:val="20"/>
                <w:szCs w:val="20"/>
                <w:color w:val="auto"/>
              </w:rPr>
            </w:pPr>
            <w:r>
              <w:rPr>
                <w:rFonts w:ascii="Arial" w:cs="Arial" w:eastAsia="Arial" w:hAnsi="Arial"/>
                <w:sz w:val="15"/>
                <w:szCs w:val="15"/>
                <w:color w:val="auto"/>
              </w:rPr>
              <w:t>March 28, 2014</w:t>
            </w:r>
          </w:p>
        </w:tc>
      </w:tr>
      <w:tr>
        <w:trPr>
          <w:trHeight w:val="183"/>
        </w:trPr>
        <w:tc>
          <w:tcPr>
            <w:tcW w:w="2740" w:type="dxa"/>
            <w:vAlign w:val="bottom"/>
          </w:tcPr>
          <w:p>
            <w:pPr>
              <w:spacing w:after="0"/>
              <w:rPr>
                <w:sz w:val="20"/>
                <w:szCs w:val="20"/>
                <w:color w:val="auto"/>
              </w:rPr>
            </w:pPr>
            <w:r>
              <w:rPr>
                <w:rFonts w:ascii="Arial" w:cs="Arial" w:eastAsia="Arial" w:hAnsi="Arial"/>
                <w:sz w:val="15"/>
                <w:szCs w:val="15"/>
                <w:color w:val="auto"/>
              </w:rPr>
              <w:t>Joseph B. Alala III</w:t>
            </w:r>
          </w:p>
        </w:tc>
        <w:tc>
          <w:tcPr>
            <w:tcW w:w="5860" w:type="dxa"/>
            <w:vAlign w:val="bottom"/>
          </w:tcPr>
          <w:p>
            <w:pPr>
              <w:ind w:left="100"/>
              <w:spacing w:after="0"/>
              <w:rPr>
                <w:sz w:val="20"/>
                <w:szCs w:val="20"/>
                <w:color w:val="auto"/>
              </w:rPr>
            </w:pPr>
            <w:r>
              <w:rPr>
                <w:rFonts w:ascii="Arial" w:cs="Arial" w:eastAsia="Arial" w:hAnsi="Arial"/>
                <w:sz w:val="15"/>
                <w:szCs w:val="15"/>
                <w:i w:val="1"/>
                <w:iCs w:val="1"/>
                <w:color w:val="auto"/>
              </w:rPr>
              <w:t>(Principal Executive Officer)</w:t>
            </w:r>
          </w:p>
        </w:tc>
        <w:tc>
          <w:tcPr>
            <w:tcW w:w="2840" w:type="dxa"/>
            <w:vAlign w:val="bottom"/>
          </w:tcPr>
          <w:p>
            <w:pPr>
              <w:spacing w:after="0"/>
              <w:rPr>
                <w:sz w:val="15"/>
                <w:szCs w:val="15"/>
                <w:color w:val="auto"/>
              </w:rPr>
            </w:pPr>
          </w:p>
        </w:tc>
      </w:tr>
      <w:tr>
        <w:trPr>
          <w:trHeight w:val="351"/>
        </w:trPr>
        <w:tc>
          <w:tcPr>
            <w:tcW w:w="27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Stephen A. Arnall</w:t>
            </w:r>
          </w:p>
        </w:tc>
        <w:tc>
          <w:tcPr>
            <w:tcW w:w="5860" w:type="dxa"/>
            <w:vAlign w:val="bottom"/>
          </w:tcPr>
          <w:p>
            <w:pPr>
              <w:ind w:left="100"/>
              <w:spacing w:after="0"/>
              <w:rPr>
                <w:sz w:val="20"/>
                <w:szCs w:val="20"/>
                <w:color w:val="auto"/>
              </w:rPr>
            </w:pPr>
            <w:r>
              <w:rPr>
                <w:rFonts w:ascii="Arial" w:cs="Arial" w:eastAsia="Arial" w:hAnsi="Arial"/>
                <w:sz w:val="15"/>
                <w:szCs w:val="15"/>
                <w:color w:val="auto"/>
              </w:rPr>
              <w:t>Chief Financial Officer</w:t>
            </w:r>
          </w:p>
        </w:tc>
        <w:tc>
          <w:tcPr>
            <w:tcW w:w="2840" w:type="dxa"/>
            <w:vAlign w:val="bottom"/>
          </w:tcPr>
          <w:p>
            <w:pPr>
              <w:ind w:left="1240"/>
              <w:spacing w:after="0"/>
              <w:rPr>
                <w:sz w:val="20"/>
                <w:szCs w:val="20"/>
                <w:color w:val="auto"/>
              </w:rPr>
            </w:pPr>
            <w:r>
              <w:rPr>
                <w:rFonts w:ascii="Arial" w:cs="Arial" w:eastAsia="Arial" w:hAnsi="Arial"/>
                <w:sz w:val="15"/>
                <w:szCs w:val="15"/>
                <w:color w:val="auto"/>
              </w:rPr>
              <w:t>March 28, 2014</w:t>
            </w:r>
          </w:p>
        </w:tc>
      </w:tr>
      <w:tr>
        <w:trPr>
          <w:trHeight w:val="183"/>
        </w:trPr>
        <w:tc>
          <w:tcPr>
            <w:tcW w:w="2740" w:type="dxa"/>
            <w:vAlign w:val="bottom"/>
          </w:tcPr>
          <w:p>
            <w:pPr>
              <w:spacing w:after="0"/>
              <w:rPr>
                <w:sz w:val="20"/>
                <w:szCs w:val="20"/>
                <w:color w:val="auto"/>
              </w:rPr>
            </w:pPr>
            <w:r>
              <w:rPr>
                <w:rFonts w:ascii="Arial" w:cs="Arial" w:eastAsia="Arial" w:hAnsi="Arial"/>
                <w:sz w:val="15"/>
                <w:szCs w:val="15"/>
                <w:color w:val="auto"/>
              </w:rPr>
              <w:t>Stephen A. Arnall</w:t>
            </w:r>
          </w:p>
        </w:tc>
        <w:tc>
          <w:tcPr>
            <w:tcW w:w="5860" w:type="dxa"/>
            <w:vAlign w:val="bottom"/>
          </w:tcPr>
          <w:p>
            <w:pPr>
              <w:ind w:left="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Principal Financial and Accounting Officer)</w:t>
            </w:r>
          </w:p>
        </w:tc>
        <w:tc>
          <w:tcPr>
            <w:tcW w:w="2840" w:type="dxa"/>
            <w:vAlign w:val="bottom"/>
          </w:tcPr>
          <w:p>
            <w:pPr>
              <w:spacing w:after="0"/>
              <w:rPr>
                <w:sz w:val="15"/>
                <w:szCs w:val="15"/>
                <w:color w:val="auto"/>
              </w:rPr>
            </w:pPr>
          </w:p>
        </w:tc>
      </w:tr>
      <w:tr>
        <w:trPr>
          <w:trHeight w:val="352"/>
        </w:trPr>
        <w:tc>
          <w:tcPr>
            <w:tcW w:w="27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 Hunt Broyhill</w:t>
            </w:r>
          </w:p>
        </w:tc>
        <w:tc>
          <w:tcPr>
            <w:tcW w:w="5860" w:type="dxa"/>
            <w:vAlign w:val="bottom"/>
          </w:tcPr>
          <w:p>
            <w:pPr>
              <w:ind w:left="100"/>
              <w:spacing w:after="0"/>
              <w:rPr>
                <w:sz w:val="20"/>
                <w:szCs w:val="20"/>
                <w:color w:val="auto"/>
              </w:rPr>
            </w:pPr>
            <w:r>
              <w:rPr>
                <w:rFonts w:ascii="Arial" w:cs="Arial" w:eastAsia="Arial" w:hAnsi="Arial"/>
                <w:sz w:val="15"/>
                <w:szCs w:val="15"/>
                <w:color w:val="auto"/>
              </w:rPr>
              <w:t>Director</w:t>
            </w:r>
          </w:p>
        </w:tc>
        <w:tc>
          <w:tcPr>
            <w:tcW w:w="2840" w:type="dxa"/>
            <w:vAlign w:val="bottom"/>
          </w:tcPr>
          <w:p>
            <w:pPr>
              <w:ind w:left="1240"/>
              <w:spacing w:after="0"/>
              <w:rPr>
                <w:sz w:val="20"/>
                <w:szCs w:val="20"/>
                <w:color w:val="auto"/>
              </w:rPr>
            </w:pPr>
            <w:r>
              <w:rPr>
                <w:rFonts w:ascii="Arial" w:cs="Arial" w:eastAsia="Arial" w:hAnsi="Arial"/>
                <w:sz w:val="15"/>
                <w:szCs w:val="15"/>
                <w:color w:val="auto"/>
              </w:rPr>
              <w:t>March 28, 2014</w:t>
            </w:r>
          </w:p>
        </w:tc>
      </w:tr>
      <w:tr>
        <w:trPr>
          <w:trHeight w:val="182"/>
        </w:trPr>
        <w:tc>
          <w:tcPr>
            <w:tcW w:w="2740" w:type="dxa"/>
            <w:vAlign w:val="bottom"/>
          </w:tcPr>
          <w:p>
            <w:pPr>
              <w:spacing w:after="0"/>
              <w:rPr>
                <w:sz w:val="20"/>
                <w:szCs w:val="20"/>
                <w:color w:val="auto"/>
              </w:rPr>
            </w:pPr>
            <w:r>
              <w:rPr>
                <w:rFonts w:ascii="Arial" w:cs="Arial" w:eastAsia="Arial" w:hAnsi="Arial"/>
                <w:sz w:val="15"/>
                <w:szCs w:val="15"/>
                <w:color w:val="auto"/>
              </w:rPr>
              <w:t>M. Hunt Broyhill</w:t>
            </w:r>
          </w:p>
        </w:tc>
        <w:tc>
          <w:tcPr>
            <w:tcW w:w="586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352"/>
        </w:trPr>
        <w:tc>
          <w:tcPr>
            <w:tcW w:w="27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 Charles Moyer</w:t>
            </w:r>
          </w:p>
        </w:tc>
        <w:tc>
          <w:tcPr>
            <w:tcW w:w="5860" w:type="dxa"/>
            <w:vAlign w:val="bottom"/>
          </w:tcPr>
          <w:p>
            <w:pPr>
              <w:ind w:left="100"/>
              <w:spacing w:after="0"/>
              <w:rPr>
                <w:sz w:val="20"/>
                <w:szCs w:val="20"/>
                <w:color w:val="auto"/>
              </w:rPr>
            </w:pPr>
            <w:r>
              <w:rPr>
                <w:rFonts w:ascii="Arial" w:cs="Arial" w:eastAsia="Arial" w:hAnsi="Arial"/>
                <w:sz w:val="15"/>
                <w:szCs w:val="15"/>
                <w:color w:val="auto"/>
              </w:rPr>
              <w:t>Director</w:t>
            </w:r>
          </w:p>
        </w:tc>
        <w:tc>
          <w:tcPr>
            <w:tcW w:w="2840" w:type="dxa"/>
            <w:vAlign w:val="bottom"/>
          </w:tcPr>
          <w:p>
            <w:pPr>
              <w:ind w:left="1240"/>
              <w:spacing w:after="0"/>
              <w:rPr>
                <w:sz w:val="20"/>
                <w:szCs w:val="20"/>
                <w:color w:val="auto"/>
              </w:rPr>
            </w:pPr>
            <w:r>
              <w:rPr>
                <w:rFonts w:ascii="Arial" w:cs="Arial" w:eastAsia="Arial" w:hAnsi="Arial"/>
                <w:sz w:val="15"/>
                <w:szCs w:val="15"/>
                <w:color w:val="auto"/>
              </w:rPr>
              <w:t>March 28, 2014</w:t>
            </w:r>
          </w:p>
        </w:tc>
      </w:tr>
      <w:tr>
        <w:trPr>
          <w:trHeight w:val="182"/>
        </w:trPr>
        <w:tc>
          <w:tcPr>
            <w:tcW w:w="2740" w:type="dxa"/>
            <w:vAlign w:val="bottom"/>
          </w:tcPr>
          <w:p>
            <w:pPr>
              <w:spacing w:after="0"/>
              <w:rPr>
                <w:sz w:val="20"/>
                <w:szCs w:val="20"/>
                <w:color w:val="auto"/>
              </w:rPr>
            </w:pPr>
            <w:r>
              <w:rPr>
                <w:rFonts w:ascii="Arial" w:cs="Arial" w:eastAsia="Arial" w:hAnsi="Arial"/>
                <w:sz w:val="15"/>
                <w:szCs w:val="15"/>
                <w:color w:val="auto"/>
              </w:rPr>
              <w:t>R. Charles Moyer</w:t>
            </w:r>
          </w:p>
        </w:tc>
        <w:tc>
          <w:tcPr>
            <w:tcW w:w="586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352"/>
        </w:trPr>
        <w:tc>
          <w:tcPr>
            <w:tcW w:w="27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Larry W. Carroll</w:t>
            </w:r>
          </w:p>
        </w:tc>
        <w:tc>
          <w:tcPr>
            <w:tcW w:w="5860" w:type="dxa"/>
            <w:vAlign w:val="bottom"/>
          </w:tcPr>
          <w:p>
            <w:pPr>
              <w:ind w:left="100"/>
              <w:spacing w:after="0"/>
              <w:rPr>
                <w:sz w:val="20"/>
                <w:szCs w:val="20"/>
                <w:color w:val="auto"/>
              </w:rPr>
            </w:pPr>
            <w:r>
              <w:rPr>
                <w:rFonts w:ascii="Arial" w:cs="Arial" w:eastAsia="Arial" w:hAnsi="Arial"/>
                <w:sz w:val="15"/>
                <w:szCs w:val="15"/>
                <w:color w:val="auto"/>
              </w:rPr>
              <w:t>Director</w:t>
            </w:r>
          </w:p>
        </w:tc>
        <w:tc>
          <w:tcPr>
            <w:tcW w:w="2840" w:type="dxa"/>
            <w:vAlign w:val="bottom"/>
          </w:tcPr>
          <w:p>
            <w:pPr>
              <w:ind w:left="1240"/>
              <w:spacing w:after="0"/>
              <w:rPr>
                <w:sz w:val="20"/>
                <w:szCs w:val="20"/>
                <w:color w:val="auto"/>
              </w:rPr>
            </w:pPr>
            <w:r>
              <w:rPr>
                <w:rFonts w:ascii="Arial" w:cs="Arial" w:eastAsia="Arial" w:hAnsi="Arial"/>
                <w:sz w:val="15"/>
                <w:szCs w:val="15"/>
                <w:color w:val="auto"/>
              </w:rPr>
              <w:t>March 28, 2014</w:t>
            </w:r>
          </w:p>
        </w:tc>
      </w:tr>
      <w:tr>
        <w:trPr>
          <w:trHeight w:val="182"/>
        </w:trPr>
        <w:tc>
          <w:tcPr>
            <w:tcW w:w="2740" w:type="dxa"/>
            <w:vAlign w:val="bottom"/>
          </w:tcPr>
          <w:p>
            <w:pPr>
              <w:spacing w:after="0"/>
              <w:rPr>
                <w:sz w:val="20"/>
                <w:szCs w:val="20"/>
                <w:color w:val="auto"/>
              </w:rPr>
            </w:pPr>
            <w:r>
              <w:rPr>
                <w:rFonts w:ascii="Arial" w:cs="Arial" w:eastAsia="Arial" w:hAnsi="Arial"/>
                <w:sz w:val="15"/>
                <w:szCs w:val="15"/>
                <w:color w:val="auto"/>
              </w:rPr>
              <w:t>Larry W. Carroll</w:t>
            </w:r>
          </w:p>
        </w:tc>
        <w:tc>
          <w:tcPr>
            <w:tcW w:w="586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352"/>
        </w:trPr>
        <w:tc>
          <w:tcPr>
            <w:tcW w:w="27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H. Paul Chapman</w:t>
            </w:r>
          </w:p>
        </w:tc>
        <w:tc>
          <w:tcPr>
            <w:tcW w:w="5860" w:type="dxa"/>
            <w:vAlign w:val="bottom"/>
          </w:tcPr>
          <w:p>
            <w:pPr>
              <w:ind w:left="100"/>
              <w:spacing w:after="0"/>
              <w:rPr>
                <w:sz w:val="20"/>
                <w:szCs w:val="20"/>
                <w:color w:val="auto"/>
              </w:rPr>
            </w:pPr>
            <w:r>
              <w:rPr>
                <w:rFonts w:ascii="Arial" w:cs="Arial" w:eastAsia="Arial" w:hAnsi="Arial"/>
                <w:sz w:val="15"/>
                <w:szCs w:val="15"/>
                <w:color w:val="auto"/>
              </w:rPr>
              <w:t>Director</w:t>
            </w:r>
          </w:p>
        </w:tc>
        <w:tc>
          <w:tcPr>
            <w:tcW w:w="2840" w:type="dxa"/>
            <w:vAlign w:val="bottom"/>
          </w:tcPr>
          <w:p>
            <w:pPr>
              <w:ind w:left="1240"/>
              <w:spacing w:after="0"/>
              <w:rPr>
                <w:sz w:val="20"/>
                <w:szCs w:val="20"/>
                <w:color w:val="auto"/>
              </w:rPr>
            </w:pPr>
            <w:r>
              <w:rPr>
                <w:rFonts w:ascii="Arial" w:cs="Arial" w:eastAsia="Arial" w:hAnsi="Arial"/>
                <w:sz w:val="15"/>
                <w:szCs w:val="15"/>
                <w:color w:val="auto"/>
              </w:rPr>
              <w:t>March 28, 2014</w:t>
            </w:r>
          </w:p>
        </w:tc>
      </w:tr>
      <w:tr>
        <w:trPr>
          <w:trHeight w:val="182"/>
        </w:trPr>
        <w:tc>
          <w:tcPr>
            <w:tcW w:w="2740" w:type="dxa"/>
            <w:vAlign w:val="bottom"/>
          </w:tcPr>
          <w:p>
            <w:pPr>
              <w:spacing w:after="0"/>
              <w:rPr>
                <w:sz w:val="20"/>
                <w:szCs w:val="20"/>
                <w:color w:val="auto"/>
              </w:rPr>
            </w:pPr>
            <w:r>
              <w:rPr>
                <w:rFonts w:ascii="Arial" w:cs="Arial" w:eastAsia="Arial" w:hAnsi="Arial"/>
                <w:sz w:val="15"/>
                <w:szCs w:val="15"/>
                <w:color w:val="auto"/>
              </w:rPr>
              <w:t>H. Paul Chapman</w:t>
            </w:r>
          </w:p>
        </w:tc>
        <w:tc>
          <w:tcPr>
            <w:tcW w:w="586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533"/>
        </w:trPr>
        <w:tc>
          <w:tcPr>
            <w:tcW w:w="274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ind w:left="2900"/>
              <w:spacing w:after="0"/>
              <w:rPr>
                <w:sz w:val="20"/>
                <w:szCs w:val="20"/>
                <w:color w:val="auto"/>
              </w:rPr>
            </w:pPr>
            <w:r>
              <w:rPr>
                <w:rFonts w:ascii="Arial" w:cs="Arial" w:eastAsia="Arial" w:hAnsi="Arial"/>
                <w:sz w:val="15"/>
                <w:szCs w:val="15"/>
                <w:color w:val="auto"/>
              </w:rPr>
              <w:t>73</w:t>
            </w: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781" w:right="219" w:bottom="1440" w:gutter="0" w:footer="0" w:header="0"/>
        </w:sectPr>
      </w:pPr>
    </w:p>
    <w:bookmarkStart w:id="103" w:name="page104"/>
    <w:bookmarkEnd w:id="103"/>
    <w:p>
      <w:pPr>
        <w:spacing w:after="0"/>
        <w:rPr>
          <w:sz w:val="20"/>
          <w:szCs w:val="20"/>
          <w:color w:val="auto"/>
        </w:rPr>
      </w:pPr>
      <w:r>
        <w:rPr>
          <w:rFonts w:ascii="Arial" w:cs="Arial" w:eastAsia="Arial" w:hAnsi="Arial"/>
          <w:sz w:val="15"/>
          <w:szCs w:val="15"/>
          <w:b w:val="1"/>
          <w:bCs w:val="1"/>
          <w:color w:val="auto"/>
        </w:rPr>
        <w:t>Exhibit 21.1</w:t>
      </w:r>
    </w:p>
    <w:p>
      <w:pPr>
        <w:spacing w:after="0" w:line="189" w:lineRule="exact"/>
        <w:rPr>
          <w:sz w:val="20"/>
          <w:szCs w:val="20"/>
          <w:color w:val="auto"/>
        </w:rPr>
      </w:pPr>
    </w:p>
    <w:p>
      <w:pPr>
        <w:jc w:val="right"/>
        <w:ind w:right="3879"/>
        <w:spacing w:after="0"/>
        <w:rPr>
          <w:sz w:val="20"/>
          <w:szCs w:val="20"/>
          <w:color w:val="auto"/>
        </w:rPr>
      </w:pPr>
      <w:r>
        <w:rPr>
          <w:rFonts w:ascii="Arial" w:cs="Arial" w:eastAsia="Arial" w:hAnsi="Arial"/>
          <w:sz w:val="15"/>
          <w:szCs w:val="15"/>
          <w:b w:val="1"/>
          <w:bCs w:val="1"/>
          <w:color w:val="auto"/>
        </w:rPr>
        <w:t>List of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CapitalSouth Partners Florida Sidecar Fund I, L.P. (Delaware)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CSP-Florida Mezzanine Fund I, LLC (North Carolina)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CapitalSouth Partners Fund II Limited Partnership (North Carolina)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CapitalSouth Partners F-II, LLC (North Carolina)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CapitalSouth Partners SBIC Fund III, L.P. (Delaware)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CapitalSouth Partners SBIC F-III, LLC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726884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0219"/>
          </w:cols>
          <w:pgMar w:left="240" w:top="306" w:right="1440" w:bottom="1440" w:gutter="0" w:footer="0" w:header="0"/>
        </w:sectPr>
      </w:pPr>
    </w:p>
    <w:bookmarkStart w:id="104" w:name="page105"/>
    <w:bookmarkEnd w:id="104"/>
    <w:p>
      <w:pPr>
        <w:spacing w:after="0"/>
        <w:rPr>
          <w:sz w:val="20"/>
          <w:szCs w:val="20"/>
          <w:color w:val="auto"/>
        </w:rPr>
      </w:pPr>
      <w:r>
        <w:rPr>
          <w:rFonts w:ascii="Arial" w:cs="Arial" w:eastAsia="Arial" w:hAnsi="Arial"/>
          <w:sz w:val="15"/>
          <w:szCs w:val="15"/>
          <w:b w:val="1"/>
          <w:bCs w:val="1"/>
          <w:color w:val="auto"/>
        </w:rPr>
        <w:t>Exhibit 31.1</w:t>
      </w:r>
    </w:p>
    <w:p>
      <w:pPr>
        <w:spacing w:after="0" w:line="189" w:lineRule="exact"/>
        <w:rPr>
          <w:sz w:val="20"/>
          <w:szCs w:val="20"/>
          <w:color w:val="auto"/>
        </w:rPr>
      </w:pPr>
    </w:p>
    <w:p>
      <w:pPr>
        <w:jc w:val="center"/>
        <w:ind w:left="260" w:right="2680"/>
        <w:spacing w:after="0" w:line="267" w:lineRule="auto"/>
        <w:rPr>
          <w:sz w:val="20"/>
          <w:szCs w:val="20"/>
          <w:color w:val="auto"/>
        </w:rPr>
      </w:pPr>
      <w:r>
        <w:rPr>
          <w:rFonts w:ascii="Arial" w:cs="Arial" w:eastAsia="Arial" w:hAnsi="Arial"/>
          <w:sz w:val="15"/>
          <w:szCs w:val="15"/>
          <w:b w:val="1"/>
          <w:bCs w:val="1"/>
          <w:color w:val="auto"/>
        </w:rPr>
        <w:t>CERTIFICATION OF CHIEF EXECUTIVE OFFICER PURSUANT TO RULE 13a-14 OF THE SECURITIES EXCHANGE ACT OF 1934 AS ADOPTED PURSUANT TO SECTION 302 OF THE SARBANES-OXLEY ACT OF 2002</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 Joseph B. Alala III, certify that:</w:t>
      </w:r>
    </w:p>
    <w:p>
      <w:pPr>
        <w:spacing w:after="0" w:line="189" w:lineRule="exact"/>
        <w:rPr>
          <w:sz w:val="20"/>
          <w:szCs w:val="20"/>
          <w:color w:val="auto"/>
        </w:rPr>
      </w:pPr>
    </w:p>
    <w:p>
      <w:pPr>
        <w:ind w:left="720" w:hanging="368"/>
        <w:spacing w:after="0"/>
        <w:tabs>
          <w:tab w:leader="none" w:pos="7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Capitala Finance Corp.;</w:t>
      </w:r>
    </w:p>
    <w:p>
      <w:pPr>
        <w:spacing w:after="0" w:line="189" w:lineRule="exact"/>
        <w:rPr>
          <w:rFonts w:ascii="Arial" w:cs="Arial" w:eastAsia="Arial" w:hAnsi="Arial"/>
          <w:sz w:val="15"/>
          <w:szCs w:val="15"/>
          <w:color w:val="auto"/>
        </w:rPr>
      </w:pPr>
    </w:p>
    <w:p>
      <w:pPr>
        <w:ind w:left="720" w:hanging="368"/>
        <w:spacing w:after="0" w:line="276" w:lineRule="auto"/>
        <w:tabs>
          <w:tab w:leader="none" w:pos="7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5"/>
          <w:szCs w:val="15"/>
          <w:color w:val="auto"/>
        </w:rPr>
      </w:pPr>
    </w:p>
    <w:p>
      <w:pPr>
        <w:ind w:left="720" w:right="540" w:hanging="368"/>
        <w:spacing w:after="0" w:line="276" w:lineRule="auto"/>
        <w:tabs>
          <w:tab w:leader="none" w:pos="7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5"/>
          <w:szCs w:val="15"/>
          <w:color w:val="auto"/>
        </w:rPr>
      </w:pPr>
    </w:p>
    <w:p>
      <w:pPr>
        <w:ind w:left="720" w:right="40" w:hanging="368"/>
        <w:spacing w:after="0" w:line="276" w:lineRule="auto"/>
        <w:tabs>
          <w:tab w:leader="none" w:pos="7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5"/>
          <w:szCs w:val="15"/>
          <w:color w:val="auto"/>
        </w:rPr>
      </w:pPr>
    </w:p>
    <w:p>
      <w:pPr>
        <w:ind w:left="1560" w:right="80" w:hanging="371"/>
        <w:spacing w:after="0" w:line="356" w:lineRule="auto"/>
        <w:tabs>
          <w:tab w:leader="none" w:pos="1560" w:val="left"/>
        </w:tabs>
        <w:numPr>
          <w:ilvl w:val="1"/>
          <w:numId w:val="6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99" w:lineRule="exact"/>
        <w:rPr>
          <w:rFonts w:ascii="Arial" w:cs="Arial" w:eastAsia="Arial" w:hAnsi="Arial"/>
          <w:sz w:val="13"/>
          <w:szCs w:val="13"/>
          <w:color w:val="auto"/>
        </w:rPr>
      </w:pPr>
    </w:p>
    <w:p>
      <w:pPr>
        <w:ind w:left="1560" w:right="540" w:hanging="371"/>
        <w:spacing w:after="0" w:line="276" w:lineRule="auto"/>
        <w:tabs>
          <w:tab w:leader="none" w:pos="1560" w:val="left"/>
        </w:tabs>
        <w:numPr>
          <w:ilvl w:val="1"/>
          <w:numId w:val="6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5"/>
          <w:szCs w:val="15"/>
          <w:color w:val="auto"/>
        </w:rPr>
      </w:pPr>
    </w:p>
    <w:p>
      <w:pPr>
        <w:ind w:left="1560" w:right="220" w:hanging="371"/>
        <w:spacing w:after="0" w:line="264" w:lineRule="auto"/>
        <w:tabs>
          <w:tab w:leader="none" w:pos="1560" w:val="left"/>
        </w:tabs>
        <w:numPr>
          <w:ilvl w:val="1"/>
          <w:numId w:val="69"/>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5"/>
          <w:szCs w:val="15"/>
          <w:color w:val="auto"/>
        </w:rPr>
      </w:pPr>
    </w:p>
    <w:p>
      <w:pPr>
        <w:ind w:left="720" w:right="200" w:hanging="368"/>
        <w:spacing w:after="0" w:line="276" w:lineRule="auto"/>
        <w:tabs>
          <w:tab w:leader="none" w:pos="7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5"/>
          <w:szCs w:val="15"/>
          <w:color w:val="auto"/>
        </w:rPr>
      </w:pPr>
    </w:p>
    <w:p>
      <w:pPr>
        <w:ind w:left="1560" w:right="80" w:hanging="371"/>
        <w:spacing w:after="0" w:line="276" w:lineRule="auto"/>
        <w:tabs>
          <w:tab w:leader="none" w:pos="1560" w:val="left"/>
        </w:tabs>
        <w:numPr>
          <w:ilvl w:val="1"/>
          <w:numId w:val="6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5"/>
          <w:szCs w:val="15"/>
          <w:color w:val="auto"/>
        </w:rPr>
      </w:pPr>
    </w:p>
    <w:p>
      <w:pPr>
        <w:ind w:left="1560" w:right="320" w:hanging="371"/>
        <w:spacing w:after="0" w:line="276" w:lineRule="auto"/>
        <w:tabs>
          <w:tab w:leader="none" w:pos="1560" w:val="left"/>
        </w:tabs>
        <w:numPr>
          <w:ilvl w:val="1"/>
          <w:numId w:val="69"/>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Date: March 28, 2014</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12065</wp:posOffset>
            </wp:positionV>
            <wp:extent cx="363474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Joseph B. Alala III</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Chief Executive Officer</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5"/>
          <w:szCs w:val="15"/>
          <w:i w:val="1"/>
          <w:iCs w:val="1"/>
          <w:color w:val="auto"/>
        </w:rPr>
        <w:t>(Principal Executive Officer)</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726884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5" w:name="page106"/>
    <w:bookmarkEnd w:id="105"/>
    <w:p>
      <w:pPr>
        <w:spacing w:after="0"/>
        <w:rPr>
          <w:sz w:val="20"/>
          <w:szCs w:val="20"/>
          <w:color w:val="auto"/>
        </w:rPr>
      </w:pPr>
      <w:r>
        <w:rPr>
          <w:rFonts w:ascii="Arial" w:cs="Arial" w:eastAsia="Arial" w:hAnsi="Arial"/>
          <w:sz w:val="15"/>
          <w:szCs w:val="15"/>
          <w:b w:val="1"/>
          <w:bCs w:val="1"/>
          <w:color w:val="auto"/>
        </w:rPr>
        <w:t>Exhibit 31.2</w:t>
      </w:r>
    </w:p>
    <w:p>
      <w:pPr>
        <w:spacing w:after="0" w:line="189" w:lineRule="exact"/>
        <w:rPr>
          <w:sz w:val="20"/>
          <w:szCs w:val="20"/>
          <w:color w:val="auto"/>
        </w:rPr>
      </w:pPr>
    </w:p>
    <w:p>
      <w:pPr>
        <w:jc w:val="center"/>
        <w:ind w:left="260" w:right="2680"/>
        <w:spacing w:after="0" w:line="267" w:lineRule="auto"/>
        <w:rPr>
          <w:sz w:val="20"/>
          <w:szCs w:val="20"/>
          <w:color w:val="auto"/>
        </w:rPr>
      </w:pPr>
      <w:r>
        <w:rPr>
          <w:rFonts w:ascii="Arial" w:cs="Arial" w:eastAsia="Arial" w:hAnsi="Arial"/>
          <w:sz w:val="15"/>
          <w:szCs w:val="15"/>
          <w:b w:val="1"/>
          <w:bCs w:val="1"/>
          <w:color w:val="auto"/>
        </w:rPr>
        <w:t>CERTIFICATION OF CHIEF FINANCIAL OFFICER PURSUANT TO RULE 13a-14 OF THE SECURITIES EXCHANGE ACT OF 1934 AS ADOPTED PURSUANT TO SECTION 302 OF THE SARBANES-OXLEY ACT OF 2002</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 Stephen A. Arnall, certify that:</w:t>
      </w:r>
    </w:p>
    <w:p>
      <w:pPr>
        <w:spacing w:after="0" w:line="189" w:lineRule="exact"/>
        <w:rPr>
          <w:sz w:val="20"/>
          <w:szCs w:val="20"/>
          <w:color w:val="auto"/>
        </w:rPr>
      </w:pPr>
    </w:p>
    <w:p>
      <w:pPr>
        <w:ind w:left="720" w:hanging="368"/>
        <w:spacing w:after="0"/>
        <w:tabs>
          <w:tab w:leader="none" w:pos="7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Capitala Finance Corp.;</w:t>
      </w:r>
    </w:p>
    <w:p>
      <w:pPr>
        <w:spacing w:after="0" w:line="189" w:lineRule="exact"/>
        <w:rPr>
          <w:rFonts w:ascii="Arial" w:cs="Arial" w:eastAsia="Arial" w:hAnsi="Arial"/>
          <w:sz w:val="15"/>
          <w:szCs w:val="15"/>
          <w:color w:val="auto"/>
        </w:rPr>
      </w:pPr>
    </w:p>
    <w:p>
      <w:pPr>
        <w:ind w:left="720" w:hanging="368"/>
        <w:spacing w:after="0" w:line="276" w:lineRule="auto"/>
        <w:tabs>
          <w:tab w:leader="none" w:pos="7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5"/>
          <w:szCs w:val="15"/>
          <w:color w:val="auto"/>
        </w:rPr>
      </w:pPr>
    </w:p>
    <w:p>
      <w:pPr>
        <w:ind w:left="720" w:right="540" w:hanging="368"/>
        <w:spacing w:after="0" w:line="276" w:lineRule="auto"/>
        <w:tabs>
          <w:tab w:leader="none" w:pos="7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5"/>
          <w:szCs w:val="15"/>
          <w:color w:val="auto"/>
        </w:rPr>
      </w:pPr>
    </w:p>
    <w:p>
      <w:pPr>
        <w:ind w:left="720" w:right="40" w:hanging="368"/>
        <w:spacing w:after="0" w:line="276" w:lineRule="auto"/>
        <w:tabs>
          <w:tab w:leader="none" w:pos="7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5"/>
          <w:szCs w:val="15"/>
          <w:color w:val="auto"/>
        </w:rPr>
      </w:pPr>
    </w:p>
    <w:p>
      <w:pPr>
        <w:ind w:left="1560" w:right="80" w:hanging="371"/>
        <w:spacing w:after="0" w:line="356" w:lineRule="auto"/>
        <w:tabs>
          <w:tab w:leader="none" w:pos="1560" w:val="left"/>
        </w:tabs>
        <w:numPr>
          <w:ilvl w:val="1"/>
          <w:numId w:val="7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99" w:lineRule="exact"/>
        <w:rPr>
          <w:rFonts w:ascii="Arial" w:cs="Arial" w:eastAsia="Arial" w:hAnsi="Arial"/>
          <w:sz w:val="13"/>
          <w:szCs w:val="13"/>
          <w:color w:val="auto"/>
        </w:rPr>
      </w:pPr>
    </w:p>
    <w:p>
      <w:pPr>
        <w:ind w:left="1560" w:right="540" w:hanging="371"/>
        <w:spacing w:after="0" w:line="276" w:lineRule="auto"/>
        <w:tabs>
          <w:tab w:leader="none" w:pos="1560" w:val="left"/>
        </w:tabs>
        <w:numPr>
          <w:ilvl w:val="1"/>
          <w:numId w:val="7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5"/>
          <w:szCs w:val="15"/>
          <w:color w:val="auto"/>
        </w:rPr>
      </w:pPr>
    </w:p>
    <w:p>
      <w:pPr>
        <w:ind w:left="1560" w:right="220" w:hanging="371"/>
        <w:spacing w:after="0" w:line="264" w:lineRule="auto"/>
        <w:tabs>
          <w:tab w:leader="none" w:pos="1560" w:val="left"/>
        </w:tabs>
        <w:numPr>
          <w:ilvl w:val="1"/>
          <w:numId w:val="70"/>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5"/>
          <w:szCs w:val="15"/>
          <w:color w:val="auto"/>
        </w:rPr>
      </w:pPr>
    </w:p>
    <w:p>
      <w:pPr>
        <w:ind w:left="720" w:right="200" w:hanging="368"/>
        <w:spacing w:after="0" w:line="276" w:lineRule="auto"/>
        <w:tabs>
          <w:tab w:leader="none" w:pos="7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5"/>
          <w:szCs w:val="15"/>
          <w:color w:val="auto"/>
        </w:rPr>
      </w:pPr>
    </w:p>
    <w:p>
      <w:pPr>
        <w:ind w:left="1560" w:right="80" w:hanging="371"/>
        <w:spacing w:after="0" w:line="276" w:lineRule="auto"/>
        <w:tabs>
          <w:tab w:leader="none" w:pos="1560" w:val="left"/>
        </w:tabs>
        <w:numPr>
          <w:ilvl w:val="1"/>
          <w:numId w:val="7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5"/>
          <w:szCs w:val="15"/>
          <w:color w:val="auto"/>
        </w:rPr>
      </w:pPr>
    </w:p>
    <w:p>
      <w:pPr>
        <w:ind w:left="1560" w:right="320" w:hanging="371"/>
        <w:spacing w:after="0" w:line="276" w:lineRule="auto"/>
        <w:tabs>
          <w:tab w:leader="none" w:pos="1560" w:val="left"/>
        </w:tabs>
        <w:numPr>
          <w:ilvl w:val="1"/>
          <w:numId w:val="70"/>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Date: March 28, 2014</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12065</wp:posOffset>
            </wp:positionV>
            <wp:extent cx="363474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Stephen A. Arnall</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Chief Financial Officer</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5"/>
          <w:szCs w:val="15"/>
          <w:i w:val="1"/>
          <w:iCs w:val="1"/>
          <w:color w:val="auto"/>
        </w:rPr>
        <w:t>(Principal Financial and Accounting Officer)</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726884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6" w:name="page107"/>
    <w:bookmarkEnd w:id="106"/>
    <w:p>
      <w:pPr>
        <w:spacing w:after="0"/>
        <w:rPr>
          <w:sz w:val="20"/>
          <w:szCs w:val="20"/>
          <w:color w:val="auto"/>
        </w:rPr>
      </w:pPr>
      <w:r>
        <w:rPr>
          <w:rFonts w:ascii="Arial" w:cs="Arial" w:eastAsia="Arial" w:hAnsi="Arial"/>
          <w:sz w:val="15"/>
          <w:szCs w:val="15"/>
          <w:b w:val="1"/>
          <w:bCs w:val="1"/>
          <w:color w:val="auto"/>
        </w:rPr>
        <w:t>Exhibit 32.1</w:t>
      </w:r>
    </w:p>
    <w:p>
      <w:pPr>
        <w:spacing w:after="0" w:line="189" w:lineRule="exact"/>
        <w:rPr>
          <w:sz w:val="20"/>
          <w:szCs w:val="20"/>
          <w:color w:val="auto"/>
        </w:rPr>
      </w:pPr>
    </w:p>
    <w:p>
      <w:pPr>
        <w:jc w:val="center"/>
        <w:ind w:right="-339"/>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22" w:lineRule="exact"/>
        <w:rPr>
          <w:sz w:val="20"/>
          <w:szCs w:val="20"/>
          <w:color w:val="auto"/>
        </w:rPr>
      </w:pPr>
    </w:p>
    <w:p>
      <w:pPr>
        <w:jc w:val="center"/>
        <w:ind w:right="-339"/>
        <w:spacing w:after="0"/>
        <w:rPr>
          <w:sz w:val="20"/>
          <w:szCs w:val="20"/>
          <w:color w:val="auto"/>
        </w:rPr>
      </w:pPr>
      <w:r>
        <w:rPr>
          <w:rFonts w:ascii="Arial" w:cs="Arial" w:eastAsia="Arial" w:hAnsi="Arial"/>
          <w:sz w:val="15"/>
          <w:szCs w:val="15"/>
          <w:b w:val="1"/>
          <w:bCs w:val="1"/>
          <w:color w:val="auto"/>
        </w:rPr>
        <w:t>18 U.S.C. SECTION 1350,</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5"/>
          <w:szCs w:val="15"/>
          <w:b w:val="1"/>
          <w:bCs w:val="1"/>
          <w:color w:val="auto"/>
        </w:rPr>
        <w:t>AS ADOPTED PURSUANT TO</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80" w:lineRule="exact"/>
        <w:rPr>
          <w:sz w:val="20"/>
          <w:szCs w:val="20"/>
          <w:color w:val="auto"/>
        </w:rPr>
      </w:pPr>
    </w:p>
    <w:p>
      <w:pPr>
        <w:jc w:val="both"/>
        <w:spacing w:after="0" w:line="356" w:lineRule="auto"/>
        <w:rPr>
          <w:sz w:val="20"/>
          <w:szCs w:val="20"/>
          <w:color w:val="auto"/>
        </w:rPr>
      </w:pPr>
      <w:r>
        <w:rPr>
          <w:rFonts w:ascii="Arial" w:cs="Arial" w:eastAsia="Arial" w:hAnsi="Arial"/>
          <w:sz w:val="13"/>
          <w:szCs w:val="13"/>
          <w:color w:val="auto"/>
        </w:rPr>
        <w:t>In connection with the Annual Report on Form 10-K of Capitala Finance Corp. (the “Company”) for the annual period ended December 31, 2013, as filed with the Securities Exchange Commission on the date hereof (the “Report”), I, Joseph B. Alala III, Chief Executive Officer of the Company, certify, pursuant to Section 906 of the Sarbanes-Oxley Act of 2002, that:</w:t>
      </w:r>
    </w:p>
    <w:p>
      <w:pPr>
        <w:spacing w:after="0" w:line="99" w:lineRule="exact"/>
        <w:rPr>
          <w:sz w:val="20"/>
          <w:szCs w:val="20"/>
          <w:color w:val="auto"/>
        </w:rPr>
      </w:pPr>
    </w:p>
    <w:p>
      <w:pPr>
        <w:ind w:left="900" w:hanging="457"/>
        <w:spacing w:after="0"/>
        <w:tabs>
          <w:tab w:leader="none" w:pos="9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189" w:lineRule="exact"/>
        <w:rPr>
          <w:rFonts w:ascii="Arial" w:cs="Arial" w:eastAsia="Arial" w:hAnsi="Arial"/>
          <w:sz w:val="15"/>
          <w:szCs w:val="15"/>
          <w:color w:val="auto"/>
        </w:rPr>
      </w:pPr>
    </w:p>
    <w:p>
      <w:pPr>
        <w:ind w:right="1440" w:firstLine="443"/>
        <w:spacing w:after="0" w:line="503" w:lineRule="auto"/>
        <w:tabs>
          <w:tab w:leader="none" w:pos="905"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 Date: March 28, 2014</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12065</wp:posOffset>
            </wp:positionV>
            <wp:extent cx="363474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Joseph B. Alala III</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Chief Executive Officer</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5"/>
          <w:szCs w:val="15"/>
          <w:i w:val="1"/>
          <w:iCs w:val="1"/>
          <w:color w:val="auto"/>
        </w:rPr>
        <w:t>(Principal Executive Officer)</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726884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080"/>
          </w:cols>
          <w:pgMar w:left="240" w:top="306" w:right="579" w:bottom="1440" w:gutter="0" w:footer="0" w:header="0"/>
        </w:sectPr>
      </w:pPr>
    </w:p>
    <w:bookmarkStart w:id="107" w:name="page108"/>
    <w:bookmarkEnd w:id="107"/>
    <w:p>
      <w:pPr>
        <w:spacing w:after="0"/>
        <w:rPr>
          <w:sz w:val="20"/>
          <w:szCs w:val="20"/>
          <w:color w:val="auto"/>
        </w:rPr>
      </w:pPr>
      <w:r>
        <w:rPr>
          <w:rFonts w:ascii="Arial" w:cs="Arial" w:eastAsia="Arial" w:hAnsi="Arial"/>
          <w:sz w:val="15"/>
          <w:szCs w:val="15"/>
          <w:b w:val="1"/>
          <w:bCs w:val="1"/>
          <w:color w:val="auto"/>
        </w:rPr>
        <w:t>Exhibit 32.2</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22" w:lineRule="exact"/>
        <w:rPr>
          <w:sz w:val="20"/>
          <w:szCs w:val="20"/>
          <w:color w:val="auto"/>
        </w:rPr>
      </w:pPr>
    </w:p>
    <w:p>
      <w:pPr>
        <w:jc w:val="center"/>
        <w:ind w:right="-359"/>
        <w:spacing w:after="0"/>
        <w:rPr>
          <w:sz w:val="20"/>
          <w:szCs w:val="20"/>
          <w:color w:val="auto"/>
        </w:rPr>
      </w:pPr>
      <w:r>
        <w:rPr>
          <w:rFonts w:ascii="Arial" w:cs="Arial" w:eastAsia="Arial" w:hAnsi="Arial"/>
          <w:sz w:val="15"/>
          <w:szCs w:val="15"/>
          <w:b w:val="1"/>
          <w:bCs w:val="1"/>
          <w:color w:val="auto"/>
        </w:rPr>
        <w:t>18 U.S.C. SECTION 1350,</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5"/>
          <w:szCs w:val="15"/>
          <w:b w:val="1"/>
          <w:bCs w:val="1"/>
          <w:color w:val="auto"/>
        </w:rPr>
        <w:t>AS ADOPTED PURSUANT TO</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80" w:lineRule="exact"/>
        <w:rPr>
          <w:sz w:val="20"/>
          <w:szCs w:val="20"/>
          <w:color w:val="auto"/>
        </w:rPr>
      </w:pPr>
    </w:p>
    <w:p>
      <w:pPr>
        <w:spacing w:after="0" w:line="356" w:lineRule="auto"/>
        <w:rPr>
          <w:sz w:val="20"/>
          <w:szCs w:val="20"/>
          <w:color w:val="auto"/>
        </w:rPr>
      </w:pPr>
      <w:r>
        <w:rPr>
          <w:rFonts w:ascii="Arial" w:cs="Arial" w:eastAsia="Arial" w:hAnsi="Arial"/>
          <w:sz w:val="13"/>
          <w:szCs w:val="13"/>
          <w:color w:val="auto"/>
        </w:rPr>
        <w:t>In connection with the Annual Report on Form 10-K of Capitala Finance Corp. (the “Company”) for the annual period ended December 31, 2013, as filed with the Securities Exchange Commission on the date hereof (the “Report”), I, Stephen A. Arnall, Chief Financial Officer of the Company, certify, pursuant to Section 906 of the Sarbanes-Oxley Act of 2002, that:</w:t>
      </w:r>
    </w:p>
    <w:p>
      <w:pPr>
        <w:spacing w:after="0" w:line="99" w:lineRule="exact"/>
        <w:rPr>
          <w:sz w:val="20"/>
          <w:szCs w:val="20"/>
          <w:color w:val="auto"/>
        </w:rPr>
      </w:pPr>
    </w:p>
    <w:p>
      <w:pPr>
        <w:ind w:left="900" w:hanging="457"/>
        <w:spacing w:after="0"/>
        <w:tabs>
          <w:tab w:leader="none" w:pos="9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189" w:lineRule="exact"/>
        <w:rPr>
          <w:rFonts w:ascii="Arial" w:cs="Arial" w:eastAsia="Arial" w:hAnsi="Arial"/>
          <w:sz w:val="15"/>
          <w:szCs w:val="15"/>
          <w:color w:val="auto"/>
        </w:rPr>
      </w:pPr>
    </w:p>
    <w:p>
      <w:pPr>
        <w:ind w:right="1440" w:firstLine="443"/>
        <w:spacing w:after="0" w:line="503" w:lineRule="auto"/>
        <w:tabs>
          <w:tab w:leader="none" w:pos="905"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 Date: March 28, 2014</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12065</wp:posOffset>
            </wp:positionV>
            <wp:extent cx="363474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Stephen A. Arnall</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Chief Financial Officer</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(Principal Financial and Accounting Officer)</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726884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sectPr>
      <w:pgSz w:w="11900" w:h="16838" w:orient="portrait"/>
      <w:cols w:equalWidth="0" w:num="1">
        <w:col w:w="11080"/>
      </w:cols>
      <w:pgMar w:left="240" w:top="30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1)"/>
      <w:numFmt w:val="lowerRoman"/>
      <w:start w:val="2"/>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1"/>
      <w:numFmt w:val="bullet"/>
      <w:start w:val="1"/>
    </w:lvl>
  </w:abstractNum>
  <w:abstractNum w:abstractNumId="11">
    <w:nsid w:val="70A64E2A"/>
    <w:multiLevelType w:val="hybridMultilevel"/>
    <w:lvl w:ilvl="0">
      <w:lvlJc w:val="left"/>
      <w:lvlText w:val="2"/>
      <w:numFmt w:val="bullet"/>
      <w:start w:val="1"/>
    </w:lvl>
  </w:abstractNum>
  <w:abstractNum w:abstractNumId="12">
    <w:nsid w:val="6A2342EC"/>
    <w:multiLevelType w:val="hybridMultilevel"/>
    <w:lvl w:ilvl="0">
      <w:lvlJc w:val="left"/>
      <w:lvlText w:val="3"/>
      <w:numFmt w:val="bullet"/>
      <w:start w:val="1"/>
    </w:lvl>
  </w:abstractNum>
  <w:abstractNum w:abstractNumId="13">
    <w:nsid w:val="2A487CB0"/>
    <w:multiLevelType w:val="hybridMultilevel"/>
    <w:lvl w:ilvl="0">
      <w:lvlJc w:val="left"/>
      <w:lvlText w:val="4"/>
      <w:numFmt w:val="bullet"/>
      <w:start w:val="1"/>
    </w:lvl>
  </w:abstractNum>
  <w:abstractNum w:abstractNumId="14">
    <w:nsid w:val="1D4ED43B"/>
    <w:multiLevelType w:val="hybridMultilevel"/>
    <w:lvl w:ilvl="0">
      <w:lvlJc w:val="left"/>
      <w:lvlText w:val="5"/>
      <w:numFmt w:val="bullet"/>
      <w:start w:val="1"/>
    </w:lvl>
  </w:abstractNum>
  <w:abstractNum w:abstractNumId="15">
    <w:nsid w:val="725A06FB"/>
    <w:multiLevelType w:val="hybridMultilevel"/>
    <w:lvl w:ilvl="0">
      <w:lvlJc w:val="left"/>
      <w:lvlText w:val="(%1)"/>
      <w:numFmt w:val="lowerRoman"/>
      <w:start w:val="3"/>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1)"/>
      <w:numFmt w:val="decimal"/>
      <w:start w:val="4"/>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1)"/>
      <w:numFmt w:val="decimal"/>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lvl w:ilvl="1">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1)"/>
      <w:numFmt w:val="lowerRoman"/>
      <w:start w:val="3"/>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1)"/>
      <w:numFmt w:val="lowerRoman"/>
      <w:start w:val="2"/>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1)"/>
      <w:numFmt w:val="decimal"/>
      <w:start w:val="1"/>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lowerLetter"/>
      <w:start w:val="1"/>
    </w:lvl>
  </w:abstractNum>
  <w:abstractNum w:abstractNumId="63">
    <w:nsid w:val="5DB70AE5"/>
    <w:multiLevelType w:val="hybridMultilevel"/>
    <w:lvl w:ilvl="0">
      <w:lvlJc w:val="left"/>
      <w:lvlText w:val="(%1)"/>
      <w:numFmt w:val="lowerLetter"/>
      <w:start w:val="2"/>
    </w:lvl>
  </w:abstractNum>
  <w:abstractNum w:abstractNumId="64">
    <w:nsid w:val="100F8FCA"/>
    <w:multiLevelType w:val="hybridMultilevel"/>
    <w:lvl w:ilvl="0">
      <w:lvlJc w:val="left"/>
      <w:lvlText w:val="(%1)"/>
      <w:numFmt w:val="lowerLetter"/>
      <w:start w:val="3"/>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lowerLetter"/>
      <w:start w:val="1"/>
    </w:lvl>
    <w:lvl w:ilvl="1">
      <w:lvlJc w:val="left"/>
      <w:lvlText w:val="(%2)"/>
      <w:numFmt w:val="decimal"/>
      <w:start w:val="1"/>
    </w:lvl>
  </w:abstractNum>
  <w:abstractNum w:abstractNumId="67">
    <w:nsid w:val="5F5E7FD0"/>
    <w:multiLevelType w:val="hybridMultilevel"/>
    <w:lvl w:ilvl="0">
      <w:lvlJc w:val="left"/>
      <w:lvlText w:val="%1."/>
      <w:numFmt w:val="lowerLetter"/>
      <w:start w:val="3"/>
    </w:lvl>
    <w:lvl w:ilvl="1">
      <w:lvlJc w:val="left"/>
      <w:lvlText w:val="%2"/>
      <w:numFmt w:val="decimal"/>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2019-12-08T06:44:43Z</dcterms:created>
  <dcterms:modified xsi:type="dcterms:W3CDTF">2019-12-08T06:44:43Z</dcterms:modified>
</cp:coreProperties>
</file>