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7520" w:type="dxa"/>
            <w:vAlign w:val="bottom"/>
            <w:gridSpan w:val="5"/>
          </w:tcPr>
          <w:p>
            <w:pPr>
              <w:jc w:val="center"/>
              <w:ind w:left="90"/>
              <w:spacing w:after="0"/>
              <w:rPr>
                <w:sz w:val="20"/>
                <w:szCs w:val="20"/>
                <w:color w:val="auto"/>
              </w:rPr>
            </w:pPr>
            <w:r>
              <w:rPr>
                <w:rFonts w:ascii="Arial" w:cs="Arial" w:eastAsia="Arial" w:hAnsi="Arial"/>
                <w:sz w:val="18"/>
                <w:szCs w:val="18"/>
                <w:color w:val="auto"/>
                <w:w w:val="92"/>
              </w:rPr>
              <w:t xml:space="preserve">x   </w:t>
            </w:r>
            <w:r>
              <w:rPr>
                <w:rFonts w:ascii="Arial" w:cs="Arial" w:eastAsia="Arial" w:hAnsi="Arial"/>
                <w:sz w:val="18"/>
                <w:szCs w:val="18"/>
                <w:b w:val="1"/>
                <w:bCs w:val="1"/>
                <w:color w:val="auto"/>
                <w:w w:val="92"/>
              </w:rPr>
              <w:t>Quarterly Report Pursuant to Section 13 or 15(d) of the Securities Exchange Act of 1934</w:t>
            </w:r>
          </w:p>
        </w:tc>
        <w:tc>
          <w:tcPr>
            <w:tcW w:w="204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For the quarterly period ended September 30, 2018</w:t>
            </w:r>
          </w:p>
        </w:tc>
        <w:tc>
          <w:tcPr>
            <w:tcW w:w="2040" w:type="dxa"/>
            <w:vAlign w:val="bottom"/>
          </w:tcPr>
          <w:p>
            <w:pPr>
              <w:spacing w:after="0"/>
              <w:rPr>
                <w:sz w:val="24"/>
                <w:szCs w:val="24"/>
                <w:color w:val="auto"/>
              </w:rPr>
            </w:pPr>
          </w:p>
        </w:tc>
      </w:tr>
      <w:tr>
        <w:trPr>
          <w:trHeight w:val="452"/>
        </w:trPr>
        <w:tc>
          <w:tcPr>
            <w:tcW w:w="1860" w:type="dxa"/>
            <w:vAlign w:val="bottom"/>
          </w:tcPr>
          <w:p>
            <w:pPr>
              <w:spacing w:after="0"/>
              <w:rPr>
                <w:sz w:val="24"/>
                <w:szCs w:val="24"/>
                <w:color w:val="auto"/>
              </w:rPr>
            </w:pPr>
          </w:p>
        </w:tc>
        <w:tc>
          <w:tcPr>
            <w:tcW w:w="7520" w:type="dxa"/>
            <w:vAlign w:val="bottom"/>
            <w:gridSpan w:val="5"/>
          </w:tcPr>
          <w:p>
            <w:pPr>
              <w:jc w:val="center"/>
              <w:ind w:left="11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Transition Report Pursuant to Section 13 or 15(d) of the Securities Exchange Act of 1934</w:t>
            </w:r>
          </w:p>
        </w:tc>
        <w:tc>
          <w:tcPr>
            <w:tcW w:w="2040" w:type="dxa"/>
            <w:vAlign w:val="bottom"/>
          </w:tcPr>
          <w:p>
            <w:pPr>
              <w:spacing w:after="0"/>
              <w:rPr>
                <w:sz w:val="24"/>
                <w:szCs w:val="24"/>
                <w:color w:val="auto"/>
              </w:rPr>
            </w:pPr>
          </w:p>
        </w:tc>
      </w:tr>
      <w:tr>
        <w:trPr>
          <w:trHeight w:val="394"/>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040" w:type="dxa"/>
            <w:vAlign w:val="bottom"/>
          </w:tcPr>
          <w:p>
            <w:pPr>
              <w:spacing w:after="0"/>
              <w:rPr>
                <w:sz w:val="24"/>
                <w:szCs w:val="24"/>
                <w:color w:val="auto"/>
              </w:rPr>
            </w:pPr>
          </w:p>
        </w:tc>
      </w:tr>
      <w:tr>
        <w:trPr>
          <w:trHeight w:val="216"/>
        </w:trPr>
        <w:tc>
          <w:tcPr>
            <w:tcW w:w="186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Commission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address of principal executive office, telephone number and</w:t>
            </w: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186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File Number</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Identification Number</w:t>
            </w:r>
          </w:p>
        </w:tc>
      </w:tr>
      <w:tr>
        <w:trPr>
          <w:trHeight w:val="272"/>
        </w:trPr>
        <w:tc>
          <w:tcPr>
            <w:tcW w:w="186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0"/>
              </w:rPr>
              <w:t>814-01022</w:t>
            </w:r>
          </w:p>
        </w:tc>
        <w:tc>
          <w:tcPr>
            <w:tcW w:w="4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600" w:type="dxa"/>
            <w:vAlign w:val="bottom"/>
            <w:tcBorders>
              <w:top w:val="single" w:sz="8" w:color="auto"/>
            </w:tcBorders>
          </w:tcPr>
          <w:p>
            <w:pPr>
              <w:jc w:val="center"/>
              <w:spacing w:after="0" w:line="272" w:lineRule="exact"/>
              <w:rPr>
                <w:sz w:val="20"/>
                <w:szCs w:val="20"/>
                <w:color w:val="auto"/>
              </w:rPr>
            </w:pPr>
            <w:r>
              <w:rPr>
                <w:rFonts w:ascii="Arial" w:cs="Arial" w:eastAsia="Arial" w:hAnsi="Arial"/>
                <w:sz w:val="25"/>
                <w:szCs w:val="25"/>
                <w:b w:val="1"/>
                <w:bCs w:val="1"/>
                <w:color w:val="auto"/>
                <w:w w:val="93"/>
              </w:rPr>
              <w:t>Capitala Finance Corp.</w:t>
            </w: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90-0945675</w:t>
            </w: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4201 Congress St., Suite 360</w:t>
            </w:r>
          </w:p>
        </w:tc>
        <w:tc>
          <w:tcPr>
            <w:tcW w:w="20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Charlotte, North Carolina</w:t>
            </w:r>
          </w:p>
        </w:tc>
        <w:tc>
          <w:tcPr>
            <w:tcW w:w="20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Telephone: (704) 376-5502</w:t>
            </w:r>
          </w:p>
        </w:tc>
        <w:tc>
          <w:tcPr>
            <w:tcW w:w="204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State of Incorporation: Maryland</w:t>
            </w:r>
          </w:p>
        </w:tc>
        <w:tc>
          <w:tcPr>
            <w:tcW w:w="20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2880"/>
        <w:spacing w:after="0" w:line="207" w:lineRule="exact"/>
        <w:tabs>
          <w:tab w:leader="none" w:pos="5700" w:val="left"/>
          <w:tab w:leader="none" w:pos="79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14" w:lineRule="exact"/>
        <w:rPr>
          <w:sz w:val="24"/>
          <w:szCs w:val="24"/>
          <w:color w:val="auto"/>
        </w:rPr>
      </w:pPr>
    </w:p>
    <w:p>
      <w:pPr>
        <w:ind w:left="2880"/>
        <w:spacing w:after="0" w:line="207" w:lineRule="exact"/>
        <w:tabs>
          <w:tab w:leader="none" w:pos="5700" w:val="left"/>
          <w:tab w:leader="none" w:pos="79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75"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2380" w:space="720"/>
            <w:col w:w="1620" w:space="100"/>
            <w:col w:w="1900" w:space="720"/>
            <w:col w:w="1560" w:space="720"/>
            <w:col w:w="1700"/>
          </w:cols>
          <w:pgMar w:left="240" w:top="675" w:right="239" w:bottom="1440" w:gutter="0" w:footer="0" w:header="0"/>
          <w:type w:val="continuous"/>
        </w:sectPr>
      </w:pPr>
    </w:p>
    <w:p>
      <w:pPr>
        <w:spacing w:after="0" w:line="48"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4620" w:space="200"/>
            <w:col w:w="1900" w:space="720"/>
            <w:col w:w="1960" w:space="320"/>
            <w:col w:w="1700"/>
          </w:cols>
          <w:pgMar w:left="240" w:top="675" w:right="239" w:bottom="1440" w:gutter="0" w:footer="0" w:header="0"/>
          <w:type w:val="continuous"/>
        </w:sectPr>
      </w:pPr>
    </w:p>
    <w:p>
      <w:pPr>
        <w:spacing w:after="0" w:line="48" w:lineRule="exact"/>
        <w:rPr>
          <w:sz w:val="24"/>
          <w:szCs w:val="24"/>
          <w:color w:val="auto"/>
        </w:rPr>
      </w:pPr>
    </w:p>
    <w:p>
      <w:pPr>
        <w:ind w:left="74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2">
            <w:col w:w="9400" w:space="320"/>
            <w:col w:w="1700"/>
          </w:cols>
          <w:pgMar w:left="240" w:top="675" w:right="239" w:bottom="1440" w:gutter="0" w:footer="0" w:header="0"/>
          <w:type w:val="continuous"/>
        </w:sectPr>
      </w:pPr>
    </w:p>
    <w:p>
      <w:pPr>
        <w:spacing w:after="0" w:line="48"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675" w:right="239" w:bottom="1440" w:gutter="0" w:footer="0" w:header="0"/>
          <w:type w:val="continuous"/>
        </w:sectPr>
      </w:pPr>
    </w:p>
    <w:p>
      <w:pPr>
        <w:spacing w:after="0" w:line="225" w:lineRule="exact"/>
        <w:rPr>
          <w:sz w:val="24"/>
          <w:szCs w:val="24"/>
          <w:color w:val="auto"/>
        </w:rPr>
      </w:pPr>
    </w:p>
    <w:p>
      <w:pPr>
        <w:ind w:left="2880"/>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5000" w:space="720"/>
            <w:col w:w="260" w:space="100"/>
            <w:col w:w="1200" w:space="720"/>
            <w:col w:w="220" w:space="140"/>
            <w:col w:w="3060"/>
          </w:cols>
          <w:pgMar w:left="240" w:top="675" w:right="239" w:bottom="1440" w:gutter="0" w:footer="0" w:header="0"/>
          <w:type w:val="continuous"/>
        </w:sectPr>
      </w:pPr>
    </w:p>
    <w:p>
      <w:pPr>
        <w:spacing w:after="0" w:line="25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November 2, 2018 was 16,028,888.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10"/>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September 30, 2018 (unaudited) and December 31, 2017</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Operations for the three and nine months ended September 30, 2018 and 2017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Changes in Net Assets for the nine months ended September 30, 2018 and 2017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nine months ended September 30, 2018 and 2017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as of September 30, 2018 (unaudited) and December 31, 2017</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Notes to Consolidated Financial Statements as of September 30, 2018 (unaudited)</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48</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Quantitative and Qualitative Disclosures About Market Risk</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67</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w:t>
              </w:r>
            </w:hyperlink>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67</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Legal Proceedings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67</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1A.</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Risk Factors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68</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Unregistered Sales of Equity Securities and Use of Proceeds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69</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Defaults Upon Senior Securities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69</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Mine Safety Disclosures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69</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5.</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69</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6.</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Exhibits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70</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71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900" w:type="dxa"/>
            <w:vAlign w:val="bottom"/>
            <w:tcBorders>
              <w:top w:val="single" w:sz="8" w:color="CCEEFF"/>
              <w:bottom w:val="single" w:sz="8" w:color="auto"/>
            </w:tcBorders>
            <w:gridSpan w:val="12"/>
          </w:tcPr>
          <w:p>
            <w:pPr>
              <w:ind w:left="4520"/>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92"/>
              </w:rPr>
              <w:t>Capitala Finance Corp.</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8"/>
              </w:rPr>
              <w:t>September 30, 2018</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December 31,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 (amortized cost of $238,039 and $298,132, respectively)</w:t>
            </w: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247,128</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Affiliate investments (amortized cost of $100,520 and $77,336,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132,868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(amortized cost of $73,098 and $89,559, respectively)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$411,657 and $465,027, respectively)</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50,456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4,044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494,200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534,595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(net of deferred financing costs of $1,842 and $2,300, respectively)</w:t>
            </w: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163,858</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2022 Notes (net of deferred financing costs of $2,117 and $2,496,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72,883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 (net of deferred financing costs of $1,342 and $1,583, respectively)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Credit Facility (net of deferred financing costs of $1,021 and $1,293,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Trade settlement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tax liability,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Written call option at fair value (proceeds of $0 and $20, respectively)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290,604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$.01, 100,000,000 common shares authorized, 16,017,970 and 15,951,231 common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3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241,543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distributable loss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(38,107)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203,596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494,200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12.71</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2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Capitala Finance Corp.</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gridSpan w:val="7"/>
          </w:tcPr>
          <w:p>
            <w:pPr>
              <w:jc w:val="center"/>
              <w:ind w:left="341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7"/>
          </w:tcPr>
          <w:p>
            <w:pPr>
              <w:jc w:val="center"/>
              <w:ind w:left="33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1"/>
              </w:rPr>
              <w:t>(unaudited)</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60" w:type="dxa"/>
            <w:vAlign w:val="bottom"/>
            <w:gridSpan w:val="6"/>
          </w:tcPr>
          <w:p>
            <w:pPr>
              <w:spacing w:after="0"/>
              <w:rPr>
                <w:sz w:val="20"/>
                <w:szCs w:val="20"/>
                <w:color w:val="auto"/>
              </w:rPr>
            </w:pPr>
            <w:r>
              <w:rPr>
                <w:rFonts w:ascii="Arial" w:cs="Arial" w:eastAsia="Arial" w:hAnsi="Arial"/>
                <w:sz w:val="18"/>
                <w:szCs w:val="18"/>
                <w:b w:val="1"/>
                <w:bCs w:val="1"/>
                <w:color w:val="auto"/>
                <w:w w:val="93"/>
              </w:rPr>
              <w:t>For the Three Months Ended September 30</w:t>
            </w:r>
          </w:p>
        </w:tc>
        <w:tc>
          <w:tcPr>
            <w:tcW w:w="3420" w:type="dxa"/>
            <w:vAlign w:val="bottom"/>
            <w:gridSpan w:val="7"/>
          </w:tcPr>
          <w:p>
            <w:pPr>
              <w:ind w:left="8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6,935</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20,915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1,852</w:t>
            </w: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5,870</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1,898</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5,585</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32,370</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1,482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4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715</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from cash and cash equivalents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 income</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4,320</w:t>
            </w: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13,015</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Base management fee</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2,254</w:t>
            </w: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6,871</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1,105</w:t>
            </w:r>
          </w:p>
        </w:tc>
        <w:tc>
          <w:tcPr>
            <w:tcW w:w="4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3,334</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incentive fee waiver</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23,464</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Incentive fee waiver (See Note 6)</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fee waivers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23,464</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3,851</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12,520</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 AND WRITTEN CALL OPTION:</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9,874</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(15,820)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956</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(3,669)</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(5,315)</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6"/>
              </w:rPr>
              <w:t>Net unrealized appreciation (depreciation) on investments: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(8,380)</w:t>
            </w: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9,605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18,847</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11,730</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5,727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2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(32,100)</w:t>
            </w:r>
          </w:p>
        </w:tc>
        <w:tc>
          <w:tcPr>
            <w:tcW w:w="4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(31,722)</w:t>
            </w: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Net unrealized appreciation (depreciation) on investments</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on written call</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option</w:t>
            </w:r>
          </w:p>
        </w:tc>
        <w:tc>
          <w:tcPr>
            <w:tcW w:w="20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6,795</w:t>
            </w:r>
          </w:p>
        </w:tc>
        <w:tc>
          <w:tcPr>
            <w:tcW w:w="4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6,795</w:t>
            </w: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realized and unrealized loss on investments and</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written call option</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(15,657)</w:t>
            </w:r>
          </w:p>
        </w:tc>
        <w:tc>
          <w:tcPr>
            <w:tcW w:w="4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(20,532)</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benefit (provision)</w:t>
            </w: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2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w w:val="94"/>
              </w:rPr>
              <w:t>Total net realized and unrealized loss on investments and</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written call option, net of taxes</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(15,767)</w:t>
            </w:r>
          </w:p>
        </w:tc>
        <w:tc>
          <w:tcPr>
            <w:tcW w:w="4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(19,347)</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IN NET ASSETS RESULTING FROM</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(11,916)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IN NET ASSETS PER SHARE</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RESULTING FROM OPERATIONS – BASIC AND</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STOCK</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 BASIC AND DILUTED</w:t>
            </w: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16,001,919</w:t>
            </w:r>
          </w:p>
        </w:tc>
        <w:tc>
          <w:tcPr>
            <w:tcW w:w="4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15,911,160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15,981,154</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15,891,636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4" w:name="page5"/>
    <w:bookmarkEnd w:id="4"/>
    <w:p>
      <w:pPr>
        <w:spacing w:after="0"/>
        <w:tabs>
          <w:tab w:leader="none" w:pos="4520" w:val="left"/>
          <w:tab w:leader="none" w:pos="5740" w:val="left"/>
          <w:tab w:leader="none" w:pos="6320" w:val="left"/>
          <w:tab w:leader="none" w:pos="7540" w:val="left"/>
          <w:tab w:leader="none" w:pos="8060" w:val="left"/>
          <w:tab w:leader="none" w:pos="9220" w:val="left"/>
          <w:tab w:leader="none" w:pos="9800" w:val="left"/>
          <w:tab w:leader="none" w:pos="10980" w:val="left"/>
        </w:tabs>
        <w:rPr>
          <w:sz w:val="20"/>
          <w:szCs w:val="20"/>
          <w:color w:val="auto"/>
        </w:rPr>
      </w:pPr>
      <w:r>
        <w:rPr>
          <w:rFonts w:ascii="Arial" w:cs="Arial" w:eastAsia="Arial" w:hAnsi="Arial"/>
          <w:sz w:val="18"/>
          <w:szCs w:val="18"/>
          <w:color w:val="auto"/>
        </w:rPr>
        <w:t>DISTRIBUTIONS PAID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0.25</w:t>
        <w:tab/>
        <w:t>$</w:t>
      </w:r>
      <w:r>
        <w:rPr>
          <w:sz w:val="20"/>
          <w:szCs w:val="20"/>
          <w:color w:val="auto"/>
        </w:rPr>
        <w:tab/>
      </w:r>
      <w:r>
        <w:rPr>
          <w:rFonts w:ascii="Arial" w:cs="Arial" w:eastAsia="Arial" w:hAnsi="Arial"/>
          <w:sz w:val="18"/>
          <w:szCs w:val="18"/>
          <w:color w:val="auto"/>
        </w:rPr>
        <w:t>0.39</w:t>
        <w:tab/>
        <w:t>$</w:t>
      </w:r>
      <w:r>
        <w:rPr>
          <w:sz w:val="20"/>
          <w:szCs w:val="20"/>
          <w:color w:val="auto"/>
        </w:rPr>
        <w:tab/>
      </w:r>
      <w:r>
        <w:rPr>
          <w:rFonts w:ascii="Arial" w:cs="Arial" w:eastAsia="Arial" w:hAnsi="Arial"/>
          <w:sz w:val="18"/>
          <w:szCs w:val="18"/>
          <w:color w:val="auto"/>
        </w:rPr>
        <w:t>0.75</w:t>
        <w:tab/>
        <w:t>$</w:t>
      </w:r>
      <w:r>
        <w:rPr>
          <w:sz w:val="20"/>
          <w:szCs w:val="20"/>
          <w:color w:val="auto"/>
        </w:rPr>
        <w:tab/>
      </w: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Additional Paid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2"/>
              </w:rPr>
              <w:t>Distributable</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Par Value</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in Capital</w:t>
            </w:r>
          </w:p>
        </w:tc>
        <w:tc>
          <w:tcPr>
            <w:tcW w:w="120" w:type="dxa"/>
            <w:vAlign w:val="bottom"/>
          </w:tcPr>
          <w:p>
            <w:pPr>
              <w:spacing w:after="0"/>
              <w:rPr>
                <w:sz w:val="20"/>
                <w:szCs w:val="20"/>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Earnings (Loss)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15,868,045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11,304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(11,471)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depreciation on written call option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Tax provision</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(2,660)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Shareholders: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Stock issued under dividend reinvestment plan</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62,586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declared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(18,593)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September 30, 2017</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15,930,631</w:t>
            </w:r>
          </w:p>
        </w:tc>
        <w:tc>
          <w:tcPr>
            <w:tcW w:w="2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240,897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15,951,231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241,027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(19,300)</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loss on investments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(20,179)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unrealized appreciation on written call option</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6,795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issued under dividend reinvestment plan</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66,739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(11,980)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16,017,970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00" w:type="dxa"/>
            <w:vAlign w:val="bottom"/>
          </w:tcPr>
          <w:p>
            <w:pPr>
              <w:ind w:left="4840"/>
              <w:spacing w:after="0"/>
              <w:rPr>
                <w:sz w:val="20"/>
                <w:szCs w:val="20"/>
                <w:color w:val="auto"/>
              </w:rPr>
            </w:pPr>
            <w:r>
              <w:rPr>
                <w:rFonts w:ascii="Arial" w:cs="Arial" w:eastAsia="Arial" w:hAnsi="Arial"/>
                <w:sz w:val="18"/>
                <w:szCs w:val="18"/>
                <w:b w:val="1"/>
                <w:bCs w:val="1"/>
                <w:color w:val="auto"/>
              </w:rPr>
              <w:t>Capitala Finance Corp.</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00" w:type="dxa"/>
            <w:vAlign w:val="bottom"/>
          </w:tcPr>
          <w:p>
            <w:pPr>
              <w:ind w:left="4220"/>
              <w:spacing w:after="0"/>
              <w:rPr>
                <w:sz w:val="20"/>
                <w:szCs w:val="20"/>
                <w:color w:val="auto"/>
              </w:rPr>
            </w:pPr>
            <w:r>
              <w:rPr>
                <w:rFonts w:ascii="Arial" w:cs="Arial" w:eastAsia="Arial" w:hAnsi="Arial"/>
                <w:sz w:val="18"/>
                <w:szCs w:val="18"/>
                <w:b w:val="1"/>
                <w:bCs w:val="1"/>
                <w:color w:val="auto"/>
              </w:rPr>
              <w:t>Consolidated Statements of Cash Flows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1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ind w:left="524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700" w:type="dxa"/>
            <w:vAlign w:val="bottom"/>
            <w:gridSpan w:val="7"/>
          </w:tcPr>
          <w:p>
            <w:pPr>
              <w:ind w:left="36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Net decrease in net assets resulting from operations</w:t>
            </w: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(6,827)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Adjustments to reconcile net increase in net assets resulting from operations to net cash provided by</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(58,907)</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and sales of investments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96,260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Net realized loss on investments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20,179</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depreciation on investments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Payment-in-kind interest and dividends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(3,315)</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investments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Payments from written call option</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(appreciation) depreciation on written call option</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1,406</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Tax provision (benefit)</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(1,185)</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Interest and dividend receivable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Due to related parties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and incentive fees payable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Interest and financing fees payable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(1,632)</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Trade settlement payable</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44,755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Paydowns on SBA debentures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Credit Facility</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21,000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Payments to Credit Facility</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(30,000)</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2022 Notes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Issuance of 2022 Convertible Notes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2021 Notes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Distributions paid to shareholders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(11,464)</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fees paid</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(25,520</w:t>
            </w: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jc w:val="both"/>
        <w:ind w:right="3080"/>
        <w:spacing w:after="0" w:line="286" w:lineRule="auto"/>
        <w:rPr>
          <w:sz w:val="20"/>
          <w:szCs w:val="20"/>
          <w:color w:val="auto"/>
        </w:rPr>
      </w:pPr>
      <w:r>
        <w:rPr>
          <w:rFonts w:ascii="Arial" w:cs="Arial" w:eastAsia="Arial" w:hAnsi="Arial"/>
          <w:sz w:val="17"/>
          <w:szCs w:val="17"/>
          <w:color w:val="auto"/>
        </w:rPr>
        <w:t>NET INCREASE IN CASH AND CASH EQUIVALENTS 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19,235</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16,026</w:t>
            </w: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31,221</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36,281</w:t>
            </w:r>
          </w:p>
        </w:tc>
      </w:tr>
      <w:tr>
        <w:trPr>
          <w:trHeight w:val="223"/>
        </w:trPr>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50,456</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52,307</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60" w:space="720"/>
            <w:col w:w="33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12,213</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8"/>
              </w:rPr>
              <w:t>SUPPLEMENTAL DISCLOSURE OF NON-CASH INVESTING AND FINANCING TRANSACTIONS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516</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 xml:space="preserve">Portfolio Company, Country </w:t>
            </w:r>
            <w:r>
              <w:rPr>
                <w:rFonts w:ascii="Arial" w:cs="Arial" w:eastAsia="Arial" w:hAnsi="Arial"/>
                <w:sz w:val="23"/>
                <w:szCs w:val="23"/>
                <w:b w:val="1"/>
                <w:bCs w:val="1"/>
                <w:color w:val="auto"/>
                <w:w w:val="91"/>
                <w:vertAlign w:val="superscript"/>
              </w:rPr>
              <w:t>(1)</w:t>
            </w:r>
            <w:r>
              <w:rPr>
                <w:rFonts w:ascii="Arial" w:cs="Arial" w:eastAsia="Arial" w:hAnsi="Arial"/>
                <w:sz w:val="23"/>
                <w:szCs w:val="23"/>
                <w:b w:val="1"/>
                <w:bCs w:val="1"/>
                <w:u w:val="single" w:color="auto"/>
                <w:color w:val="auto"/>
                <w:w w:val="91"/>
                <w:vertAlign w:val="superscript"/>
              </w:rPr>
              <w:t>,</w:t>
            </w:r>
            <w:r>
              <w:rPr>
                <w:rFonts w:ascii="Arial" w:cs="Arial" w:eastAsia="Arial" w:hAnsi="Arial"/>
                <w:sz w:val="14"/>
                <w:szCs w:val="14"/>
                <w:b w:val="1"/>
                <w:bCs w:val="1"/>
                <w:color w:val="auto"/>
                <w:w w:val="91"/>
              </w:rPr>
              <w:t xml:space="preserve"> </w:t>
            </w:r>
            <w:r>
              <w:rPr>
                <w:rFonts w:ascii="Arial" w:cs="Arial" w:eastAsia="Arial" w:hAnsi="Arial"/>
                <w:sz w:val="23"/>
                <w:szCs w:val="23"/>
                <w:b w:val="1"/>
                <w:bCs w:val="1"/>
                <w:color w:val="auto"/>
                <w:w w:val="91"/>
                <w:vertAlign w:val="superscript"/>
              </w:rPr>
              <w:t>(2), (3), (4)</w:t>
            </w: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3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8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Non-control/non-affiliated investments -</w:t>
            </w: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121.4%</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Non-control/non-affiliated investments -</w:t>
            </w: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13"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3 Bridge Solutions, LLC</w:t>
      </w:r>
      <w:r>
        <w:rPr>
          <w:sz w:val="20"/>
          <w:szCs w:val="20"/>
          <w:color w:val="auto"/>
        </w:rPr>
        <w:tab/>
      </w:r>
      <w:r>
        <w:rPr>
          <w:rFonts w:ascii="Arial" w:cs="Arial" w:eastAsia="Arial" w:hAnsi="Arial"/>
          <w:sz w:val="13"/>
          <w:szCs w:val="13"/>
          <w:color w:val="auto"/>
        </w:rPr>
        <w:t>IT Consulting</w:t>
      </w:r>
    </w:p>
    <w:p>
      <w:pPr>
        <w:spacing w:after="0" w:line="285"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3 Bridge Solutions, LLC</w:t>
      </w:r>
      <w:r>
        <w:rPr>
          <w:sz w:val="20"/>
          <w:szCs w:val="20"/>
          <w:color w:val="auto"/>
        </w:rPr>
        <w:tab/>
      </w:r>
      <w:r>
        <w:rPr>
          <w:rFonts w:ascii="Arial" w:cs="Arial" w:eastAsia="Arial" w:hAnsi="Arial"/>
          <w:sz w:val="13"/>
          <w:szCs w:val="13"/>
          <w:color w:val="auto"/>
        </w:rPr>
        <w:t>IT Consulting</w:t>
      </w:r>
    </w:p>
    <w:p>
      <w:pPr>
        <w:spacing w:after="0" w:line="17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3 Bridge Solutions, LLC</w:t>
      </w:r>
      <w:r>
        <w:rPr>
          <w:sz w:val="20"/>
          <w:szCs w:val="20"/>
          <w:color w:val="auto"/>
        </w:rPr>
        <w:tab/>
      </w:r>
      <w:r>
        <w:rPr>
          <w:rFonts w:ascii="Arial" w:cs="Arial" w:eastAsia="Arial" w:hAnsi="Arial"/>
          <w:sz w:val="13"/>
          <w:szCs w:val="13"/>
          <w:color w:val="auto"/>
        </w:rPr>
        <w:t>IT Consulting</w:t>
      </w:r>
    </w:p>
    <w:p>
      <w:pPr>
        <w:spacing w:after="0" w:line="200" w:lineRule="exact"/>
        <w:rPr>
          <w:sz w:val="20"/>
          <w:szCs w:val="20"/>
          <w:color w:val="auto"/>
        </w:rPr>
      </w:pPr>
    </w:p>
    <w:p>
      <w:pPr>
        <w:spacing w:after="0" w:line="28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Alternative Biomedical Solutions, LLC</w:t>
      </w:r>
      <w:r>
        <w:rPr>
          <w:sz w:val="20"/>
          <w:szCs w:val="20"/>
          <w:color w:val="auto"/>
        </w:rPr>
        <w:tab/>
      </w:r>
      <w:r>
        <w:rPr>
          <w:rFonts w:ascii="Arial" w:cs="Arial" w:eastAsia="Arial" w:hAnsi="Arial"/>
          <w:sz w:val="12"/>
          <w:szCs w:val="12"/>
          <w:color w:val="auto"/>
        </w:rPr>
        <w:t>Healthcare</w:t>
      </w:r>
    </w:p>
    <w:p>
      <w:pPr>
        <w:spacing w:after="0" w:line="17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Alternative Biomedical Solutions, LLC</w:t>
      </w:r>
      <w:r>
        <w:rPr>
          <w:sz w:val="20"/>
          <w:szCs w:val="20"/>
          <w:color w:val="auto"/>
        </w:rPr>
        <w:tab/>
      </w:r>
      <w:r>
        <w:rPr>
          <w:rFonts w:ascii="Arial" w:cs="Arial" w:eastAsia="Arial" w:hAnsi="Arial"/>
          <w:sz w:val="12"/>
          <w:szCs w:val="12"/>
          <w:color w:val="auto"/>
        </w:rPr>
        <w:t>Healthcare</w:t>
      </w:r>
    </w:p>
    <w:p>
      <w:pPr>
        <w:spacing w:after="0" w:line="200" w:lineRule="exact"/>
        <w:rPr>
          <w:sz w:val="20"/>
          <w:szCs w:val="20"/>
          <w:color w:val="auto"/>
        </w:rPr>
      </w:pPr>
    </w:p>
    <w:p>
      <w:pPr>
        <w:spacing w:after="0" w:line="287"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color w:val="auto"/>
        </w:rPr>
        <w:t>American Clinical Solutions, LLC</w:t>
      </w:r>
      <w:r>
        <w:rPr>
          <w:sz w:val="20"/>
          <w:szCs w:val="20"/>
          <w:color w:val="auto"/>
        </w:rPr>
        <w:tab/>
      </w:r>
      <w:r>
        <w:rPr>
          <w:rFonts w:ascii="Arial" w:cs="Arial" w:eastAsia="Arial" w:hAnsi="Arial"/>
          <w:sz w:val="12"/>
          <w:szCs w:val="12"/>
          <w:color w:val="auto"/>
        </w:rPr>
        <w:t>Healthcare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20"/>
                <w:szCs w:val="20"/>
                <w:color w:val="auto"/>
              </w:rPr>
            </w:pPr>
            <w:r>
              <w:rPr>
                <w:rFonts w:ascii="Arial" w:cs="Arial" w:eastAsia="Arial" w:hAnsi="Arial"/>
                <w:sz w:val="14"/>
                <w:szCs w:val="14"/>
                <w:color w:val="auto"/>
                <w:w w:val="96"/>
              </w:rPr>
              <w:t>First Lien Debt (11.1% Cash (1 month LIBOR + 9.0%,</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1.0% Floor), Due 12/4/22)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11,109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11,109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11,109</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438"/>
        </w:trPr>
        <w:tc>
          <w:tcPr>
            <w:tcW w:w="3240" w:type="dxa"/>
            <w:vAlign w:val="bottom"/>
          </w:tcPr>
          <w:p>
            <w:pPr>
              <w:spacing w:after="0"/>
              <w:rPr>
                <w:sz w:val="20"/>
                <w:szCs w:val="20"/>
                <w:color w:val="auto"/>
              </w:rPr>
            </w:pPr>
            <w:r>
              <w:rPr>
                <w:rFonts w:ascii="Arial" w:cs="Arial" w:eastAsia="Arial" w:hAnsi="Arial"/>
                <w:sz w:val="14"/>
                <w:szCs w:val="14"/>
                <w:color w:val="auto"/>
              </w:rPr>
              <w:t xml:space="preserve">Preferred Units (965,250 units, 8.0% PIK) </w:t>
            </w:r>
            <w:r>
              <w:rPr>
                <w:rFonts w:ascii="Arial" w:cs="Arial" w:eastAsia="Arial" w:hAnsi="Arial"/>
                <w:sz w:val="23"/>
                <w:szCs w:val="23"/>
                <w:color w:val="auto"/>
                <w:vertAlign w:val="superscript"/>
              </w:rPr>
              <w:t>(5)</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1,029</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1,029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4"/>
                <w:szCs w:val="14"/>
                <w:color w:val="auto"/>
              </w:rPr>
              <w:t>Membership Units (39,000 units)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12,148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12,192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(12.2% Cash, Due 12/18/22) </w:t>
            </w:r>
            <w:r>
              <w:rPr>
                <w:rFonts w:ascii="Arial" w:cs="Arial" w:eastAsia="Arial" w:hAnsi="Arial"/>
                <w:sz w:val="23"/>
                <w:szCs w:val="23"/>
                <w:color w:val="auto"/>
                <w:vertAlign w:val="superscript"/>
              </w:rPr>
              <w:t>(6)</w:t>
            </w: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12,741</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4"/>
                <w:szCs w:val="14"/>
                <w:color w:val="auto"/>
              </w:rPr>
              <w:t>Membership Units (20,092 units)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12,772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82"/>
        </w:trPr>
        <w:tc>
          <w:tcPr>
            <w:tcW w:w="3240" w:type="dxa"/>
            <w:vAlign w:val="bottom"/>
          </w:tcPr>
          <w:p>
            <w:pPr>
              <w:spacing w:after="0"/>
              <w:rPr>
                <w:sz w:val="20"/>
                <w:szCs w:val="20"/>
                <w:color w:val="auto"/>
              </w:rPr>
            </w:pPr>
            <w:r>
              <w:rPr>
                <w:rFonts w:ascii="Arial" w:cs="Arial" w:eastAsia="Arial" w:hAnsi="Arial"/>
                <w:sz w:val="14"/>
                <w:szCs w:val="14"/>
                <w:color w:val="auto"/>
                <w:w w:val="97"/>
              </w:rPr>
              <w:t>First Lien Debt (10.5% Cash, 2.0% PIK, Due 6/11/20)</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2"/>
                <w:szCs w:val="12"/>
                <w:color w:val="auto"/>
              </w:rPr>
              <w:t>(7)</w:t>
            </w:r>
          </w:p>
        </w:tc>
        <w:tc>
          <w:tcPr>
            <w:tcW w:w="32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9,246</w:t>
            </w:r>
          </w:p>
        </w:tc>
        <w:tc>
          <w:tcPr>
            <w:tcW w:w="2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8,969</w:t>
            </w:r>
          </w:p>
        </w:tc>
        <w:tc>
          <w:tcPr>
            <w:tcW w:w="2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6,656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-1743075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-1460500</wp:posOffset>
            </wp:positionV>
            <wp:extent cx="72466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-1245870</wp:posOffset>
            </wp:positionV>
            <wp:extent cx="72466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-1040130</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-834390</wp:posOffset>
            </wp:positionV>
            <wp:extent cx="72466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-619760</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-414020</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-208280</wp:posOffset>
            </wp:positionV>
            <wp:extent cx="724662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480" w:space="700"/>
            <w:col w:w="72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AmeriMark Direct, LLC</w:t>
            </w:r>
          </w:p>
        </w:tc>
        <w:tc>
          <w:tcPr>
            <w:tcW w:w="1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Consumer Products</w:t>
            </w:r>
          </w:p>
        </w:tc>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First Lien Debt (12.8% Cash, Due 9/8/21)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18,550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B&amp;W Quality Growers, LLC</w:t>
            </w:r>
          </w:p>
        </w:tc>
        <w:tc>
          <w:tcPr>
            <w:tcW w:w="1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Farming</w:t>
            </w:r>
          </w:p>
        </w:tc>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Membership Unit Warrants (91,739 Units)</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BigMouth, Inc.</w:t>
            </w:r>
          </w:p>
        </w:tc>
        <w:tc>
          <w:tcPr>
            <w:tcW w:w="1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Consumer Products</w:t>
            </w:r>
          </w:p>
        </w:tc>
        <w:tc>
          <w:tcPr>
            <w:tcW w:w="358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First Lien Debt (14.1% Cash, Due 11/14/21) </w:t>
            </w:r>
            <w:r>
              <w:rPr>
                <w:rFonts w:ascii="Arial" w:cs="Arial" w:eastAsia="Arial" w:hAnsi="Arial"/>
                <w:sz w:val="21"/>
                <w:szCs w:val="21"/>
                <w:color w:val="auto"/>
                <w:vertAlign w:val="superscript"/>
              </w:rPr>
              <w:t>(6)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9,268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700" w:type="dxa"/>
            <w:vAlign w:val="bottom"/>
            <w:shd w:val="clear" w:color="auto" w:fill="CCEEFF"/>
          </w:tcPr>
          <w:p>
            <w:pPr>
              <w:ind w:left="360"/>
              <w:spacing w:after="0" w:line="140" w:lineRule="exact"/>
              <w:rPr>
                <w:sz w:val="20"/>
                <w:szCs w:val="20"/>
                <w:color w:val="auto"/>
              </w:rPr>
            </w:pPr>
            <w:r>
              <w:rPr>
                <w:rFonts w:ascii="Arial" w:cs="Arial" w:eastAsia="Arial" w:hAnsi="Arial"/>
                <w:sz w:val="14"/>
                <w:szCs w:val="14"/>
                <w:color w:val="auto"/>
              </w:rPr>
              <w:t>Consumer Products</w:t>
            </w:r>
          </w:p>
        </w:tc>
        <w:tc>
          <w:tcPr>
            <w:tcW w:w="35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Series A Preferred Stock (350,000 shares, 8.0% PIK)</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(5)</w:t>
            </w: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9,671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70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Online Merchandise</w:t>
            </w:r>
          </w:p>
        </w:tc>
        <w:tc>
          <w:tcPr>
            <w:tcW w:w="35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First Lien Debt (9.7% Cash (1 month LIBOR + 7.5%,</w:t>
            </w: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Retailer</w:t>
            </w:r>
          </w:p>
        </w:tc>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1.0% Floor), Due 11/7/20)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3,842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170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Home Repair Parts</w:t>
            </w:r>
          </w:p>
        </w:tc>
        <w:tc>
          <w:tcPr>
            <w:tcW w:w="3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Manufacturer</w:t>
            </w:r>
          </w:p>
        </w:tc>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Membership Units (14 units)</w:t>
            </w:r>
          </w:p>
        </w:tc>
        <w:tc>
          <w:tcPr>
            <w:tcW w:w="9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California Pizza Kitchen, Inc.</w:t>
            </w:r>
          </w:p>
        </w:tc>
        <w:tc>
          <w:tcPr>
            <w:tcW w:w="170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Restaurant</w:t>
            </w:r>
          </w:p>
        </w:tc>
        <w:tc>
          <w:tcPr>
            <w:tcW w:w="35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Second Lien Debt (12.4% Cash (3 month LIBOR +</w:t>
            </w: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10.0%, 1.0% Floor), Due 8/23/23)</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3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Cedar Ultimate Parent, LLC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Consumer Electronics</w:t>
            </w: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Series C Preferred Stock (4,759,250 units)</w:t>
            </w: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Cedar Ultimate Parent, LLC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Consumer Electronics</w:t>
            </w: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Series D Preferred Stock (16,562,190 units)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Cedar Ultimate Parent,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Consumer Electronics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E Common Units (190,370 units)</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Government Services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(10.6% Cash (1 month LIBOR + 8.5%,</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1.0% PIK, Due 9/14/22)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10,524</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10,524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Government Services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(46,163 shares)</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11,524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 (9.0% Cash, 2.0% PIK, Due</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11/29/21)</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18,436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18,436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(15,750 shares)</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20,011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Financial Services</w:t>
            </w:r>
          </w:p>
        </w:tc>
        <w:tc>
          <w:tcPr>
            <w:tcW w:w="33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(13.1% Cash (1 month LIBOR +</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11.0%, 0.5% Floor), Due 1/20/22) </w:t>
            </w:r>
            <w:r>
              <w:rPr>
                <w:rFonts w:ascii="Arial" w:cs="Arial" w:eastAsia="Arial" w:hAnsi="Arial"/>
                <w:sz w:val="22"/>
                <w:szCs w:val="22"/>
                <w:color w:val="auto"/>
                <w:vertAlign w:val="superscript"/>
              </w:rPr>
              <w:t>(8)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Currency Capital,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Financial Services</w:t>
            </w:r>
          </w:p>
        </w:tc>
        <w:tc>
          <w:tcPr>
            <w:tcW w:w="33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Class A Preferred Units (2,000,000 units)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(8.1% Cash (3 month LIBOR + 5.8%,</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Due 4/3/20)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6,326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6,256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Debt (12.4% Cash (3 month LIBOR +</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1.0% Floor), Due 10/3/21)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11,793</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18,049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Installs,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Logistics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(9.1% Cash (1 month LIBOR + 7.0%,</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1.8% Floor), Due 6/20/23)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(9.1% Cash (1 month LIBOR + 7.0%,</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32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1.0% Floor), Due 12/22/22)</w:t>
            </w:r>
            <w:r>
              <w:rPr>
                <w:rFonts w:ascii="Arial" w:cs="Arial" w:eastAsia="Arial" w:hAnsi="Arial"/>
                <w:sz w:val="23"/>
                <w:szCs w:val="23"/>
                <w:color w:val="auto"/>
                <w:vertAlign w:val="superscript"/>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(9.1% Cash (1 month LIBOR + 7.0%,</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320" w:type="dxa"/>
            <w:vAlign w:val="bottom"/>
            <w:gridSpan w:val="2"/>
            <w:shd w:val="clear" w:color="auto" w:fill="CCEEFF"/>
          </w:tcPr>
          <w:p>
            <w:pPr>
              <w:spacing w:after="0" w:line="221" w:lineRule="exact"/>
              <w:rPr>
                <w:sz w:val="20"/>
                <w:szCs w:val="20"/>
                <w:color w:val="auto"/>
              </w:rPr>
            </w:pPr>
            <w:r>
              <w:rPr>
                <w:rFonts w:ascii="Arial" w:cs="Arial" w:eastAsia="Arial" w:hAnsi="Arial"/>
                <w:sz w:val="14"/>
                <w:szCs w:val="14"/>
                <w:color w:val="auto"/>
              </w:rPr>
              <w:t>1.0% Floor), Due 12/22/22)</w:t>
            </w:r>
            <w:r>
              <w:rPr>
                <w:rFonts w:ascii="Arial" w:cs="Arial" w:eastAsia="Arial" w:hAnsi="Arial"/>
                <w:sz w:val="23"/>
                <w:szCs w:val="23"/>
                <w:color w:val="auto"/>
                <w:vertAlign w:val="superscript"/>
              </w:rPr>
              <w:t>(10)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3,915</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3,915</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(13.6% Cash (1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11.5%, 1.0% Floor), 2.0% PIK, Due 12/14/20)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7,309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7,309</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Nth Degree,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Business Services</w:t>
            </w: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w w:val="95"/>
              </w:rPr>
              <w:t xml:space="preserve">Preferred Stock (2,400 Units, 10.0% PIK dividend) </w:t>
            </w:r>
            <w:r>
              <w:rPr>
                <w:rFonts w:ascii="Arial" w:cs="Arial" w:eastAsia="Arial" w:hAnsi="Arial"/>
                <w:sz w:val="23"/>
                <w:szCs w:val="23"/>
                <w:color w:val="auto"/>
                <w:w w:val="95"/>
                <w:vertAlign w:val="superscript"/>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3,164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10,473</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23,719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First Lien Debt (10.6% Cash (1 month LIBOR + 8.5%,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Management</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1.8% Floor), Due 8/21/23)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Sunset Digital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Telecommunications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First Lien Debt (9.4% Cash (1 month LIBOR + 7.3%,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1.5% Floor), Due 8/2/19)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Sur La Table,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First Lien Debt (12.0% Cash, Due 7/28/20)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Household Product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Series C Preferred Stock (379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Information</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Subordinated Debt (15.0% Cash (3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14.0%, 1.0% Ceiling), 4.0% PIK Due 6/30/20)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8,632</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8,632</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8,632</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Information</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 (11.5% Cash, Due 3/1/22)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Information</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(600,000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 United States</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226,223</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241,098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4"/>
              </w:rPr>
              <w:t>Non-control/non-affiliated investments -</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Brazil</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Velum Global Credit Management,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Financial Services</w:t>
            </w: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w w:val="93"/>
              </w:rPr>
              <w:t xml:space="preserve">First Lien Debt (15.0% PIK, Due 12/31/17) </w:t>
            </w:r>
            <w:r>
              <w:rPr>
                <w:rFonts w:ascii="Arial" w:cs="Arial" w:eastAsia="Arial" w:hAnsi="Arial"/>
                <w:sz w:val="23"/>
                <w:szCs w:val="23"/>
                <w:color w:val="auto"/>
                <w:w w:val="93"/>
                <w:vertAlign w:val="superscript"/>
              </w:rPr>
              <w:t>(7) (8) (11)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13,743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 Brazil</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238,039</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247,128</w:t>
            </w: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121.4</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- 65.2%</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w w:val="96"/>
              </w:rPr>
              <w:t>First Lien Debt (12.0% Cash, 1.0% PIK, Due 3/23/21)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14,764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14,764</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Class A (1,253,198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Class B (900,000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16,568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Subordinated Debt (13.0% Cash, Due 10/20/19) </w:t>
            </w:r>
            <w:r>
              <w:rPr>
                <w:rFonts w:ascii="Arial" w:cs="Arial" w:eastAsia="Arial" w:hAnsi="Arial"/>
                <w:sz w:val="21"/>
                <w:szCs w:val="21"/>
                <w:color w:val="auto"/>
                <w:vertAlign w:val="superscript"/>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6"/>
              </w:rPr>
              <w:t>Preferred Membership Units (2.8% fully diluted, 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2"/>
                <w:szCs w:val="22"/>
                <w:color w:val="auto"/>
                <w:vertAlign w:val="superscript"/>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 Warrants (11.4%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Subordinated Debt (15.3% Cash (3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13.0%, 0.5% Floor), Due 4/29/20)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15,306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Business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(22.9% ownership)</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18,569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34,683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Series A-1 Preferred Stock (1,998 shares, 8.0% PIK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20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3,106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Series B-1 Common Stock (200,000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3,108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Subordinated Debt (13.0% Cash, Due 6/16/19) </w:t>
            </w:r>
            <w:r>
              <w:rPr>
                <w:rFonts w:ascii="Arial" w:cs="Arial" w:eastAsia="Arial" w:hAnsi="Arial"/>
                <w:sz w:val="21"/>
                <w:szCs w:val="21"/>
                <w:color w:val="auto"/>
                <w:vertAlign w:val="superscript"/>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(8,182 shares)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Produce Distribution</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Warrants (6,369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7,224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QSR Franchisor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(1,587,848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(12.0% Cash, Due 1/31/19) </w:t>
            </w:r>
            <w:r>
              <w:rPr>
                <w:rFonts w:ascii="Arial" w:cs="Arial" w:eastAsia="Arial" w:hAnsi="Arial"/>
                <w:sz w:val="23"/>
                <w:szCs w:val="23"/>
                <w:color w:val="auto"/>
                <w:vertAlign w:val="superscript"/>
              </w:rPr>
              <w:t>(11)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200" w:type="dxa"/>
            <w:vAlign w:val="bottom"/>
            <w:vMerge w:val="continue"/>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(6.0% Cash, Due 1/31/19) </w:t>
            </w:r>
            <w:r>
              <w:rPr>
                <w:rFonts w:ascii="Arial" w:cs="Arial" w:eastAsia="Arial" w:hAnsi="Arial"/>
                <w:sz w:val="23"/>
                <w:szCs w:val="23"/>
                <w:color w:val="auto"/>
                <w:vertAlign w:val="superscript"/>
              </w:rPr>
              <w:t>(11)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8"/>
              </w:rPr>
              <w:t xml:space="preserve">Preferred Units (1,000 units, 6.0% PIK Dividend) </w:t>
            </w:r>
            <w:r>
              <w:rPr>
                <w:rFonts w:ascii="Arial" w:cs="Arial" w:eastAsia="Arial" w:hAnsi="Arial"/>
                <w:sz w:val="23"/>
                <w:szCs w:val="23"/>
                <w:color w:val="auto"/>
                <w:w w:val="98"/>
                <w:vertAlign w:val="superscript"/>
              </w:rPr>
              <w:t>(5)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Membership Units (45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4,438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Engineering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and Consulting</w:t>
            </w: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(15,068,000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 Chemicals</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Membership Units (11.3% ownership) </w:t>
            </w:r>
            <w:r>
              <w:rPr>
                <w:rFonts w:ascii="Arial" w:cs="Arial" w:eastAsia="Arial" w:hAnsi="Arial"/>
                <w:sz w:val="23"/>
                <w:szCs w:val="23"/>
                <w:color w:val="auto"/>
                <w:vertAlign w:val="superscript"/>
              </w:rPr>
              <w:t>(12)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&amp; Lubricants</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Building Products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First Lien Debt (11.1% Cash (1 month LIBOR + 9.0%,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 Floor), Due 1/2/23)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13,063</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13,063</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US Bath Group,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Building Products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(500,000 units)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13,563</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First Lien Debt (8.1% Cash (1 month LIBOR + 6.0%,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1.0% Floor), Due 2/2/22) </w:t>
            </w:r>
            <w:r>
              <w:rPr>
                <w:rFonts w:ascii="Arial" w:cs="Arial" w:eastAsia="Arial" w:hAnsi="Arial"/>
                <w:sz w:val="22"/>
                <w:szCs w:val="22"/>
                <w:color w:val="auto"/>
                <w:vertAlign w:val="superscript"/>
              </w:rPr>
              <w:t>(13)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First Lien Debt (13.1% PIK (1 month LIBOR + 11.0%,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 Floor), Due 2/2/22)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9,731</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9,731</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Units (5,680,688 Units)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6,260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11,155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Class B Units (2,076,298 Units)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18,731</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23,957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Digital Marketing</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6"/>
              </w:rPr>
              <w:t>Sub Total Affiliate investments - United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100,520</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132,868</w:t>
            </w: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65.2</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- 29.2%</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Second Lien Debt (8.0% Cash, 4.0% PIK, Due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8/24/19) </w:t>
            </w:r>
            <w:r>
              <w:rPr>
                <w:rFonts w:ascii="Arial" w:cs="Arial" w:eastAsia="Arial" w:hAnsi="Arial"/>
                <w:sz w:val="23"/>
                <w:szCs w:val="23"/>
                <w:color w:val="auto"/>
                <w:vertAlign w:val="superscript"/>
              </w:rPr>
              <w:t>(11)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(2.2%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Warrants (37.8% fully diluted)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931"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Arial" w:cs="Arial" w:eastAsia="Arial" w:hAnsi="Arial"/>
                <w:sz w:val="14"/>
                <w:szCs w:val="14"/>
                <w:color w:val="auto"/>
              </w:rPr>
              <w:t>CableOrganizer Acquisition, LLC</w:t>
            </w:r>
          </w:p>
        </w:tc>
        <w:tc>
          <w:tcPr>
            <w:tcW w:w="1680" w:type="dxa"/>
            <w:vAlign w:val="bottom"/>
          </w:tcPr>
          <w:p>
            <w:pPr>
              <w:ind w:left="360"/>
              <w:spacing w:after="0"/>
              <w:rPr>
                <w:sz w:val="20"/>
                <w:szCs w:val="20"/>
                <w:color w:val="auto"/>
              </w:rPr>
            </w:pPr>
            <w:r>
              <w:rPr>
                <w:rFonts w:ascii="Arial" w:cs="Arial" w:eastAsia="Arial" w:hAnsi="Arial"/>
                <w:sz w:val="14"/>
                <w:szCs w:val="14"/>
                <w:color w:val="auto"/>
              </w:rPr>
              <w:t>Computer Supply</w:t>
            </w:r>
          </w:p>
        </w:tc>
        <w:tc>
          <w:tcPr>
            <w:tcW w:w="3320" w:type="dxa"/>
            <w:vAlign w:val="bottom"/>
            <w:vMerge w:val="restart"/>
          </w:tcPr>
          <w:p>
            <w:pPr>
              <w:ind w:left="180"/>
              <w:spacing w:after="0"/>
              <w:rPr>
                <w:sz w:val="20"/>
                <w:szCs w:val="20"/>
                <w:color w:val="auto"/>
              </w:rPr>
            </w:pPr>
            <w:r>
              <w:rPr>
                <w:rFonts w:ascii="Arial" w:cs="Arial" w:eastAsia="Arial" w:hAnsi="Arial"/>
                <w:sz w:val="14"/>
                <w:szCs w:val="14"/>
                <w:color w:val="auto"/>
              </w:rPr>
              <w:t xml:space="preserve">First Lien Debt (10.0% Cash, Due 5/24/19) </w:t>
            </w:r>
            <w:r>
              <w:rPr>
                <w:rFonts w:ascii="Arial" w:cs="Arial" w:eastAsia="Arial" w:hAnsi="Arial"/>
                <w:sz w:val="23"/>
                <w:szCs w:val="23"/>
                <w:color w:val="auto"/>
                <w:vertAlign w:val="superscript"/>
              </w:rPr>
              <w:t>(15)</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4"/>
                <w:szCs w:val="24"/>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Retail</w:t>
            </w: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20"/>
                <w:szCs w:val="20"/>
                <w:color w:val="auto"/>
              </w:rPr>
            </w:pPr>
            <w:r>
              <w:rPr>
                <w:rFonts w:ascii="Arial" w:cs="Arial" w:eastAsia="Arial" w:hAnsi="Arial"/>
                <w:sz w:val="14"/>
                <w:szCs w:val="14"/>
                <w:color w:val="auto"/>
              </w:rPr>
              <w:t>CableOrganizer Acquisition, LLC</w:t>
            </w:r>
          </w:p>
        </w:tc>
        <w:tc>
          <w:tcPr>
            <w:tcW w:w="1680" w:type="dxa"/>
            <w:vAlign w:val="bottom"/>
          </w:tcPr>
          <w:p>
            <w:pPr>
              <w:ind w:left="360"/>
              <w:spacing w:after="0"/>
              <w:rPr>
                <w:sz w:val="20"/>
                <w:szCs w:val="20"/>
                <w:color w:val="auto"/>
              </w:rPr>
            </w:pPr>
            <w:r>
              <w:rPr>
                <w:rFonts w:ascii="Arial" w:cs="Arial" w:eastAsia="Arial" w:hAnsi="Arial"/>
                <w:sz w:val="14"/>
                <w:szCs w:val="14"/>
                <w:color w:val="auto"/>
              </w:rPr>
              <w:t>Computer Supply</w:t>
            </w:r>
          </w:p>
        </w:tc>
        <w:tc>
          <w:tcPr>
            <w:tcW w:w="3320" w:type="dxa"/>
            <w:vAlign w:val="bottom"/>
          </w:tcPr>
          <w:p>
            <w:pPr>
              <w:ind w:left="180"/>
              <w:spacing w:after="0"/>
              <w:rPr>
                <w:sz w:val="20"/>
                <w:szCs w:val="20"/>
                <w:color w:val="auto"/>
              </w:rPr>
            </w:pPr>
            <w:r>
              <w:rPr>
                <w:rFonts w:ascii="Arial" w:cs="Arial" w:eastAsia="Arial" w:hAnsi="Arial"/>
                <w:sz w:val="14"/>
                <w:szCs w:val="14"/>
                <w:color w:val="auto"/>
                <w:w w:val="94"/>
              </w:rPr>
              <w:t>First Lien Debt (12.0% Cash, 4.0% PIK, Due 6/30/19)</w:t>
            </w: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Retail</w:t>
            </w:r>
          </w:p>
        </w:tc>
        <w:tc>
          <w:tcPr>
            <w:tcW w:w="3320" w:type="dxa"/>
            <w:vAlign w:val="bottom"/>
          </w:tcPr>
          <w:p>
            <w:pPr>
              <w:ind w:left="18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0"/>
                <w:szCs w:val="20"/>
                <w:color w:val="auto"/>
              </w:rPr>
            </w:pPr>
            <w:r>
              <w:rPr>
                <w:rFonts w:ascii="Arial" w:cs="Arial" w:eastAsia="Arial" w:hAnsi="Arial"/>
                <w:sz w:val="14"/>
                <w:szCs w:val="14"/>
                <w:color w:val="auto"/>
              </w:rPr>
              <w:t>CableOrganizer Acquisition, LLC</w:t>
            </w:r>
          </w:p>
        </w:tc>
        <w:tc>
          <w:tcPr>
            <w:tcW w:w="1680" w:type="dxa"/>
            <w:vAlign w:val="bottom"/>
          </w:tcPr>
          <w:p>
            <w:pPr>
              <w:ind w:left="360"/>
              <w:spacing w:after="0"/>
              <w:rPr>
                <w:sz w:val="20"/>
                <w:szCs w:val="20"/>
                <w:color w:val="auto"/>
              </w:rPr>
            </w:pPr>
            <w:r>
              <w:rPr>
                <w:rFonts w:ascii="Arial" w:cs="Arial" w:eastAsia="Arial" w:hAnsi="Arial"/>
                <w:sz w:val="14"/>
                <w:szCs w:val="14"/>
                <w:color w:val="auto"/>
              </w:rPr>
              <w:t>Computer Supply</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Retail</w:t>
            </w:r>
          </w:p>
        </w:tc>
        <w:tc>
          <w:tcPr>
            <w:tcW w:w="3320" w:type="dxa"/>
            <w:vAlign w:val="bottom"/>
          </w:tcPr>
          <w:p>
            <w:pPr>
              <w:ind w:left="180"/>
              <w:spacing w:after="0"/>
              <w:rPr>
                <w:sz w:val="20"/>
                <w:szCs w:val="20"/>
                <w:color w:val="auto"/>
              </w:rPr>
            </w:pPr>
            <w:r>
              <w:rPr>
                <w:rFonts w:ascii="Arial" w:cs="Arial" w:eastAsia="Arial" w:hAnsi="Arial"/>
                <w:sz w:val="14"/>
                <w:szCs w:val="14"/>
                <w:color w:val="auto"/>
              </w:rPr>
              <w:t>Preferred Units (4,000,000 units)</w:t>
            </w: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0"/>
                <w:szCs w:val="20"/>
                <w:color w:val="auto"/>
              </w:rPr>
            </w:pPr>
            <w:r>
              <w:rPr>
                <w:rFonts w:ascii="Arial" w:cs="Arial" w:eastAsia="Arial" w:hAnsi="Arial"/>
                <w:sz w:val="14"/>
                <w:szCs w:val="14"/>
                <w:color w:val="auto"/>
              </w:rPr>
              <w:t>CableOrganizer Acquisition, LLC</w:t>
            </w:r>
          </w:p>
        </w:tc>
        <w:tc>
          <w:tcPr>
            <w:tcW w:w="1680" w:type="dxa"/>
            <w:vAlign w:val="bottom"/>
          </w:tcPr>
          <w:p>
            <w:pPr>
              <w:ind w:left="360"/>
              <w:spacing w:after="0"/>
              <w:rPr>
                <w:sz w:val="20"/>
                <w:szCs w:val="20"/>
                <w:color w:val="auto"/>
              </w:rPr>
            </w:pPr>
            <w:r>
              <w:rPr>
                <w:rFonts w:ascii="Arial" w:cs="Arial" w:eastAsia="Arial" w:hAnsi="Arial"/>
                <w:sz w:val="14"/>
                <w:szCs w:val="14"/>
                <w:color w:val="auto"/>
              </w:rPr>
              <w:t>Computer Supply</w:t>
            </w: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Retail</w:t>
            </w:r>
          </w:p>
        </w:tc>
        <w:tc>
          <w:tcPr>
            <w:tcW w:w="3320" w:type="dxa"/>
            <w:vAlign w:val="bottom"/>
          </w:tcPr>
          <w:p>
            <w:pPr>
              <w:ind w:left="180"/>
              <w:spacing w:after="0"/>
              <w:rPr>
                <w:sz w:val="20"/>
                <w:szCs w:val="20"/>
                <w:color w:val="auto"/>
              </w:rPr>
            </w:pPr>
            <w:r>
              <w:rPr>
                <w:rFonts w:ascii="Arial" w:cs="Arial" w:eastAsia="Arial" w:hAnsi="Arial"/>
                <w:sz w:val="14"/>
                <w:szCs w:val="14"/>
                <w:color w:val="auto"/>
              </w:rPr>
              <w:t>Common Stock (21.3% fully diluted)</w:t>
            </w: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0"/>
                <w:szCs w:val="20"/>
                <w:color w:val="auto"/>
              </w:rPr>
            </w:pPr>
            <w:r>
              <w:rPr>
                <w:rFonts w:ascii="Arial" w:cs="Arial" w:eastAsia="Arial" w:hAnsi="Arial"/>
                <w:sz w:val="14"/>
                <w:szCs w:val="14"/>
                <w:color w:val="auto"/>
              </w:rPr>
              <w:t>CableOrganizer Acquisition, LLC</w:t>
            </w:r>
          </w:p>
        </w:tc>
        <w:tc>
          <w:tcPr>
            <w:tcW w:w="1680" w:type="dxa"/>
            <w:vAlign w:val="bottom"/>
          </w:tcPr>
          <w:p>
            <w:pPr>
              <w:ind w:left="360"/>
              <w:spacing w:after="0"/>
              <w:rPr>
                <w:sz w:val="20"/>
                <w:szCs w:val="20"/>
                <w:color w:val="auto"/>
              </w:rPr>
            </w:pPr>
            <w:r>
              <w:rPr>
                <w:rFonts w:ascii="Arial" w:cs="Arial" w:eastAsia="Arial" w:hAnsi="Arial"/>
                <w:sz w:val="14"/>
                <w:szCs w:val="14"/>
                <w:color w:val="auto"/>
              </w:rPr>
              <w:t>Computer Supply</w:t>
            </w: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Retail</w:t>
            </w:r>
          </w:p>
        </w:tc>
        <w:tc>
          <w:tcPr>
            <w:tcW w:w="3320" w:type="dxa"/>
            <w:vAlign w:val="bottom"/>
          </w:tcPr>
          <w:p>
            <w:pPr>
              <w:ind w:left="180"/>
              <w:spacing w:after="0"/>
              <w:rPr>
                <w:sz w:val="20"/>
                <w:szCs w:val="20"/>
                <w:color w:val="auto"/>
              </w:rPr>
            </w:pPr>
            <w:r>
              <w:rPr>
                <w:rFonts w:ascii="Arial" w:cs="Arial" w:eastAsia="Arial" w:hAnsi="Arial"/>
                <w:sz w:val="14"/>
                <w:szCs w:val="14"/>
                <w:color w:val="auto"/>
              </w:rPr>
              <w:t>Common Stock Warrants (10.0% fully diluted )</w:t>
            </w:r>
          </w:p>
        </w:tc>
        <w:tc>
          <w:tcPr>
            <w:tcW w:w="0" w:type="dxa"/>
            <w:vAlign w:val="bottom"/>
          </w:tcPr>
          <w:p>
            <w:pPr>
              <w:spacing w:after="0"/>
              <w:rPr>
                <w:sz w:val="1"/>
                <w:szCs w:val="1"/>
                <w:color w:val="auto"/>
              </w:rPr>
            </w:pPr>
          </w:p>
        </w:tc>
      </w:tr>
      <w:tr>
        <w:trPr>
          <w:trHeight w:val="789"/>
        </w:trPr>
        <w:tc>
          <w:tcPr>
            <w:tcW w:w="2320" w:type="dxa"/>
            <w:vAlign w:val="bottom"/>
          </w:tcPr>
          <w:p>
            <w:pPr>
              <w:spacing w:after="0"/>
              <w:rPr>
                <w:sz w:val="20"/>
                <w:szCs w:val="20"/>
                <w:color w:val="auto"/>
              </w:rPr>
            </w:pPr>
            <w:r>
              <w:rPr>
                <w:rFonts w:ascii="Arial" w:cs="Arial" w:eastAsia="Arial" w:hAnsi="Arial"/>
                <w:sz w:val="14"/>
                <w:szCs w:val="14"/>
                <w:color w:val="auto"/>
              </w:rPr>
              <w:t>Micro Precision, LLC</w:t>
            </w:r>
          </w:p>
        </w:tc>
        <w:tc>
          <w:tcPr>
            <w:tcW w:w="1680" w:type="dxa"/>
            <w:vAlign w:val="bottom"/>
          </w:tcPr>
          <w:p>
            <w:pPr>
              <w:ind w:left="360"/>
              <w:spacing w:after="0"/>
              <w:rPr>
                <w:sz w:val="20"/>
                <w:szCs w:val="20"/>
                <w:color w:val="auto"/>
              </w:rPr>
            </w:pPr>
            <w:r>
              <w:rPr>
                <w:rFonts w:ascii="Arial" w:cs="Arial" w:eastAsia="Arial" w:hAnsi="Arial"/>
                <w:sz w:val="14"/>
                <w:szCs w:val="14"/>
                <w:color w:val="auto"/>
              </w:rPr>
              <w:t>Conglomerate</w:t>
            </w:r>
          </w:p>
        </w:tc>
        <w:tc>
          <w:tcPr>
            <w:tcW w:w="3320" w:type="dxa"/>
            <w:vAlign w:val="bottom"/>
          </w:tcPr>
          <w:p>
            <w:pPr>
              <w:ind w:left="180"/>
              <w:spacing w:after="0"/>
              <w:rPr>
                <w:sz w:val="20"/>
                <w:szCs w:val="20"/>
                <w:color w:val="auto"/>
              </w:rPr>
            </w:pPr>
            <w:r>
              <w:rPr>
                <w:rFonts w:ascii="Arial" w:cs="Arial" w:eastAsia="Arial" w:hAnsi="Arial"/>
                <w:sz w:val="14"/>
                <w:szCs w:val="14"/>
                <w:color w:val="auto"/>
                <w:w w:val="99"/>
              </w:rPr>
              <w:t xml:space="preserve">Subordinated Debt (10.0% Cash, Due 1/1/19) </w:t>
            </w:r>
            <w:r>
              <w:rPr>
                <w:rFonts w:ascii="Arial" w:cs="Arial" w:eastAsia="Arial" w:hAnsi="Arial"/>
                <w:sz w:val="23"/>
                <w:szCs w:val="23"/>
                <w:color w:val="auto"/>
                <w:w w:val="99"/>
                <w:vertAlign w:val="superscript"/>
              </w:rPr>
              <w:t>(11)</w:t>
            </w:r>
          </w:p>
        </w:tc>
        <w:tc>
          <w:tcPr>
            <w:tcW w:w="0" w:type="dxa"/>
            <w:vAlign w:val="bottom"/>
          </w:tcPr>
          <w:p>
            <w:pPr>
              <w:spacing w:after="0"/>
              <w:rPr>
                <w:sz w:val="1"/>
                <w:szCs w:val="1"/>
                <w:color w:val="auto"/>
              </w:rPr>
            </w:pPr>
          </w:p>
        </w:tc>
      </w:tr>
      <w:tr>
        <w:trPr>
          <w:trHeight w:val="173"/>
        </w:trPr>
        <w:tc>
          <w:tcPr>
            <w:tcW w:w="2320" w:type="dxa"/>
            <w:vAlign w:val="bottom"/>
          </w:tcPr>
          <w:p>
            <w:pPr>
              <w:spacing w:after="0"/>
              <w:rPr>
                <w:sz w:val="20"/>
                <w:szCs w:val="20"/>
                <w:color w:val="auto"/>
              </w:rPr>
            </w:pPr>
            <w:r>
              <w:rPr>
                <w:rFonts w:ascii="Arial" w:cs="Arial" w:eastAsia="Arial" w:hAnsi="Arial"/>
                <w:sz w:val="14"/>
                <w:szCs w:val="14"/>
                <w:color w:val="auto"/>
              </w:rPr>
              <w:t>Micro Precision, LLC</w:t>
            </w:r>
          </w:p>
        </w:tc>
        <w:tc>
          <w:tcPr>
            <w:tcW w:w="1680" w:type="dxa"/>
            <w:vAlign w:val="bottom"/>
          </w:tcPr>
          <w:p>
            <w:pPr>
              <w:ind w:left="360"/>
              <w:spacing w:after="0"/>
              <w:rPr>
                <w:sz w:val="20"/>
                <w:szCs w:val="20"/>
                <w:color w:val="auto"/>
              </w:rPr>
            </w:pPr>
            <w:r>
              <w:rPr>
                <w:rFonts w:ascii="Arial" w:cs="Arial" w:eastAsia="Arial" w:hAnsi="Arial"/>
                <w:sz w:val="14"/>
                <w:szCs w:val="14"/>
                <w:color w:val="auto"/>
              </w:rPr>
              <w:t>Conglomerate</w:t>
            </w:r>
          </w:p>
        </w:tc>
        <w:tc>
          <w:tcPr>
            <w:tcW w:w="3320" w:type="dxa"/>
            <w:vAlign w:val="bottom"/>
          </w:tcPr>
          <w:p>
            <w:pPr>
              <w:ind w:left="180"/>
              <w:spacing w:after="0"/>
              <w:rPr>
                <w:sz w:val="20"/>
                <w:szCs w:val="20"/>
                <w:color w:val="auto"/>
              </w:rPr>
            </w:pPr>
            <w:r>
              <w:rPr>
                <w:rFonts w:ascii="Arial" w:cs="Arial" w:eastAsia="Arial" w:hAnsi="Arial"/>
                <w:sz w:val="14"/>
                <w:szCs w:val="14"/>
                <w:color w:val="auto"/>
              </w:rPr>
              <w:t>Subordinated Debt (14.0% Cash, 4.0% PIK, Due</w:t>
            </w:r>
          </w:p>
        </w:tc>
        <w:tc>
          <w:tcPr>
            <w:tcW w:w="0" w:type="dxa"/>
            <w:vAlign w:val="bottom"/>
          </w:tcPr>
          <w:p>
            <w:pPr>
              <w:spacing w:after="0"/>
              <w:rPr>
                <w:sz w:val="1"/>
                <w:szCs w:val="1"/>
                <w:color w:val="auto"/>
              </w:rPr>
            </w:pPr>
          </w:p>
        </w:tc>
      </w:tr>
      <w:tr>
        <w:trPr>
          <w:trHeight w:val="313"/>
        </w:trPr>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20" w:type="dxa"/>
            <w:vAlign w:val="bottom"/>
          </w:tcPr>
          <w:p>
            <w:pPr>
              <w:ind w:left="180"/>
              <w:spacing w:after="0"/>
              <w:rPr>
                <w:sz w:val="20"/>
                <w:szCs w:val="20"/>
                <w:color w:val="auto"/>
              </w:rPr>
            </w:pPr>
            <w:r>
              <w:rPr>
                <w:rFonts w:ascii="Arial" w:cs="Arial" w:eastAsia="Arial" w:hAnsi="Arial"/>
                <w:sz w:val="14"/>
                <w:szCs w:val="14"/>
                <w:color w:val="auto"/>
              </w:rPr>
              <w:t xml:space="preserve">1/1/19) </w:t>
            </w:r>
            <w:r>
              <w:rPr>
                <w:rFonts w:ascii="Arial" w:cs="Arial" w:eastAsia="Arial" w:hAnsi="Arial"/>
                <w:sz w:val="23"/>
                <w:szCs w:val="23"/>
                <w:color w:val="auto"/>
                <w:vertAlign w:val="superscript"/>
              </w:rPr>
              <w:t>(11)</w:t>
            </w: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4"/>
                <w:szCs w:val="14"/>
                <w:color w:val="auto"/>
              </w:rPr>
              <w:t>Micro Precision, LLC</w:t>
            </w:r>
          </w:p>
        </w:tc>
        <w:tc>
          <w:tcPr>
            <w:tcW w:w="1680" w:type="dxa"/>
            <w:vAlign w:val="bottom"/>
          </w:tcPr>
          <w:p>
            <w:pPr>
              <w:ind w:left="360"/>
              <w:spacing w:after="0"/>
              <w:rPr>
                <w:sz w:val="20"/>
                <w:szCs w:val="20"/>
                <w:color w:val="auto"/>
              </w:rPr>
            </w:pPr>
            <w:r>
              <w:rPr>
                <w:rFonts w:ascii="Arial" w:cs="Arial" w:eastAsia="Arial" w:hAnsi="Arial"/>
                <w:sz w:val="14"/>
                <w:szCs w:val="14"/>
                <w:color w:val="auto"/>
              </w:rPr>
              <w:t>Conglomerate</w:t>
            </w:r>
          </w:p>
        </w:tc>
        <w:tc>
          <w:tcPr>
            <w:tcW w:w="3320" w:type="dxa"/>
            <w:vAlign w:val="bottom"/>
          </w:tcPr>
          <w:p>
            <w:pPr>
              <w:ind w:left="180"/>
              <w:spacing w:after="0"/>
              <w:rPr>
                <w:sz w:val="20"/>
                <w:szCs w:val="20"/>
                <w:color w:val="auto"/>
              </w:rPr>
            </w:pPr>
            <w:r>
              <w:rPr>
                <w:rFonts w:ascii="Arial" w:cs="Arial" w:eastAsia="Arial" w:hAnsi="Arial"/>
                <w:sz w:val="14"/>
                <w:szCs w:val="14"/>
                <w:color w:val="auto"/>
              </w:rPr>
              <w:t>Series A Preferred Units (47 units)</w:t>
            </w:r>
          </w:p>
        </w:tc>
        <w:tc>
          <w:tcPr>
            <w:tcW w:w="0" w:type="dxa"/>
            <w:vAlign w:val="bottom"/>
          </w:tcPr>
          <w:p>
            <w:pPr>
              <w:spacing w:after="0"/>
              <w:rPr>
                <w:sz w:val="1"/>
                <w:szCs w:val="1"/>
                <w:color w:val="auto"/>
              </w:rPr>
            </w:pPr>
          </w:p>
        </w:tc>
      </w:tr>
      <w:tr>
        <w:trPr>
          <w:trHeight w:val="615"/>
        </w:trPr>
        <w:tc>
          <w:tcPr>
            <w:tcW w:w="2320" w:type="dxa"/>
            <w:vAlign w:val="bottom"/>
          </w:tcPr>
          <w:p>
            <w:pPr>
              <w:spacing w:after="0"/>
              <w:rPr>
                <w:sz w:val="20"/>
                <w:szCs w:val="20"/>
                <w:color w:val="auto"/>
              </w:rPr>
            </w:pPr>
            <w:r>
              <w:rPr>
                <w:rFonts w:ascii="Arial" w:cs="Arial" w:eastAsia="Arial" w:hAnsi="Arial"/>
                <w:sz w:val="14"/>
                <w:szCs w:val="14"/>
                <w:color w:val="auto"/>
              </w:rPr>
              <w:t>Navis Holdings, Inc.</w:t>
            </w:r>
          </w:p>
        </w:tc>
        <w:tc>
          <w:tcPr>
            <w:tcW w:w="1680" w:type="dxa"/>
            <w:vAlign w:val="bottom"/>
          </w:tcPr>
          <w:p>
            <w:pPr>
              <w:ind w:left="360"/>
              <w:spacing w:after="0"/>
              <w:rPr>
                <w:sz w:val="20"/>
                <w:szCs w:val="20"/>
                <w:color w:val="auto"/>
              </w:rPr>
            </w:pPr>
            <w:r>
              <w:rPr>
                <w:rFonts w:ascii="Arial" w:cs="Arial" w:eastAsia="Arial" w:hAnsi="Arial"/>
                <w:sz w:val="14"/>
                <w:szCs w:val="14"/>
                <w:color w:val="auto"/>
              </w:rPr>
              <w:t>Textile Equipment</w:t>
            </w:r>
          </w:p>
        </w:tc>
        <w:tc>
          <w:tcPr>
            <w:tcW w:w="3320" w:type="dxa"/>
            <w:vAlign w:val="bottom"/>
            <w:vMerge w:val="restart"/>
          </w:tcPr>
          <w:p>
            <w:pPr>
              <w:ind w:left="180"/>
              <w:spacing w:after="0"/>
              <w:rPr>
                <w:sz w:val="20"/>
                <w:szCs w:val="20"/>
                <w:color w:val="auto"/>
              </w:rPr>
            </w:pPr>
            <w:r>
              <w:rPr>
                <w:rFonts w:ascii="Arial" w:cs="Arial" w:eastAsia="Arial" w:hAnsi="Arial"/>
                <w:sz w:val="14"/>
                <w:szCs w:val="14"/>
                <w:color w:val="auto"/>
              </w:rPr>
              <w:t xml:space="preserve">First Lien Debt (15.0% Cash, Due 10/30/20) </w:t>
            </w:r>
            <w:r>
              <w:rPr>
                <w:rFonts w:ascii="Arial" w:cs="Arial" w:eastAsia="Arial" w:hAnsi="Arial"/>
                <w:sz w:val="23"/>
                <w:szCs w:val="23"/>
                <w:color w:val="auto"/>
                <w:vertAlign w:val="superscript"/>
              </w:rPr>
              <w:t>(11)</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4"/>
                <w:szCs w:val="24"/>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Manufacturer</w:t>
            </w: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20"/>
                <w:szCs w:val="20"/>
                <w:color w:val="auto"/>
              </w:rPr>
            </w:pPr>
            <w:r>
              <w:rPr>
                <w:rFonts w:ascii="Arial" w:cs="Arial" w:eastAsia="Arial" w:hAnsi="Arial"/>
                <w:sz w:val="14"/>
                <w:szCs w:val="14"/>
                <w:color w:val="auto"/>
              </w:rPr>
              <w:t>Navis Holdings, Inc.</w:t>
            </w:r>
          </w:p>
        </w:tc>
        <w:tc>
          <w:tcPr>
            <w:tcW w:w="1680" w:type="dxa"/>
            <w:vAlign w:val="bottom"/>
          </w:tcPr>
          <w:p>
            <w:pPr>
              <w:ind w:left="360"/>
              <w:spacing w:after="0"/>
              <w:rPr>
                <w:sz w:val="20"/>
                <w:szCs w:val="20"/>
                <w:color w:val="auto"/>
              </w:rPr>
            </w:pPr>
            <w:r>
              <w:rPr>
                <w:rFonts w:ascii="Arial" w:cs="Arial" w:eastAsia="Arial" w:hAnsi="Arial"/>
                <w:sz w:val="14"/>
                <w:szCs w:val="14"/>
                <w:color w:val="auto"/>
              </w:rPr>
              <w:t>Textile Equipment</w:t>
            </w:r>
          </w:p>
        </w:tc>
        <w:tc>
          <w:tcPr>
            <w:tcW w:w="3320" w:type="dxa"/>
            <w:vAlign w:val="bottom"/>
          </w:tcPr>
          <w:p>
            <w:pPr>
              <w:ind w:left="180"/>
              <w:spacing w:after="0"/>
              <w:rPr>
                <w:sz w:val="20"/>
                <w:szCs w:val="20"/>
                <w:color w:val="auto"/>
              </w:rPr>
            </w:pPr>
            <w:r>
              <w:rPr>
                <w:rFonts w:ascii="Arial" w:cs="Arial" w:eastAsia="Arial" w:hAnsi="Arial"/>
                <w:sz w:val="14"/>
                <w:szCs w:val="14"/>
                <w:color w:val="auto"/>
                <w:w w:val="96"/>
              </w:rPr>
              <w:t>Class A Preferred Stock (1,000 shares, 10.0% Cash</w:t>
            </w:r>
          </w:p>
        </w:tc>
        <w:tc>
          <w:tcPr>
            <w:tcW w:w="0" w:type="dxa"/>
            <w:vAlign w:val="bottom"/>
          </w:tcPr>
          <w:p>
            <w:pPr>
              <w:spacing w:after="0"/>
              <w:rPr>
                <w:sz w:val="1"/>
                <w:szCs w:val="1"/>
                <w:color w:val="auto"/>
              </w:rPr>
            </w:pPr>
          </w:p>
        </w:tc>
      </w:tr>
      <w:tr>
        <w:trPr>
          <w:trHeight w:val="323"/>
        </w:trPr>
        <w:tc>
          <w:tcPr>
            <w:tcW w:w="2320" w:type="dxa"/>
            <w:vAlign w:val="bottom"/>
          </w:tcPr>
          <w:p>
            <w:pPr>
              <w:spacing w:after="0"/>
              <w:rPr>
                <w:sz w:val="24"/>
                <w:szCs w:val="24"/>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Manufacturer</w:t>
            </w:r>
          </w:p>
        </w:tc>
        <w:tc>
          <w:tcPr>
            <w:tcW w:w="3320" w:type="dxa"/>
            <w:vAlign w:val="bottom"/>
          </w:tcPr>
          <w:p>
            <w:pPr>
              <w:ind w:left="18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163"/>
        </w:trPr>
        <w:tc>
          <w:tcPr>
            <w:tcW w:w="2320" w:type="dxa"/>
            <w:vAlign w:val="bottom"/>
          </w:tcPr>
          <w:p>
            <w:pPr>
              <w:spacing w:after="0"/>
              <w:rPr>
                <w:sz w:val="20"/>
                <w:szCs w:val="20"/>
                <w:color w:val="auto"/>
              </w:rPr>
            </w:pPr>
            <w:r>
              <w:rPr>
                <w:rFonts w:ascii="Arial" w:cs="Arial" w:eastAsia="Arial" w:hAnsi="Arial"/>
                <w:sz w:val="14"/>
                <w:szCs w:val="14"/>
                <w:color w:val="auto"/>
              </w:rPr>
              <w:t>Navis Holdings, Inc.</w:t>
            </w:r>
          </w:p>
        </w:tc>
        <w:tc>
          <w:tcPr>
            <w:tcW w:w="1680" w:type="dxa"/>
            <w:vAlign w:val="bottom"/>
          </w:tcPr>
          <w:p>
            <w:pPr>
              <w:ind w:left="360"/>
              <w:spacing w:after="0"/>
              <w:rPr>
                <w:sz w:val="20"/>
                <w:szCs w:val="20"/>
                <w:color w:val="auto"/>
              </w:rPr>
            </w:pPr>
            <w:r>
              <w:rPr>
                <w:rFonts w:ascii="Arial" w:cs="Arial" w:eastAsia="Arial" w:hAnsi="Arial"/>
                <w:sz w:val="14"/>
                <w:szCs w:val="14"/>
                <w:color w:val="auto"/>
              </w:rPr>
              <w:t>Textile Equipment</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Manufacturer</w:t>
            </w:r>
          </w:p>
        </w:tc>
        <w:tc>
          <w:tcPr>
            <w:tcW w:w="3320" w:type="dxa"/>
            <w:vAlign w:val="bottom"/>
          </w:tcPr>
          <w:p>
            <w:pPr>
              <w:ind w:left="180"/>
              <w:spacing w:after="0"/>
              <w:rPr>
                <w:sz w:val="20"/>
                <w:szCs w:val="20"/>
                <w:color w:val="auto"/>
              </w:rPr>
            </w:pPr>
            <w:r>
              <w:rPr>
                <w:rFonts w:ascii="Arial" w:cs="Arial" w:eastAsia="Arial" w:hAnsi="Arial"/>
                <w:sz w:val="14"/>
                <w:szCs w:val="14"/>
                <w:color w:val="auto"/>
              </w:rPr>
              <w:t>Common Stock (300,000 shares)</w:t>
            </w:r>
          </w:p>
        </w:tc>
        <w:tc>
          <w:tcPr>
            <w:tcW w:w="0" w:type="dxa"/>
            <w:vAlign w:val="bottom"/>
          </w:tcPr>
          <w:p>
            <w:pPr>
              <w:spacing w:after="0"/>
              <w:rPr>
                <w:sz w:val="1"/>
                <w:szCs w:val="1"/>
                <w:color w:val="auto"/>
              </w:rPr>
            </w:pPr>
          </w:p>
        </w:tc>
      </w:tr>
      <w:tr>
        <w:trPr>
          <w:trHeight w:val="615"/>
        </w:trPr>
        <w:tc>
          <w:tcPr>
            <w:tcW w:w="2320" w:type="dxa"/>
            <w:vAlign w:val="bottom"/>
          </w:tcPr>
          <w:p>
            <w:pPr>
              <w:spacing w:after="0"/>
              <w:rPr>
                <w:sz w:val="20"/>
                <w:szCs w:val="20"/>
                <w:color w:val="auto"/>
              </w:rPr>
            </w:pPr>
            <w:r>
              <w:rPr>
                <w:rFonts w:ascii="Arial" w:cs="Arial" w:eastAsia="Arial" w:hAnsi="Arial"/>
                <w:sz w:val="14"/>
                <w:szCs w:val="14"/>
                <w:color w:val="auto"/>
              </w:rPr>
              <w:t>On-Site Fuel Service, Inc.</w:t>
            </w:r>
          </w:p>
        </w:tc>
        <w:tc>
          <w:tcPr>
            <w:tcW w:w="1680" w:type="dxa"/>
            <w:vAlign w:val="bottom"/>
          </w:tcPr>
          <w:p>
            <w:pPr>
              <w:ind w:left="360"/>
              <w:spacing w:after="0"/>
              <w:rPr>
                <w:sz w:val="20"/>
                <w:szCs w:val="20"/>
                <w:color w:val="auto"/>
              </w:rPr>
            </w:pPr>
            <w:r>
              <w:rPr>
                <w:rFonts w:ascii="Arial" w:cs="Arial" w:eastAsia="Arial" w:hAnsi="Arial"/>
                <w:sz w:val="14"/>
                <w:szCs w:val="14"/>
                <w:color w:val="auto"/>
              </w:rPr>
              <w:t>Fuel Transportation</w:t>
            </w:r>
          </w:p>
        </w:tc>
        <w:tc>
          <w:tcPr>
            <w:tcW w:w="3320" w:type="dxa"/>
            <w:vAlign w:val="bottom"/>
            <w:vMerge w:val="restart"/>
          </w:tcPr>
          <w:p>
            <w:pPr>
              <w:ind w:left="180"/>
              <w:spacing w:after="0"/>
              <w:rPr>
                <w:sz w:val="20"/>
                <w:szCs w:val="20"/>
                <w:color w:val="auto"/>
              </w:rPr>
            </w:pPr>
            <w:r>
              <w:rPr>
                <w:rFonts w:ascii="Arial" w:cs="Arial" w:eastAsia="Arial" w:hAnsi="Arial"/>
                <w:sz w:val="14"/>
                <w:szCs w:val="14"/>
                <w:color w:val="auto"/>
                <w:w w:val="95"/>
              </w:rPr>
              <w:t xml:space="preserve">First Lien Debt (18.0% Cash, Due 12/19/18) </w:t>
            </w:r>
            <w:r>
              <w:rPr>
                <w:rFonts w:ascii="Arial" w:cs="Arial" w:eastAsia="Arial" w:hAnsi="Arial"/>
                <w:sz w:val="23"/>
                <w:szCs w:val="23"/>
                <w:color w:val="auto"/>
                <w:w w:val="95"/>
                <w:vertAlign w:val="superscript"/>
              </w:rPr>
              <w:t>(7) (11)</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4"/>
                <w:szCs w:val="24"/>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Services</w:t>
            </w: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20"/>
                <w:szCs w:val="20"/>
                <w:color w:val="auto"/>
              </w:rPr>
            </w:pPr>
            <w:r>
              <w:rPr>
                <w:rFonts w:ascii="Arial" w:cs="Arial" w:eastAsia="Arial" w:hAnsi="Arial"/>
                <w:sz w:val="14"/>
                <w:szCs w:val="14"/>
                <w:color w:val="auto"/>
              </w:rPr>
              <w:t>On-Site Fuel Service, Inc.</w:t>
            </w:r>
          </w:p>
        </w:tc>
        <w:tc>
          <w:tcPr>
            <w:tcW w:w="1680" w:type="dxa"/>
            <w:vAlign w:val="bottom"/>
          </w:tcPr>
          <w:p>
            <w:pPr>
              <w:ind w:left="360"/>
              <w:spacing w:after="0"/>
              <w:rPr>
                <w:sz w:val="20"/>
                <w:szCs w:val="20"/>
                <w:color w:val="auto"/>
              </w:rPr>
            </w:pPr>
            <w:r>
              <w:rPr>
                <w:rFonts w:ascii="Arial" w:cs="Arial" w:eastAsia="Arial" w:hAnsi="Arial"/>
                <w:sz w:val="14"/>
                <w:szCs w:val="14"/>
                <w:color w:val="auto"/>
              </w:rPr>
              <w:t>Fuel Transportation</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Services</w:t>
            </w:r>
          </w:p>
        </w:tc>
        <w:tc>
          <w:tcPr>
            <w:tcW w:w="3320" w:type="dxa"/>
            <w:vAlign w:val="bottom"/>
          </w:tcPr>
          <w:p>
            <w:pPr>
              <w:ind w:left="180"/>
              <w:spacing w:after="0"/>
              <w:rPr>
                <w:sz w:val="20"/>
                <w:szCs w:val="20"/>
                <w:color w:val="auto"/>
              </w:rPr>
            </w:pPr>
            <w:r>
              <w:rPr>
                <w:rFonts w:ascii="Arial" w:cs="Arial" w:eastAsia="Arial" w:hAnsi="Arial"/>
                <w:sz w:val="14"/>
                <w:szCs w:val="14"/>
                <w:color w:val="auto"/>
              </w:rPr>
              <w:t>Series A Preferred Stock (32,782 shares)</w:t>
            </w: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0"/>
                <w:szCs w:val="20"/>
                <w:color w:val="auto"/>
              </w:rPr>
            </w:pPr>
            <w:r>
              <w:rPr>
                <w:rFonts w:ascii="Arial" w:cs="Arial" w:eastAsia="Arial" w:hAnsi="Arial"/>
                <w:sz w:val="14"/>
                <w:szCs w:val="14"/>
                <w:color w:val="auto"/>
              </w:rPr>
              <w:t>On-Site Fuel Service, Inc.</w:t>
            </w:r>
          </w:p>
        </w:tc>
        <w:tc>
          <w:tcPr>
            <w:tcW w:w="1680" w:type="dxa"/>
            <w:vAlign w:val="bottom"/>
          </w:tcPr>
          <w:p>
            <w:pPr>
              <w:ind w:left="360"/>
              <w:spacing w:after="0"/>
              <w:rPr>
                <w:sz w:val="20"/>
                <w:szCs w:val="20"/>
                <w:color w:val="auto"/>
              </w:rPr>
            </w:pPr>
            <w:r>
              <w:rPr>
                <w:rFonts w:ascii="Arial" w:cs="Arial" w:eastAsia="Arial" w:hAnsi="Arial"/>
                <w:sz w:val="14"/>
                <w:szCs w:val="14"/>
                <w:color w:val="auto"/>
              </w:rPr>
              <w:t>Fuel Transportation</w:t>
            </w: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Arial" w:cs="Arial" w:eastAsia="Arial" w:hAnsi="Arial"/>
                <w:sz w:val="14"/>
                <w:szCs w:val="14"/>
                <w:color w:val="auto"/>
              </w:rPr>
              <w:t>Services</w:t>
            </w:r>
          </w:p>
        </w:tc>
        <w:tc>
          <w:tcPr>
            <w:tcW w:w="3320" w:type="dxa"/>
            <w:vAlign w:val="bottom"/>
          </w:tcPr>
          <w:p>
            <w:pPr>
              <w:ind w:left="180"/>
              <w:spacing w:after="0"/>
              <w:rPr>
                <w:sz w:val="20"/>
                <w:szCs w:val="20"/>
                <w:color w:val="auto"/>
              </w:rPr>
            </w:pPr>
            <w:r>
              <w:rPr>
                <w:rFonts w:ascii="Arial" w:cs="Arial" w:eastAsia="Arial" w:hAnsi="Arial"/>
                <w:sz w:val="14"/>
                <w:szCs w:val="14"/>
                <w:color w:val="auto"/>
              </w:rPr>
              <w:t>Series B Preferred Stock (23,648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-4442460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-4159885</wp:posOffset>
            </wp:positionV>
            <wp:extent cx="724662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-3867785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-3585210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-3302000</wp:posOffset>
            </wp:positionV>
            <wp:extent cx="72466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-3001645</wp:posOffset>
            </wp:positionV>
            <wp:extent cx="7246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-2795905</wp:posOffset>
            </wp:positionV>
            <wp:extent cx="724662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-2581910</wp:posOffset>
            </wp:positionV>
            <wp:extent cx="724662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-2272665</wp:posOffset>
            </wp:positionV>
            <wp:extent cx="72466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-2066925</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-1861185</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-1577975</wp:posOffset>
            </wp:positionV>
            <wp:extent cx="724662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-1269365</wp:posOffset>
            </wp:positionV>
            <wp:extent cx="7246620"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-969645</wp:posOffset>
            </wp:positionV>
            <wp:extent cx="724662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2466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1,708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1,708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1,708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459"/>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8,798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8,798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8,798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446"/>
        </w:trPr>
        <w:tc>
          <w:tcPr>
            <w:tcW w:w="6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2,354</w:t>
            </w:r>
          </w:p>
        </w:tc>
        <w:tc>
          <w:tcPr>
            <w:tcW w:w="780" w:type="dxa"/>
            <w:vAlign w:val="bottom"/>
          </w:tcPr>
          <w:p>
            <w:pPr>
              <w:jc w:val="right"/>
              <w:spacing w:after="0"/>
              <w:rPr>
                <w:sz w:val="20"/>
                <w:szCs w:val="20"/>
                <w:color w:val="auto"/>
              </w:rPr>
            </w:pPr>
            <w:r>
              <w:rPr>
                <w:rFonts w:ascii="Arial" w:cs="Arial" w:eastAsia="Arial" w:hAnsi="Arial"/>
                <w:sz w:val="14"/>
                <w:szCs w:val="14"/>
                <w:color w:val="auto"/>
              </w:rPr>
              <w:t>903</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446"/>
        </w:trPr>
        <w:tc>
          <w:tcPr>
            <w:tcW w:w="6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1,394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444"/>
        </w:trPr>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14,254</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11,409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1,862</w:t>
            </w:r>
          </w:p>
        </w:tc>
        <w:tc>
          <w:tcPr>
            <w:tcW w:w="780" w:type="dxa"/>
            <w:vAlign w:val="bottom"/>
          </w:tcPr>
          <w:p>
            <w:pPr>
              <w:jc w:val="right"/>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486"/>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4,282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4,282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4,282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w:t>
            </w:r>
          </w:p>
        </w:tc>
      </w:tr>
      <w:tr>
        <w:trPr>
          <w:trHeight w:val="296"/>
        </w:trPr>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2,776</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7,773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8,920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7,500</w:t>
            </w:r>
          </w:p>
        </w:tc>
        <w:tc>
          <w:tcPr>
            <w:tcW w:w="780" w:type="dxa"/>
            <w:vAlign w:val="bottom"/>
          </w:tcPr>
          <w:p>
            <w:pPr>
              <w:jc w:val="right"/>
              <w:spacing w:after="0"/>
              <w:rPr>
                <w:sz w:val="20"/>
                <w:szCs w:val="20"/>
                <w:color w:val="auto"/>
              </w:rPr>
            </w:pPr>
            <w:r>
              <w:rPr>
                <w:rFonts w:ascii="Arial" w:cs="Arial" w:eastAsia="Arial" w:hAnsi="Arial"/>
                <w:sz w:val="14"/>
                <w:szCs w:val="14"/>
                <w:color w:val="auto"/>
              </w:rPr>
              <w:t>7,500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3.7%</w:t>
            </w:r>
          </w:p>
        </w:tc>
      </w:tr>
      <w:tr>
        <w:trPr>
          <w:trHeight w:val="486"/>
        </w:trPr>
        <w:tc>
          <w:tcPr>
            <w:tcW w:w="6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w:t>
            </w:r>
          </w:p>
        </w:tc>
      </w:tr>
      <w:tr>
        <w:trPr>
          <w:trHeight w:val="444"/>
        </w:trPr>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4,705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13,205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16,316</w:t>
            </w:r>
          </w:p>
        </w:tc>
        <w:tc>
          <w:tcPr>
            <w:tcW w:w="780" w:type="dxa"/>
            <w:vAlign w:val="bottom"/>
          </w:tcPr>
          <w:p>
            <w:pPr>
              <w:jc w:val="right"/>
              <w:spacing w:after="0"/>
              <w:rPr>
                <w:sz w:val="20"/>
                <w:szCs w:val="20"/>
                <w:color w:val="auto"/>
              </w:rPr>
            </w:pPr>
            <w:r>
              <w:rPr>
                <w:rFonts w:ascii="Arial" w:cs="Arial" w:eastAsia="Arial" w:hAnsi="Arial"/>
                <w:sz w:val="14"/>
                <w:szCs w:val="14"/>
                <w:color w:val="auto"/>
              </w:rPr>
              <w:t>11,020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446"/>
        </w:trPr>
        <w:tc>
          <w:tcPr>
            <w:tcW w:w="6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3,278</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446"/>
        </w:trPr>
        <w:tc>
          <w:tcPr>
            <w:tcW w:w="6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2,365</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r>
    </w:tbl>
    <w:p>
      <w:pPr>
        <w:spacing w:after="0" w:line="200" w:lineRule="exact"/>
        <w:rPr>
          <w:sz w:val="20"/>
          <w:szCs w:val="20"/>
          <w:color w:val="auto"/>
        </w:rPr>
      </w:pPr>
    </w:p>
    <w:p>
      <w:pPr>
        <w:sectPr>
          <w:pgSz w:w="11900" w:h="16838" w:orient="portrait"/>
          <w:cols w:equalWidth="0" w:num="2">
            <w:col w:w="7320" w:space="580"/>
            <w:col w:w="3520"/>
          </w:cols>
          <w:pgMar w:left="240" w:top="931" w:right="239"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30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Principal</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Fuel Transportation</w:t>
            </w:r>
          </w:p>
        </w:tc>
        <w:tc>
          <w:tcPr>
            <w:tcW w:w="3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(33,058 shares)</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16,696</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Professional and</w:t>
            </w:r>
          </w:p>
        </w:tc>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 Debt (9.0% Cash (1 month LIBOR + 7.0%,</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Personal Digital</w:t>
            </w:r>
          </w:p>
        </w:tc>
        <w:tc>
          <w:tcPr>
            <w:tcW w:w="3300" w:type="dxa"/>
            <w:vAlign w:val="bottom"/>
            <w:gridSpan w:val="2"/>
            <w:vMerge w:val="continue"/>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Imaging</w:t>
            </w:r>
          </w:p>
        </w:tc>
        <w:tc>
          <w:tcPr>
            <w:tcW w:w="33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1.0% Floor, 2.0% Ceiling), Due 12/31/22) </w:t>
            </w:r>
            <w:r>
              <w:rPr>
                <w:rFonts w:ascii="Arial" w:cs="Arial" w:eastAsia="Arial" w:hAnsi="Arial"/>
                <w:sz w:val="20"/>
                <w:szCs w:val="20"/>
                <w:color w:val="auto"/>
                <w:vertAlign w:val="superscript"/>
              </w:rPr>
              <w:t>(16)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2,580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2,580</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2,580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Professional and</w:t>
            </w:r>
          </w:p>
        </w:tc>
        <w:tc>
          <w:tcPr>
            <w:tcW w:w="3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Personal Digital</w:t>
            </w: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Lien Debt (9.1% Cash (1 month LIBOR + 7.0%,</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Imaging</w:t>
            </w: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5.0% Ceiling), Due 12/31/22)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Professional and</w:t>
            </w:r>
          </w:p>
        </w:tc>
        <w:tc>
          <w:tcPr>
            <w:tcW w:w="3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Personal Digital</w:t>
            </w: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Imaging</w:t>
            </w: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Units (4,350,000 Units)</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2,484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Professional and</w:t>
            </w:r>
          </w:p>
        </w:tc>
        <w:tc>
          <w:tcPr>
            <w:tcW w:w="3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Personal Digital</w:t>
            </w: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Imaging</w:t>
            </w: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(150,000 Units)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9,530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9,564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Sub Total Control investments - United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73,098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59,425</w:t>
            </w:r>
          </w:p>
        </w:tc>
        <w:tc>
          <w:tcPr>
            <w:tcW w:w="94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2"/>
                <w:szCs w:val="12"/>
                <w:color w:val="auto"/>
              </w:rPr>
              <w:t>29.2</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- 215.8%</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411,657</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439,421</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215.8</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Percentages are based on net assets of $203,596 as of September 30,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jc w:val="both"/>
        <w:ind w:right="20" w:firstLine="8"/>
        <w:spacing w:after="0" w:line="25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September 30, 2018, 5.1%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$0.5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$0.7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$0.3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$2.4 million unfunded commitment.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ectPr>
          <w:pgSz w:w="11900" w:h="16838" w:orient="portrait"/>
          <w:cols w:equalWidth="0" w:num="1">
            <w:col w:w="11420"/>
          </w:cols>
          <w:pgMar w:left="240" w:top="904" w:right="2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Industry</w:t>
            </w:r>
          </w:p>
        </w:tc>
      </w:tr>
      <w:tr>
        <w:trPr>
          <w:trHeight w:val="268"/>
        </w:trPr>
        <w:tc>
          <w:tcPr>
            <w:tcW w:w="2560" w:type="dxa"/>
            <w:vAlign w:val="bottom"/>
          </w:tcPr>
          <w:p>
            <w:pPr>
              <w:spacing w:after="0"/>
              <w:rPr>
                <w:sz w:val="20"/>
                <w:szCs w:val="20"/>
                <w:color w:val="auto"/>
              </w:rPr>
            </w:pPr>
            <w:r>
              <w:rPr>
                <w:rFonts w:ascii="Arial" w:cs="Arial" w:eastAsia="Arial" w:hAnsi="Arial"/>
                <w:sz w:val="14"/>
                <w:szCs w:val="14"/>
                <w:b w:val="1"/>
                <w:bCs w:val="1"/>
                <w:color w:val="auto"/>
                <w:w w:val="95"/>
              </w:rPr>
              <w:t>Non-control/non-affiliated investments -</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6"/>
        </w:trPr>
        <w:tc>
          <w:tcPr>
            <w:tcW w:w="2560" w:type="dxa"/>
            <w:vAlign w:val="bottom"/>
          </w:tcPr>
          <w:p>
            <w:pPr>
              <w:spacing w:after="0"/>
              <w:rPr>
                <w:sz w:val="20"/>
                <w:szCs w:val="20"/>
                <w:color w:val="auto"/>
              </w:rPr>
            </w:pPr>
            <w:r>
              <w:rPr>
                <w:rFonts w:ascii="Arial" w:cs="Arial" w:eastAsia="Arial" w:hAnsi="Arial"/>
                <w:sz w:val="14"/>
                <w:szCs w:val="14"/>
                <w:b w:val="1"/>
                <w:bCs w:val="1"/>
                <w:color w:val="auto"/>
              </w:rPr>
              <w:t>130.0%</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9"/>
        </w:trPr>
        <w:tc>
          <w:tcPr>
            <w:tcW w:w="2560" w:type="dxa"/>
            <w:vAlign w:val="bottom"/>
          </w:tcPr>
          <w:p>
            <w:pPr>
              <w:spacing w:after="0"/>
              <w:rPr>
                <w:sz w:val="20"/>
                <w:szCs w:val="20"/>
                <w:color w:val="auto"/>
              </w:rPr>
            </w:pPr>
            <w:r>
              <w:rPr>
                <w:rFonts w:ascii="Arial" w:cs="Arial" w:eastAsia="Arial" w:hAnsi="Arial"/>
                <w:sz w:val="14"/>
                <w:szCs w:val="14"/>
                <w:b w:val="1"/>
                <w:bCs w:val="1"/>
                <w:color w:val="auto"/>
                <w:w w:val="95"/>
              </w:rPr>
              <w:t>Non-control/non-affiliated investments -</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86"/>
        </w:trPr>
        <w:tc>
          <w:tcPr>
            <w:tcW w:w="2560" w:type="dxa"/>
            <w:vAlign w:val="bottom"/>
          </w:tcPr>
          <w:p>
            <w:pPr>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97"/>
        </w:trPr>
        <w:tc>
          <w:tcPr>
            <w:tcW w:w="25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IT Consulting</w:t>
            </w:r>
          </w:p>
        </w:tc>
      </w:tr>
      <w:tr>
        <w:trPr>
          <w:trHeight w:val="446"/>
        </w:trPr>
        <w:tc>
          <w:tcPr>
            <w:tcW w:w="25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IT Consulting</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IT Consulting</w:t>
            </w:r>
          </w:p>
        </w:tc>
      </w:tr>
      <w:tr>
        <w:trPr>
          <w:trHeight w:val="648"/>
        </w:trPr>
        <w:tc>
          <w:tcPr>
            <w:tcW w:w="2560" w:type="dxa"/>
            <w:vAlign w:val="bottom"/>
          </w:tcPr>
          <w:p>
            <w:pPr>
              <w:spacing w:after="0"/>
              <w:rPr>
                <w:sz w:val="20"/>
                <w:szCs w:val="20"/>
                <w:color w:val="auto"/>
              </w:rPr>
            </w:pPr>
            <w:r>
              <w:rPr>
                <w:rFonts w:ascii="Arial" w:cs="Arial" w:eastAsia="Arial" w:hAnsi="Arial"/>
                <w:sz w:val="14"/>
                <w:szCs w:val="14"/>
                <w:color w:val="auto"/>
              </w:rPr>
              <w:t>Alternative Biomedical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Healthcare</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Alternative Biomedical Solutions,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Healthcare</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7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94615</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377190</wp:posOffset>
            </wp:positionV>
            <wp:extent cx="72466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20"/>
                <w:szCs w:val="20"/>
                <w:color w:val="auto"/>
              </w:rPr>
            </w:pPr>
            <w:r>
              <w:rPr>
                <w:rFonts w:ascii="Arial" w:cs="Arial" w:eastAsia="Arial" w:hAnsi="Arial"/>
                <w:sz w:val="14"/>
                <w:szCs w:val="14"/>
                <w:color w:val="auto"/>
                <w:w w:val="96"/>
              </w:rPr>
              <w:t>First Lien Debt (10.4% Cash (1 month LIBOR + 9.0%,</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1.0% Floor), Due 12/4/22)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11,250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11,250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11,250</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438"/>
        </w:trPr>
        <w:tc>
          <w:tcPr>
            <w:tcW w:w="3240" w:type="dxa"/>
            <w:vAlign w:val="bottom"/>
          </w:tcPr>
          <w:p>
            <w:pPr>
              <w:spacing w:after="0"/>
              <w:rPr>
                <w:sz w:val="20"/>
                <w:szCs w:val="20"/>
                <w:color w:val="auto"/>
              </w:rPr>
            </w:pPr>
            <w:r>
              <w:rPr>
                <w:rFonts w:ascii="Arial" w:cs="Arial" w:eastAsia="Arial" w:hAnsi="Arial"/>
                <w:sz w:val="14"/>
                <w:szCs w:val="14"/>
                <w:color w:val="auto"/>
              </w:rPr>
              <w:t xml:space="preserve">Preferred Units (965,250 units, 8.0% PIK) </w:t>
            </w:r>
            <w:r>
              <w:rPr>
                <w:rFonts w:ascii="Arial" w:cs="Arial" w:eastAsia="Arial" w:hAnsi="Arial"/>
                <w:sz w:val="23"/>
                <w:szCs w:val="23"/>
                <w:color w:val="auto"/>
                <w:vertAlign w:val="superscript"/>
              </w:rPr>
              <w:t>(5)</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971</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4"/>
                <w:szCs w:val="14"/>
                <w:color w:val="auto"/>
              </w:rPr>
              <w:t>Membership Units (39,000 units)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12,231</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(11.7% Cash, Due 12/18/22) </w:t>
            </w:r>
            <w:r>
              <w:rPr>
                <w:rFonts w:ascii="Arial" w:cs="Arial" w:eastAsia="Arial" w:hAnsi="Arial"/>
                <w:sz w:val="23"/>
                <w:szCs w:val="23"/>
                <w:color w:val="auto"/>
                <w:vertAlign w:val="superscript"/>
              </w:rPr>
              <w:t>(6)</w:t>
            </w: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0"/>
        </w:trPr>
        <w:tc>
          <w:tcPr>
            <w:tcW w:w="3240" w:type="dxa"/>
            <w:vAlign w:val="bottom"/>
          </w:tcPr>
          <w:p>
            <w:pPr>
              <w:spacing w:after="0"/>
              <w:rPr>
                <w:sz w:val="20"/>
                <w:szCs w:val="20"/>
                <w:color w:val="auto"/>
              </w:rPr>
            </w:pPr>
            <w:r>
              <w:rPr>
                <w:rFonts w:ascii="Arial" w:cs="Arial" w:eastAsia="Arial" w:hAnsi="Arial"/>
                <w:sz w:val="14"/>
                <w:szCs w:val="14"/>
                <w:color w:val="auto"/>
              </w:rPr>
              <w:t>Membership Units (20,092 units)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-1228725</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-945515</wp:posOffset>
            </wp:positionV>
            <wp:extent cx="724662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-731520</wp:posOffset>
            </wp:positionV>
            <wp:extent cx="72466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-525780</wp:posOffset>
            </wp:positionV>
            <wp:extent cx="72466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-319405</wp:posOffset>
            </wp:positionV>
            <wp:extent cx="724662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-105410</wp:posOffset>
            </wp:positionV>
            <wp:extent cx="7246620"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4060" w:space="120"/>
            <w:col w:w="72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American Clinical Solutions, LLC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Healthcare</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First Lien Debt (10.5% Cash, 1.0% PIK, Due 6/11/20)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9,068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9,068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17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Replacement Window</w:t>
            </w:r>
          </w:p>
        </w:tc>
        <w:tc>
          <w:tcPr>
            <w:tcW w:w="352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 xml:space="preserve">First Lien Debt (10.0% PIK, Due 1/1/19) </w:t>
            </w:r>
            <w:r>
              <w:rPr>
                <w:rFonts w:ascii="Arial" w:cs="Arial" w:eastAsia="Arial" w:hAnsi="Arial"/>
                <w:sz w:val="23"/>
                <w:szCs w:val="23"/>
                <w:color w:val="auto"/>
                <w:vertAlign w:val="superscript"/>
              </w:rPr>
              <w:t>(7)(8)</w:t>
            </w: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Manufacturer</w:t>
            </w:r>
          </w:p>
        </w:tc>
        <w:tc>
          <w:tcPr>
            <w:tcW w:w="352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8,287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17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Replacement Window</w:t>
            </w:r>
          </w:p>
        </w:tc>
        <w:tc>
          <w:tcPr>
            <w:tcW w:w="3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Manufacturer</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 Warrants (10.0% fully diluted)</w:t>
            </w:r>
          </w:p>
        </w:tc>
        <w:tc>
          <w:tcPr>
            <w:tcW w:w="9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AmeriMark Direct, LLC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Consumer Products</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First Lien Debt (12.8% Cash, Due 9/8/21)</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19,100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B&amp;W Quality Growers, LLC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Farming</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Membership Unit Warrants (91,739 Units)</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BigMouth, Inc.</w:t>
            </w: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Consumer Products</w:t>
            </w:r>
          </w:p>
        </w:tc>
        <w:tc>
          <w:tcPr>
            <w:tcW w:w="3520" w:type="dxa"/>
            <w:vAlign w:val="bottom"/>
            <w:shd w:val="clear" w:color="auto" w:fill="CCEEFF"/>
          </w:tcPr>
          <w:p>
            <w:pPr>
              <w:ind w:left="100"/>
              <w:spacing w:after="0" w:line="189" w:lineRule="exact"/>
              <w:rPr>
                <w:sz w:val="20"/>
                <w:szCs w:val="20"/>
                <w:color w:val="auto"/>
              </w:rPr>
            </w:pPr>
            <w:r>
              <w:rPr>
                <w:rFonts w:ascii="Arial" w:cs="Arial" w:eastAsia="Arial" w:hAnsi="Arial"/>
                <w:sz w:val="13"/>
                <w:szCs w:val="13"/>
                <w:color w:val="auto"/>
              </w:rPr>
              <w:t xml:space="preserve">First Lien Debt (13.3% Cash, Due 11/14/21) </w:t>
            </w:r>
            <w:r>
              <w:rPr>
                <w:rFonts w:ascii="Arial" w:cs="Arial" w:eastAsia="Arial" w:hAnsi="Arial"/>
                <w:sz w:val="21"/>
                <w:szCs w:val="21"/>
                <w:color w:val="auto"/>
                <w:vertAlign w:val="superscript"/>
              </w:rPr>
              <w:t>(6)</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9,790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740" w:type="dxa"/>
            <w:vAlign w:val="bottom"/>
            <w:shd w:val="clear" w:color="auto" w:fill="CCEEFF"/>
          </w:tcPr>
          <w:p>
            <w:pPr>
              <w:ind w:left="340"/>
              <w:spacing w:after="0" w:line="140" w:lineRule="exact"/>
              <w:rPr>
                <w:sz w:val="20"/>
                <w:szCs w:val="20"/>
                <w:color w:val="auto"/>
              </w:rPr>
            </w:pPr>
            <w:r>
              <w:rPr>
                <w:rFonts w:ascii="Arial" w:cs="Arial" w:eastAsia="Arial" w:hAnsi="Arial"/>
                <w:sz w:val="14"/>
                <w:szCs w:val="14"/>
                <w:color w:val="auto"/>
              </w:rPr>
              <w:t>Consumer Products</w:t>
            </w:r>
          </w:p>
        </w:tc>
        <w:tc>
          <w:tcPr>
            <w:tcW w:w="35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Series A Preferred Stock (350,000 shares, 8.0% PIK)</w:t>
            </w: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(5)</w:t>
            </w: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10,172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7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Online Merchandise</w:t>
            </w:r>
          </w:p>
        </w:tc>
        <w:tc>
          <w:tcPr>
            <w:tcW w:w="35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(9.1% Cash (1 month LIBOR + 7.5%,</w:t>
            </w: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Retailer</w:t>
            </w:r>
          </w:p>
        </w:tc>
        <w:tc>
          <w:tcPr>
            <w:tcW w:w="3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 Floor), Due 11/7/20)</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4,029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3,965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3,965</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Bowling Products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First Lien Debt (8.0% Cash (1 month LIBOR + 6.0%,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2.0% Floor), Due 5/22/20)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Bowling Products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Lien Debt (16.3% Cash (1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14.3%, 2.0% Floor), Due 5/22/20)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Home Repair Parts</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(14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California Pizza Kitchen,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Restaurant</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Second Lien Debt (11.6% Cash (1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10.0%, 1.0% Floor), Due 8/23/23)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Caregiver Services,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In-Home Healthcare</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(293,186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Caregiver Services,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In-Home Healthcare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Common Stock Warrants (655,908 units) </w:t>
            </w:r>
            <w:r>
              <w:rPr>
                <w:rFonts w:ascii="Arial" w:cs="Arial" w:eastAsia="Arial" w:hAnsi="Arial"/>
                <w:sz w:val="23"/>
                <w:szCs w:val="23"/>
                <w:color w:val="auto"/>
                <w:vertAlign w:val="superscript"/>
              </w:rPr>
              <w:t>(9)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Cedar Electronics Holding Corp.</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Consumer Electronics</w:t>
            </w: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w w:val="99"/>
              </w:rPr>
              <w:t xml:space="preserve">Subordinated Debt (12.0% Cash, Due 12/26/20) </w:t>
            </w:r>
            <w:r>
              <w:rPr>
                <w:rFonts w:ascii="Arial" w:cs="Arial" w:eastAsia="Arial" w:hAnsi="Arial"/>
                <w:sz w:val="23"/>
                <w:szCs w:val="23"/>
                <w:color w:val="auto"/>
                <w:w w:val="99"/>
                <w:vertAlign w:val="superscript"/>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21,550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21,550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CIS Secure Computing, Inc.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Government Services</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First Lien Debt (9.9% Cash (1 month LIBOR + 8.5%,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1.0% Floor), 1.0% PIK, Due 9/14/22) </w:t>
            </w:r>
            <w:r>
              <w:rPr>
                <w:rFonts w:ascii="Arial" w:cs="Arial" w:eastAsia="Arial" w:hAnsi="Arial"/>
                <w:sz w:val="22"/>
                <w:szCs w:val="22"/>
                <w:color w:val="auto"/>
                <w:vertAlign w:val="superscript"/>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9,116</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9,116</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Government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(46,163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10,116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(9.0% Cash, 2.0% PIK, Due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11/29/21)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18,159</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18,159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(15,750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19,734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17,388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Financial Services</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First Lien Debt (12.4% Cash (1 month LIBOR +</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11.0%, 0.5% Floor) Due 1/20/22) </w:t>
            </w:r>
            <w:r>
              <w:rPr>
                <w:rFonts w:ascii="Arial" w:cs="Arial" w:eastAsia="Arial" w:hAnsi="Arial"/>
                <w:sz w:val="22"/>
                <w:szCs w:val="22"/>
                <w:color w:val="auto"/>
                <w:vertAlign w:val="superscript"/>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3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Currency Capital,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Financial Services</w:t>
            </w:r>
          </w:p>
        </w:tc>
        <w:tc>
          <w:tcPr>
            <w:tcW w:w="33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Class A Preferred Units (2,000,000 units) </w:t>
            </w:r>
            <w:r>
              <w:rPr>
                <w:rFonts w:ascii="Arial" w:cs="Arial" w:eastAsia="Arial" w:hAnsi="Arial"/>
                <w:sz w:val="23"/>
                <w:szCs w:val="23"/>
                <w:color w:val="auto"/>
                <w:vertAlign w:val="superscript"/>
              </w:rPr>
              <w:t>(11)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(7.4% Cash (3 month LIBOR + 5.8%,</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Due 4/3/20)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6,589</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Debt (11.7% Cash (3 month LIBOR +</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1.0% Floor), Due 10/3/21)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11,740</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10,311</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18,329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(8.4% Cash (1 month LIBOR + 7.0%,</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1.0% PIK, Due 12/14/20)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Nth Degree,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(12.9% Cash (1 month LIBOR +</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 1.0% Floor), 2.0% PIK, Due 12/14/20)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Nth Degree,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Business Services</w:t>
            </w:r>
          </w:p>
        </w:tc>
        <w:tc>
          <w:tcPr>
            <w:tcW w:w="33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w w:val="98"/>
              </w:rPr>
              <w:t xml:space="preserve">Preferred Stock (2,400 Units, 10.0% PIK Dividend) </w:t>
            </w:r>
            <w:r>
              <w:rPr>
                <w:rFonts w:ascii="Arial" w:cs="Arial" w:eastAsia="Arial" w:hAnsi="Arial"/>
                <w:sz w:val="23"/>
                <w:szCs w:val="23"/>
                <w:color w:val="auto"/>
                <w:w w:val="98"/>
                <w:vertAlign w:val="superscript"/>
              </w:rPr>
              <w:t>(5)</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2,938</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18,971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Management</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First Lien Debt (12.0% Cash, 4.0% PIK, Due 7/17/19)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8,964</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8,964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Refrigeration / HVAC</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(10.0% Cash, 4.0% PIK, Due</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12/27/22)</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Refrigeration / HVAC</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Class A Units (1,283,824 units, 4.0% Cash Dividend,</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32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11.0% PIK Dividend) </w:t>
            </w:r>
            <w:r>
              <w:rPr>
                <w:rFonts w:ascii="Arial" w:cs="Arial" w:eastAsia="Arial" w:hAnsi="Arial"/>
                <w:sz w:val="23"/>
                <w:szCs w:val="23"/>
                <w:color w:val="auto"/>
                <w:vertAlign w:val="superscript"/>
              </w:rPr>
              <w:t>(5)</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Spectra Services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Refrigeration / HVAC</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B Units (257 units)</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8,736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Sur La Table,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 Debt (12.0% Cash, Due 7/28/20)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Household Product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C Preferred Stock (379 shares)</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Vintage Stock,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Specialty Retail</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(13.9% Cash (1 month LIBOR +</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12.5%, 0.5% Floor), 3.0% PIK, Due 11/3/21)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20,713</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20,713</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Information</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Subordinated Debt (15.0% Cash (3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14.0%, 1.0% Ceiling), 4.0% PIK Due 6/30/20)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Western Windows Systems,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Building Products</w:t>
            </w:r>
          </w:p>
        </w:tc>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First Lien Debt (11.9% Cash, Due 7/31/20) </w:t>
            </w:r>
            <w:r>
              <w:rPr>
                <w:rFonts w:ascii="Arial" w:cs="Arial" w:eastAsia="Arial" w:hAnsi="Arial"/>
                <w:sz w:val="21"/>
                <w:szCs w:val="21"/>
                <w:color w:val="auto"/>
                <w:vertAlign w:val="superscript"/>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10,500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10,500</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Western Windows Systems,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Building Products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(39,860 units)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Information</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 (11.5% Cash, Due 3/1/22)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Information</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(600,000 units)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16,350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 United States</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286,316</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280,359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4"/>
              </w:rPr>
              <w:t>Non-control/non-affiliated investments -</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Brazil</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Velum Global Credit Management,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Financial Services</w:t>
            </w:r>
          </w:p>
        </w:tc>
        <w:tc>
          <w:tcPr>
            <w:tcW w:w="3200" w:type="dxa"/>
            <w:vAlign w:val="bottom"/>
            <w:shd w:val="clear" w:color="auto" w:fill="CCEEFF"/>
          </w:tcPr>
          <w:p>
            <w:pPr>
              <w:spacing w:after="0" w:line="181" w:lineRule="exact"/>
              <w:rPr>
                <w:sz w:val="20"/>
                <w:szCs w:val="20"/>
                <w:color w:val="auto"/>
              </w:rPr>
            </w:pPr>
            <w:r>
              <w:rPr>
                <w:rFonts w:ascii="Arial" w:cs="Arial" w:eastAsia="Arial" w:hAnsi="Arial"/>
                <w:sz w:val="13"/>
                <w:szCs w:val="13"/>
                <w:color w:val="auto"/>
              </w:rPr>
              <w:t xml:space="preserve">First Lien Debt (15.0% PIK, Due 12/31/17) </w:t>
            </w:r>
            <w:r>
              <w:rPr>
                <w:rFonts w:ascii="Arial" w:cs="Arial" w:eastAsia="Arial" w:hAnsi="Arial"/>
                <w:sz w:val="20"/>
                <w:szCs w:val="20"/>
                <w:color w:val="auto"/>
                <w:vertAlign w:val="superscript"/>
              </w:rPr>
              <w:t>(7) (8) (11)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12,275</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 Brazil</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298,132</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288,374</w:t>
            </w: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130.0</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- 46.8%</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Second Lien Debt (8.0% Cash, 4.0% PIK, Due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8/24/19) </w:t>
            </w:r>
            <w:r>
              <w:rPr>
                <w:rFonts w:ascii="Arial" w:cs="Arial" w:eastAsia="Arial" w:hAnsi="Arial"/>
                <w:sz w:val="23"/>
                <w:szCs w:val="23"/>
                <w:color w:val="auto"/>
                <w:vertAlign w:val="superscript"/>
              </w:rPr>
              <w:t>(8)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15,846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15,846</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(2.2%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Warrants (37.8% fully diluted)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15,863</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(14.0% Cash, Due 8/9/19) </w:t>
            </w:r>
            <w:r>
              <w:rPr>
                <w:rFonts w:ascii="Arial" w:cs="Arial" w:eastAsia="Arial" w:hAnsi="Arial"/>
                <w:sz w:val="23"/>
                <w:szCs w:val="23"/>
                <w:color w:val="auto"/>
                <w:vertAlign w:val="superscript"/>
              </w:rPr>
              <w:t>(13)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(12.0% Cash, Due 8/9/19) </w:t>
            </w:r>
            <w:r>
              <w:rPr>
                <w:rFonts w:ascii="Arial" w:cs="Arial" w:eastAsia="Arial" w:hAnsi="Arial"/>
                <w:sz w:val="23"/>
                <w:szCs w:val="23"/>
                <w:color w:val="auto"/>
                <w:vertAlign w:val="superscript"/>
              </w:rPr>
              <w:t>(13)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3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(1,253,198 shares)</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10,332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Subordinated Debt (13.0% Cash, Due 10/20/19) </w:t>
            </w:r>
            <w:r>
              <w:rPr>
                <w:rFonts w:ascii="Arial" w:cs="Arial" w:eastAsia="Arial" w:hAnsi="Arial"/>
                <w:sz w:val="21"/>
                <w:szCs w:val="21"/>
                <w:color w:val="auto"/>
                <w:vertAlign w:val="superscript"/>
              </w:rPr>
              <w:t>(8)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Footwear Retail</w:t>
            </w:r>
          </w:p>
        </w:tc>
        <w:tc>
          <w:tcPr>
            <w:tcW w:w="33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Preferred Membership Units (2.8% fully diluted, 9.0%</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2"/>
                <w:szCs w:val="22"/>
                <w:color w:val="auto"/>
                <w:vertAlign w:val="superscript"/>
              </w:rPr>
              <w:t>(5)</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 Warrants (11.4% fully diluted)</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A-1 Preferred Stock (1,998 shares, 8.0% PIK</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32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2,902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B-1 Common Stock (200,000 shares)</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2,904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Produce Distribution</w:t>
            </w:r>
          </w:p>
        </w:tc>
        <w:tc>
          <w:tcPr>
            <w:tcW w:w="33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Subordinated Debt (6.0% Cash, 7.0% PIK, Due</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6/16/19) </w:t>
            </w:r>
            <w:r>
              <w:rPr>
                <w:rFonts w:ascii="Arial" w:cs="Arial" w:eastAsia="Arial" w:hAnsi="Arial"/>
                <w:sz w:val="22"/>
                <w:szCs w:val="22"/>
                <w:color w:val="auto"/>
                <w:vertAlign w:val="superscript"/>
              </w:rPr>
              <w:t>(8)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6,368</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6,368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Produce Distribution</w:t>
            </w: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(8,182 shares)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Produce Distribution</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Warrants (6,369 shares)</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QSR Franchisor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(1,500,000 shares)</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(12.0% Cash, Due 1/31/19)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320" w:type="dxa"/>
            <w:vAlign w:val="bottom"/>
            <w:gridSpan w:val="2"/>
            <w:vMerge w:val="continue"/>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(6.0% Cash, Due 1/31/19)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32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Preferred Units (1,000 units, 6.0% PIK Dividend) </w:t>
            </w:r>
            <w:r>
              <w:rPr>
                <w:rFonts w:ascii="Arial" w:cs="Arial" w:eastAsia="Arial" w:hAnsi="Arial"/>
                <w:sz w:val="23"/>
                <w:szCs w:val="23"/>
                <w:color w:val="auto"/>
                <w:vertAlign w:val="superscript"/>
              </w:rPr>
              <w:t>(5)</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32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Distributor</w:t>
            </w: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Membership Units (45 units)</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4,369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Retail Display &amp;</w:t>
            </w:r>
          </w:p>
        </w:tc>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Membership Units (2,000,000 units) </w:t>
            </w:r>
            <w:r>
              <w:rPr>
                <w:rFonts w:ascii="Arial" w:cs="Arial" w:eastAsia="Arial" w:hAnsi="Arial"/>
                <w:sz w:val="23"/>
                <w:szCs w:val="23"/>
                <w:color w:val="auto"/>
                <w:vertAlign w:val="superscript"/>
              </w:rPr>
              <w:t>(14)</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Security Services</w:t>
            </w:r>
          </w:p>
        </w:tc>
        <w:tc>
          <w:tcPr>
            <w:tcW w:w="3320" w:type="dxa"/>
            <w:vAlign w:val="bottom"/>
            <w:gridSpan w:val="2"/>
            <w:vMerge w:val="continue"/>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14"/>
                <w:szCs w:val="14"/>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Engineering</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and Consulting</w:t>
            </w: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(15,068,000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 Chemicals</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Membership Units (11.3% ownership) </w:t>
            </w:r>
            <w:r>
              <w:rPr>
                <w:rFonts w:ascii="Arial" w:cs="Arial" w:eastAsia="Arial" w:hAnsi="Arial"/>
                <w:sz w:val="23"/>
                <w:szCs w:val="23"/>
                <w:color w:val="auto"/>
                <w:vertAlign w:val="superscript"/>
              </w:rPr>
              <w:t>(14)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&amp; Lubricants</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STX Healthcare Management Services, Inc.  Dental Practice</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Common Stock (1,200,000 shares) </w:t>
            </w:r>
            <w:r>
              <w:rPr>
                <w:rFonts w:ascii="Arial" w:cs="Arial" w:eastAsia="Arial" w:hAnsi="Arial"/>
                <w:sz w:val="23"/>
                <w:szCs w:val="23"/>
                <w:color w:val="auto"/>
                <w:vertAlign w:val="superscript"/>
              </w:rPr>
              <w:t>(14)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Management</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7"/>
              </w:rPr>
              <w:t>First Lien Debt (7.4% Cash (1 month LIBOR + 6.0%,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1.0% Floor), Due 2/2/22) </w:t>
            </w:r>
            <w:r>
              <w:rPr>
                <w:rFonts w:ascii="Arial" w:cs="Arial" w:eastAsia="Arial" w:hAnsi="Arial"/>
                <w:sz w:val="22"/>
                <w:szCs w:val="22"/>
                <w:color w:val="auto"/>
                <w:vertAlign w:val="superscript"/>
              </w:rPr>
              <w:t>(15)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First Lien Debt (12.4% PIK (1 month LIBOR + 11.0%,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 Floor), Due 2/2/22)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Units (5,680,688 Units)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6,259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15,004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Oil &amp; Gas Services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Class B Units (2,076,298 Units)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18,515</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27,774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w:t>
            </w:r>
          </w:p>
        </w:tc>
        <w:tc>
          <w:tcPr>
            <w:tcW w:w="3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Digital Marketing</w:t>
            </w:r>
          </w:p>
        </w:tc>
        <w:tc>
          <w:tcPr>
            <w:tcW w:w="3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6"/>
              </w:rPr>
              <w:t>Sub Total Affiliate investments - United</w:t>
            </w: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77,336</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103,957</w:t>
            </w: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46.8</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investments- 48.5%</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w w:val="96"/>
              </w:rPr>
              <w:t>First Lien Debt (12.0% Cash, 4.0% PIK, Due 5/24/18)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12,373</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12,373</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(21.3% fully diluted)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6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w:t>
            </w:r>
          </w:p>
        </w:tc>
        <w:tc>
          <w:tcPr>
            <w:tcW w:w="3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Warrants (10.0% fully diluted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ectPr>
          <w:pgSz w:w="11900" w:h="16838" w:orient="portrait"/>
          <w:cols w:equalWidth="0" w:num="1">
            <w:col w:w="11420"/>
          </w:cols>
          <w:pgMar w:left="240" w:top="931" w:right="2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w:t>
            </w:r>
            <w:r>
              <w:rPr>
                <w:rFonts w:ascii="Arial" w:cs="Arial" w:eastAsia="Arial" w:hAnsi="Arial"/>
                <w:sz w:val="23"/>
                <w:szCs w:val="23"/>
                <w:b w:val="1"/>
                <w:bCs w:val="1"/>
                <w:u w:val="single" w:color="auto"/>
                <w:color w:val="auto"/>
                <w:w w:val="87"/>
                <w:vertAlign w:val="superscript"/>
              </w:rPr>
              <w:t>,</w:t>
            </w:r>
            <w:r>
              <w:rPr>
                <w:rFonts w:ascii="Arial" w:cs="Arial" w:eastAsia="Arial" w:hAnsi="Arial"/>
                <w:sz w:val="14"/>
                <w:szCs w:val="14"/>
                <w:b w:val="1"/>
                <w:bCs w:val="1"/>
                <w:color w:val="auto"/>
                <w:w w:val="87"/>
              </w:rPr>
              <w:t xml:space="preserve"> </w:t>
            </w:r>
            <w:r>
              <w:rPr>
                <w:rFonts w:ascii="Arial" w:cs="Arial" w:eastAsia="Arial" w:hAnsi="Arial"/>
                <w:sz w:val="23"/>
                <w:szCs w:val="23"/>
                <w:b w:val="1"/>
                <w:bCs w:val="1"/>
                <w:color w:val="auto"/>
                <w:w w:val="87"/>
                <w:vertAlign w:val="superscript"/>
              </w:rPr>
              <w:t>(2), (3), (4)</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Industry</w:t>
            </w:r>
          </w:p>
        </w:tc>
      </w:tr>
      <w:tr>
        <w:trPr>
          <w:trHeight w:val="306"/>
        </w:trPr>
        <w:tc>
          <w:tcPr>
            <w:tcW w:w="2560" w:type="dxa"/>
            <w:vAlign w:val="bottom"/>
          </w:tcPr>
          <w:p>
            <w:pPr>
              <w:spacing w:after="0"/>
              <w:rPr>
                <w:sz w:val="20"/>
                <w:szCs w:val="20"/>
                <w:color w:val="auto"/>
              </w:rPr>
            </w:pPr>
            <w:r>
              <w:rPr>
                <w:rFonts w:ascii="Arial" w:cs="Arial" w:eastAsia="Arial" w:hAnsi="Arial"/>
                <w:sz w:val="14"/>
                <w:szCs w:val="14"/>
                <w:color w:val="auto"/>
              </w:rPr>
              <w:t>Eastport Holdings,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Business Services</w:t>
            </w:r>
          </w:p>
        </w:tc>
      </w:tr>
      <w:tr>
        <w:trPr>
          <w:trHeight w:val="446"/>
        </w:trPr>
        <w:tc>
          <w:tcPr>
            <w:tcW w:w="2560" w:type="dxa"/>
            <w:vAlign w:val="bottom"/>
          </w:tcPr>
          <w:p>
            <w:pPr>
              <w:spacing w:after="0"/>
              <w:rPr>
                <w:sz w:val="20"/>
                <w:szCs w:val="20"/>
                <w:color w:val="auto"/>
              </w:rPr>
            </w:pPr>
            <w:r>
              <w:rPr>
                <w:rFonts w:ascii="Arial" w:cs="Arial" w:eastAsia="Arial" w:hAnsi="Arial"/>
                <w:sz w:val="14"/>
                <w:szCs w:val="14"/>
                <w:color w:val="auto"/>
              </w:rPr>
              <w:t>Eastport Holdings,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Business Services</w:t>
            </w:r>
          </w:p>
        </w:tc>
      </w:tr>
      <w:tr>
        <w:trPr>
          <w:trHeight w:val="689"/>
        </w:trPr>
        <w:tc>
          <w:tcPr>
            <w:tcW w:w="256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r>
      <w:tr>
        <w:trPr>
          <w:trHeight w:val="648"/>
        </w:trPr>
        <w:tc>
          <w:tcPr>
            <w:tcW w:w="2560" w:type="dxa"/>
            <w:vAlign w:val="bottom"/>
          </w:tcPr>
          <w:p>
            <w:pPr>
              <w:spacing w:after="0"/>
              <w:rPr>
                <w:sz w:val="20"/>
                <w:szCs w:val="20"/>
                <w:color w:val="auto"/>
              </w:rPr>
            </w:pPr>
            <w:r>
              <w:rPr>
                <w:rFonts w:ascii="Arial" w:cs="Arial" w:eastAsia="Arial" w:hAnsi="Arial"/>
                <w:sz w:val="14"/>
                <w:szCs w:val="14"/>
                <w:color w:val="auto"/>
              </w:rPr>
              <w:t>Micro Precision,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Conglomerate</w:t>
            </w:r>
          </w:p>
        </w:tc>
      </w:tr>
      <w:tr>
        <w:trPr>
          <w:trHeight w:val="338"/>
        </w:trPr>
        <w:tc>
          <w:tcPr>
            <w:tcW w:w="2560" w:type="dxa"/>
            <w:vAlign w:val="bottom"/>
          </w:tcPr>
          <w:p>
            <w:pPr>
              <w:spacing w:after="0"/>
              <w:rPr>
                <w:sz w:val="20"/>
                <w:szCs w:val="20"/>
                <w:color w:val="auto"/>
              </w:rPr>
            </w:pPr>
            <w:r>
              <w:rPr>
                <w:rFonts w:ascii="Arial" w:cs="Arial" w:eastAsia="Arial" w:hAnsi="Arial"/>
                <w:sz w:val="14"/>
                <w:szCs w:val="14"/>
                <w:color w:val="auto"/>
              </w:rPr>
              <w:t>Micro Precision,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Conglomerate</w:t>
            </w:r>
          </w:p>
        </w:tc>
      </w:tr>
      <w:tr>
        <w:trPr>
          <w:trHeight w:val="486"/>
        </w:trPr>
        <w:tc>
          <w:tcPr>
            <w:tcW w:w="2560" w:type="dxa"/>
            <w:vAlign w:val="bottom"/>
          </w:tcPr>
          <w:p>
            <w:pPr>
              <w:spacing w:after="0"/>
              <w:rPr>
                <w:sz w:val="20"/>
                <w:szCs w:val="20"/>
                <w:color w:val="auto"/>
              </w:rPr>
            </w:pPr>
            <w:r>
              <w:rPr>
                <w:rFonts w:ascii="Arial" w:cs="Arial" w:eastAsia="Arial" w:hAnsi="Arial"/>
                <w:sz w:val="14"/>
                <w:szCs w:val="14"/>
                <w:color w:val="auto"/>
              </w:rPr>
              <w:t>Micro Precision, LLC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Conglomerate</w:t>
            </w:r>
          </w:p>
        </w:tc>
      </w:tr>
      <w:tr>
        <w:trPr>
          <w:trHeight w:val="615"/>
        </w:trPr>
        <w:tc>
          <w:tcPr>
            <w:tcW w:w="2560" w:type="dxa"/>
            <w:vAlign w:val="bottom"/>
          </w:tcPr>
          <w:p>
            <w:pPr>
              <w:spacing w:after="0"/>
              <w:rPr>
                <w:sz w:val="20"/>
                <w:szCs w:val="20"/>
                <w:color w:val="auto"/>
              </w:rPr>
            </w:pPr>
            <w:r>
              <w:rPr>
                <w:rFonts w:ascii="Arial" w:cs="Arial" w:eastAsia="Arial" w:hAnsi="Arial"/>
                <w:sz w:val="14"/>
                <w:szCs w:val="14"/>
                <w:color w:val="auto"/>
              </w:rPr>
              <w:t>Navis Holdings, Inc.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Textile Equipment</w:t>
            </w:r>
          </w:p>
        </w:tc>
      </w:tr>
      <w:tr>
        <w:trPr>
          <w:trHeight w:val="182"/>
        </w:trPr>
        <w:tc>
          <w:tcPr>
            <w:tcW w:w="25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Manufacturer</w:t>
            </w:r>
          </w:p>
        </w:tc>
      </w:tr>
      <w:tr>
        <w:trPr>
          <w:trHeight w:val="263"/>
        </w:trPr>
        <w:tc>
          <w:tcPr>
            <w:tcW w:w="2560" w:type="dxa"/>
            <w:vAlign w:val="bottom"/>
          </w:tcPr>
          <w:p>
            <w:pPr>
              <w:spacing w:after="0"/>
              <w:rPr>
                <w:sz w:val="20"/>
                <w:szCs w:val="20"/>
                <w:color w:val="auto"/>
              </w:rPr>
            </w:pPr>
            <w:r>
              <w:rPr>
                <w:rFonts w:ascii="Arial" w:cs="Arial" w:eastAsia="Arial" w:hAnsi="Arial"/>
                <w:sz w:val="14"/>
                <w:szCs w:val="14"/>
                <w:color w:val="auto"/>
              </w:rPr>
              <w:t>Navis Holdings, Inc.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Textile Equipment</w:t>
            </w:r>
          </w:p>
        </w:tc>
      </w:tr>
      <w:tr>
        <w:trPr>
          <w:trHeight w:val="182"/>
        </w:trPr>
        <w:tc>
          <w:tcPr>
            <w:tcW w:w="25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Manufacturer</w:t>
            </w:r>
          </w:p>
        </w:tc>
      </w:tr>
      <w:tr>
        <w:trPr>
          <w:trHeight w:val="304"/>
        </w:trPr>
        <w:tc>
          <w:tcPr>
            <w:tcW w:w="2560" w:type="dxa"/>
            <w:vAlign w:val="bottom"/>
          </w:tcPr>
          <w:p>
            <w:pPr>
              <w:spacing w:after="0"/>
              <w:rPr>
                <w:sz w:val="20"/>
                <w:szCs w:val="20"/>
                <w:color w:val="auto"/>
              </w:rPr>
            </w:pPr>
            <w:r>
              <w:rPr>
                <w:rFonts w:ascii="Arial" w:cs="Arial" w:eastAsia="Arial" w:hAnsi="Arial"/>
                <w:sz w:val="14"/>
                <w:szCs w:val="14"/>
                <w:color w:val="auto"/>
              </w:rPr>
              <w:t>Navis Holdings, Inc.</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Textile Equipment</w:t>
            </w:r>
          </w:p>
        </w:tc>
      </w:tr>
      <w:tr>
        <w:trPr>
          <w:trHeight w:val="182"/>
        </w:trPr>
        <w:tc>
          <w:tcPr>
            <w:tcW w:w="256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Manufacturer</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72"/>
        </w:trPr>
        <w:tc>
          <w:tcPr>
            <w:tcW w:w="32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Subordinated Debt (14.5% Cash (3 month LIBOR +</w:t>
            </w: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4"/>
                <w:szCs w:val="14"/>
                <w:color w:val="auto"/>
              </w:rPr>
              <w:t>13.0%, 0.5% Floor), Due 4/29/20)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14,738</w:t>
            </w:r>
          </w:p>
        </w:tc>
        <w:tc>
          <w:tcPr>
            <w:tcW w:w="220" w:type="dxa"/>
            <w:vAlign w:val="bottom"/>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36"/>
        </w:trPr>
        <w:tc>
          <w:tcPr>
            <w:tcW w:w="3200" w:type="dxa"/>
            <w:vAlign w:val="bottom"/>
          </w:tcPr>
          <w:p>
            <w:pPr>
              <w:spacing w:after="0"/>
              <w:rPr>
                <w:sz w:val="20"/>
                <w:szCs w:val="20"/>
                <w:color w:val="auto"/>
              </w:rPr>
            </w:pPr>
            <w:r>
              <w:rPr>
                <w:rFonts w:ascii="Arial" w:cs="Arial" w:eastAsia="Arial" w:hAnsi="Arial"/>
                <w:sz w:val="14"/>
                <w:szCs w:val="14"/>
                <w:color w:val="auto"/>
              </w:rPr>
              <w:t xml:space="preserve">Membership Units (33.3% ownership) </w:t>
            </w:r>
            <w:r>
              <w:rPr>
                <w:rFonts w:ascii="Arial" w:cs="Arial" w:eastAsia="Arial" w:hAnsi="Arial"/>
                <w:sz w:val="23"/>
                <w:szCs w:val="23"/>
                <w:color w:val="auto"/>
                <w:vertAlign w:val="superscript"/>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4,733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26,449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19,471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42,949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(4.0% Cash, Due 2/15/20) </w:t>
            </w:r>
            <w:r>
              <w:rPr>
                <w:rFonts w:ascii="Arial" w:cs="Arial" w:eastAsia="Arial" w:hAnsi="Arial"/>
                <w:sz w:val="23"/>
                <w:szCs w:val="23"/>
                <w:color w:val="auto"/>
                <w:vertAlign w:val="superscript"/>
              </w:rPr>
              <w:t>(17)</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338"/>
        </w:trPr>
        <w:tc>
          <w:tcPr>
            <w:tcW w:w="3200" w:type="dxa"/>
            <w:vAlign w:val="bottom"/>
          </w:tcPr>
          <w:p>
            <w:pPr>
              <w:spacing w:after="0"/>
              <w:rPr>
                <w:sz w:val="20"/>
                <w:szCs w:val="20"/>
                <w:color w:val="auto"/>
              </w:rPr>
            </w:pPr>
            <w:r>
              <w:rPr>
                <w:rFonts w:ascii="Arial" w:cs="Arial" w:eastAsia="Arial" w:hAnsi="Arial"/>
                <w:sz w:val="14"/>
                <w:szCs w:val="14"/>
                <w:color w:val="auto"/>
              </w:rPr>
              <w:t xml:space="preserve">First Lien Debt (1.5% Cash, Due 2/15/20) </w:t>
            </w:r>
            <w:r>
              <w:rPr>
                <w:rFonts w:ascii="Arial" w:cs="Arial" w:eastAsia="Arial" w:hAnsi="Arial"/>
                <w:sz w:val="23"/>
                <w:szCs w:val="23"/>
                <w:color w:val="auto"/>
                <w:vertAlign w:val="superscript"/>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13,674</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13,669</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9,560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Membership Units (27.5% fully diluted)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15,669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11,560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 xml:space="preserve">Subordinated Debt (10.0% Cash, Due 9/15/18) </w:t>
            </w:r>
            <w:r>
              <w:rPr>
                <w:rFonts w:ascii="Arial" w:cs="Arial" w:eastAsia="Arial" w:hAnsi="Arial"/>
                <w:sz w:val="23"/>
                <w:szCs w:val="23"/>
                <w:color w:val="auto"/>
                <w:vertAlign w:val="superscript"/>
              </w:rPr>
              <w:t>(8)</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1,862</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20"/>
                <w:szCs w:val="20"/>
                <w:color w:val="auto"/>
              </w:rPr>
            </w:pPr>
            <w:r>
              <w:rPr>
                <w:rFonts w:ascii="Arial" w:cs="Arial" w:eastAsia="Arial" w:hAnsi="Arial"/>
                <w:sz w:val="14"/>
                <w:szCs w:val="14"/>
                <w:color w:val="auto"/>
              </w:rPr>
              <w:t>Subordinated Debt (14.0% Cash, 4.0% PIK, Due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0"/>
                <w:szCs w:val="20"/>
                <w:color w:val="auto"/>
              </w:rPr>
            </w:pPr>
            <w:r>
              <w:rPr>
                <w:rFonts w:ascii="Arial" w:cs="Arial" w:eastAsia="Arial" w:hAnsi="Arial"/>
                <w:sz w:val="14"/>
                <w:szCs w:val="14"/>
                <w:color w:val="auto"/>
              </w:rPr>
              <w:t xml:space="preserve">9/15/18) </w:t>
            </w:r>
            <w:r>
              <w:rPr>
                <w:rFonts w:ascii="Arial" w:cs="Arial" w:eastAsia="Arial" w:hAnsi="Arial"/>
                <w:sz w:val="23"/>
                <w:szCs w:val="23"/>
                <w:color w:val="auto"/>
                <w:vertAlign w:val="superscript"/>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4,154</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4,154</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4,154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Series A Preferred Units (47 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7,645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(15.0% Cash, Due 10/30/20) </w:t>
            </w:r>
            <w:r>
              <w:rPr>
                <w:rFonts w:ascii="Arial" w:cs="Arial" w:eastAsia="Arial" w:hAnsi="Arial"/>
                <w:sz w:val="23"/>
                <w:szCs w:val="23"/>
                <w:color w:val="auto"/>
                <w:vertAlign w:val="superscript"/>
              </w:rPr>
              <w:t>(8)</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20"/>
                <w:szCs w:val="20"/>
                <w:color w:val="auto"/>
              </w:rPr>
            </w:pPr>
            <w:r>
              <w:rPr>
                <w:rFonts w:ascii="Arial" w:cs="Arial" w:eastAsia="Arial" w:hAnsi="Arial"/>
                <w:sz w:val="14"/>
                <w:szCs w:val="14"/>
                <w:color w:val="auto"/>
                <w:w w:val="98"/>
              </w:rPr>
              <w:t>Class A Preferred Stock (1,000 shares, 10.0% Cash</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344"/>
        </w:trPr>
        <w:tc>
          <w:tcPr>
            <w:tcW w:w="3200" w:type="dxa"/>
            <w:vAlign w:val="bottom"/>
          </w:tcPr>
          <w:p>
            <w:pPr>
              <w:spacing w:after="0"/>
              <w:rPr>
                <w:sz w:val="20"/>
                <w:szCs w:val="20"/>
                <w:color w:val="auto"/>
              </w:rPr>
            </w:pPr>
            <w:r>
              <w:rPr>
                <w:rFonts w:ascii="Arial" w:cs="Arial" w:eastAsia="Arial" w:hAnsi="Arial"/>
                <w:sz w:val="14"/>
                <w:szCs w:val="14"/>
                <w:color w:val="auto"/>
              </w:rPr>
              <w:t>Common Stock (300,000 shares)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7,501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12,505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-3498215</wp:posOffset>
            </wp:positionV>
            <wp:extent cx="724662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-3215005</wp:posOffset>
            </wp:positionV>
            <wp:extent cx="72466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-2983865</wp:posOffset>
            </wp:positionV>
            <wp:extent cx="724662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-2778125</wp:posOffset>
            </wp:positionV>
            <wp:extent cx="724662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-2563495</wp:posOffset>
            </wp:positionV>
            <wp:extent cx="724662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-2348865</wp:posOffset>
            </wp:positionV>
            <wp:extent cx="72466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-2143125</wp:posOffset>
            </wp:positionV>
            <wp:extent cx="724662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-1937385</wp:posOffset>
            </wp:positionV>
            <wp:extent cx="724662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-1723390</wp:posOffset>
            </wp:positionV>
            <wp:extent cx="724662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-1414145</wp:posOffset>
            </wp:positionV>
            <wp:extent cx="724662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-1208405</wp:posOffset>
            </wp:positionV>
            <wp:extent cx="72466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-1002665</wp:posOffset>
            </wp:positionV>
            <wp:extent cx="72466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-719455</wp:posOffset>
            </wp:positionV>
            <wp:extent cx="724662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-410845</wp:posOffset>
            </wp:positionV>
            <wp:extent cx="724662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-111125</wp:posOffset>
            </wp:positionV>
            <wp:extent cx="724662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4060" w:space="120"/>
            <w:col w:w="7240"/>
          </w:cols>
          <w:pgMar w:left="240" w:top="93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 Inc.</w:t>
            </w:r>
          </w:p>
        </w:tc>
        <w:tc>
          <w:tcPr>
            <w:tcW w:w="19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Fuel Transportation</w:t>
            </w:r>
          </w:p>
        </w:tc>
        <w:tc>
          <w:tcPr>
            <w:tcW w:w="36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w w:val="98"/>
              </w:rPr>
              <w:t xml:space="preserve">Subordinated Debt (18.0% Cash, Due 12/19/18) </w:t>
            </w:r>
            <w:r>
              <w:rPr>
                <w:rFonts w:ascii="Arial" w:cs="Arial" w:eastAsia="Arial" w:hAnsi="Arial"/>
                <w:sz w:val="23"/>
                <w:szCs w:val="23"/>
                <w:color w:val="auto"/>
                <w:w w:val="98"/>
                <w:vertAlign w:val="superscript"/>
              </w:rPr>
              <w:t>(7) (8)</w:t>
            </w: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9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Services</w:t>
            </w:r>
          </w:p>
        </w:tc>
        <w:tc>
          <w:tcPr>
            <w:tcW w:w="360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14,072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11,020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 Inc.</w:t>
            </w:r>
          </w:p>
        </w:tc>
        <w:tc>
          <w:tcPr>
            <w:tcW w:w="1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Fuel Transportation</w:t>
            </w:r>
          </w:p>
        </w:tc>
        <w:tc>
          <w:tcPr>
            <w:tcW w:w="3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9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Services</w:t>
            </w:r>
          </w:p>
        </w:tc>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Series A Preferred Stock (32,782 shares)</w:t>
            </w: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3,278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 Inc.</w:t>
            </w:r>
          </w:p>
        </w:tc>
        <w:tc>
          <w:tcPr>
            <w:tcW w:w="1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Fuel Transportation</w:t>
            </w:r>
          </w:p>
        </w:tc>
        <w:tc>
          <w:tcPr>
            <w:tcW w:w="3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9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Services</w:t>
            </w:r>
          </w:p>
        </w:tc>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Series B Preferred Stock (23,648 shares)</w:t>
            </w: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 Inc.</w:t>
            </w:r>
          </w:p>
        </w:tc>
        <w:tc>
          <w:tcPr>
            <w:tcW w:w="1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Fuel Transportation</w:t>
            </w:r>
          </w:p>
        </w:tc>
        <w:tc>
          <w:tcPr>
            <w:tcW w:w="3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9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Services</w:t>
            </w:r>
          </w:p>
        </w:tc>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(33,058 shares)</w:t>
            </w:r>
          </w:p>
        </w:tc>
        <w:tc>
          <w:tcPr>
            <w:tcW w:w="9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16,696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Professional and</w:t>
            </w:r>
          </w:p>
        </w:tc>
        <w:tc>
          <w:tcPr>
            <w:tcW w:w="36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First Lien Debt (8.6% Cash (1 month LIBOR + 7.0%,</w:t>
            </w: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900" w:type="dxa"/>
            <w:vAlign w:val="bottom"/>
            <w:shd w:val="clear" w:color="auto" w:fill="CCEEFF"/>
          </w:tcPr>
          <w:p>
            <w:pPr>
              <w:ind w:left="580"/>
              <w:spacing w:after="0" w:line="141" w:lineRule="exact"/>
              <w:rPr>
                <w:sz w:val="20"/>
                <w:szCs w:val="20"/>
                <w:color w:val="auto"/>
              </w:rPr>
            </w:pPr>
            <w:r>
              <w:rPr>
                <w:rFonts w:ascii="Arial" w:cs="Arial" w:eastAsia="Arial" w:hAnsi="Arial"/>
                <w:sz w:val="14"/>
                <w:szCs w:val="14"/>
                <w:color w:val="auto"/>
              </w:rPr>
              <w:t>Personal Digital</w:t>
            </w:r>
          </w:p>
        </w:tc>
        <w:tc>
          <w:tcPr>
            <w:tcW w:w="36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9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Imaging</w:t>
            </w:r>
          </w:p>
        </w:tc>
        <w:tc>
          <w:tcPr>
            <w:tcW w:w="360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 xml:space="preserve">1.0% Floor, 2.0% Ceiling), Due 12/31/22) </w:t>
            </w:r>
            <w:r>
              <w:rPr>
                <w:rFonts w:ascii="Arial" w:cs="Arial" w:eastAsia="Arial" w:hAnsi="Arial"/>
                <w:sz w:val="20"/>
                <w:szCs w:val="20"/>
                <w:color w:val="auto"/>
                <w:vertAlign w:val="superscript"/>
              </w:rPr>
              <w:t>(18)</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1,860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 xml:space="preserve">Portfolio Company, Country </w:t>
            </w:r>
            <w:r>
              <w:rPr>
                <w:rFonts w:ascii="Arial" w:cs="Arial" w:eastAsia="Arial" w:hAnsi="Arial"/>
                <w:sz w:val="23"/>
                <w:szCs w:val="23"/>
                <w:b w:val="1"/>
                <w:bCs w:val="1"/>
                <w:color w:val="auto"/>
                <w:w w:val="90"/>
                <w:vertAlign w:val="superscript"/>
              </w:rPr>
              <w:t>(1)</w:t>
            </w:r>
            <w:r>
              <w:rPr>
                <w:rFonts w:ascii="Arial" w:cs="Arial" w:eastAsia="Arial" w:hAnsi="Arial"/>
                <w:sz w:val="23"/>
                <w:szCs w:val="23"/>
                <w:b w:val="1"/>
                <w:bCs w:val="1"/>
                <w:u w:val="single" w:color="auto"/>
                <w:color w:val="auto"/>
                <w:w w:val="90"/>
                <w:vertAlign w:val="superscript"/>
              </w:rPr>
              <w:t>,</w:t>
            </w:r>
            <w:r>
              <w:rPr>
                <w:rFonts w:ascii="Arial" w:cs="Arial" w:eastAsia="Arial" w:hAnsi="Arial"/>
                <w:sz w:val="14"/>
                <w:szCs w:val="14"/>
                <w:b w:val="1"/>
                <w:bCs w:val="1"/>
                <w:color w:val="auto"/>
                <w:w w:val="90"/>
              </w:rPr>
              <w:t xml:space="preserve"> </w:t>
            </w:r>
            <w:r>
              <w:rPr>
                <w:rFonts w:ascii="Arial" w:cs="Arial" w:eastAsia="Arial" w:hAnsi="Arial"/>
                <w:sz w:val="23"/>
                <w:szCs w:val="23"/>
                <w:b w:val="1"/>
                <w:bCs w:val="1"/>
                <w:color w:val="auto"/>
                <w:w w:val="90"/>
                <w:vertAlign w:val="superscript"/>
              </w:rPr>
              <w:t>(2), (3), (4)</w:t>
            </w:r>
          </w:p>
        </w:tc>
        <w:tc>
          <w:tcPr>
            <w:tcW w:w="13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33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60" w:type="dxa"/>
            <w:vAlign w:val="bottom"/>
            <w:gridSpan w:val="3"/>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34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Debt (8.6% Cash (1 month LIBOR + 7.0%,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 Floor, 5.0% Ceiling), Due 12/31/22)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4,500</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Preferred Units (4,350,000 Units)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10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Imaging</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Membership Units (150,000 Units)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8,810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Control investments - United</w:t>
            </w: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89,559</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107,608</w:t>
            </w:r>
          </w:p>
        </w:tc>
        <w:tc>
          <w:tcPr>
            <w:tcW w:w="9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2"/>
                <w:szCs w:val="12"/>
                <w:color w:val="auto"/>
              </w:rPr>
              <w:t>48.5</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- 225.3%</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465,027</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499,939</w:t>
            </w:r>
          </w:p>
        </w:tc>
        <w:tc>
          <w:tcPr>
            <w:tcW w:w="9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b w:val="1"/>
                <w:bCs w:val="1"/>
                <w:color w:val="auto"/>
              </w:rPr>
              <w:t>225.3</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(3.1)%</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United States</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34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Derivatives - United States</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DERIVATIVES- (3.1)%</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2"/>
                <w:szCs w:val="12"/>
                <w:b w:val="1"/>
                <w:bCs w:val="1"/>
                <w:color w:val="auto"/>
              </w:rPr>
              <w:t>(20</w:t>
            </w:r>
            <w:r>
              <w:rPr>
                <w:rFonts w:ascii="Arial" w:cs="Arial" w:eastAsia="Arial" w:hAnsi="Arial"/>
                <w:sz w:val="20"/>
                <w:szCs w:val="20"/>
                <w:b w:val="1"/>
                <w:bCs w:val="1"/>
                <w:color w:val="auto"/>
                <w:vertAlign w:val="superscript"/>
              </w:rPr>
              <w:t>)</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b w:val="1"/>
                <w:bCs w:val="1"/>
                <w:color w:val="auto"/>
              </w:rPr>
              <w:t>(6,815</w:t>
            </w:r>
            <w:r>
              <w:rPr>
                <w:rFonts w:ascii="Arial" w:cs="Arial" w:eastAsia="Arial" w:hAnsi="Arial"/>
                <w:sz w:val="20"/>
                <w:szCs w:val="20"/>
                <w:b w:val="1"/>
                <w:bCs w:val="1"/>
                <w:color w:val="auto"/>
                <w:vertAlign w:val="superscript"/>
              </w:rPr>
              <w:t>)</w:t>
            </w:r>
          </w:p>
        </w:tc>
        <w:tc>
          <w:tcPr>
            <w:tcW w:w="9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b w:val="1"/>
                <w:bCs w:val="1"/>
                <w:color w:val="auto"/>
              </w:rPr>
              <w:t>(3.1</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Percentages are based on net assets of $221,887 as of December 31,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has an excercisable put option.</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$2.0 million unfunded commitment.</w:t>
      </w:r>
    </w:p>
    <w:p>
      <w:pPr>
        <w:spacing w:after="0" w:line="9" w:lineRule="exact"/>
        <w:rPr>
          <w:rFonts w:ascii="Arial" w:cs="Arial" w:eastAsia="Arial" w:hAnsi="Arial"/>
          <w:sz w:val="18"/>
          <w:szCs w:val="18"/>
          <w:color w:val="auto"/>
        </w:rPr>
      </w:pPr>
    </w:p>
    <w:p>
      <w:pPr>
        <w:ind w:right="100" w:firstLine="8"/>
        <w:spacing w:after="0" w:line="250" w:lineRule="auto"/>
        <w:tabs>
          <w:tab w:leader="none" w:pos="33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2017, 5.0% of the Company's total assets were non-qualifying assets.</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headquartered in Brazil.</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to the stated rate, the Company is charging 3% default interest on the investment.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$0.7 million unfunded commitment.</w:t>
      </w:r>
    </w:p>
    <w:p>
      <w:pPr>
        <w:spacing w:after="0" w:line="9" w:lineRule="exact"/>
        <w:rPr>
          <w:rFonts w:ascii="Arial" w:cs="Arial" w:eastAsia="Arial" w:hAnsi="Arial"/>
          <w:sz w:val="18"/>
          <w:szCs w:val="18"/>
          <w:color w:val="auto"/>
        </w:rPr>
      </w:pPr>
    </w:p>
    <w:p>
      <w:pPr>
        <w:ind w:right="300" w:firstLine="8"/>
        <w:spacing w:after="0" w:line="250" w:lineRule="auto"/>
        <w:tabs>
          <w:tab w:leader="none" w:pos="34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December 31, 2017, the fair value of the written call option is approximately $6.8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a $3.1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Florida Sidecar, and the Taxable Subsidiaries.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September 30, 2018 and December 31, 2017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2017, filed with the U.S. Securities and Exchange Commission (“SEC”) on February 27,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Florida Sidecar, and the Taxable Subsidiaries) in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The Company has loans in the portfolio that contain a payment-in-kind interest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Company follows the guidance in ASC Topic 860 —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common stock assuming all potentially dilutive shares had been issued. Diluted EPS reflects the potential dilution, using the as-if-converted method for convertible debt, which could occur if all potentially dilutive securities were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2018, the Company had outstanding unfunded commitments related to debt investments in existing portfolio companies of $2.4 million (Portrait Studio, LLC), $1.1 million (MC Sign Lessor Corp), $0.7 million (U.S. Well Services, LLC) and $0.3 million (CableOrganizer Acquisition, LLC). As of December 31, 2017, the Company had outstanding unfunded commitments related to debt investments in existing portfolio companies of $3.1 million (Portrait Studio, LLC), $2.0 million (CIS Secure Computing, Inc.), $1.0 million (Kelle’s Transport Service, LLC), and $0.7 million (U.S. Well Services, LLC).</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complaint, as currently amended, alleges certain violations of the securities laws, including, </w:t>
      </w:r>
      <w:r>
        <w:rPr>
          <w:rFonts w:ascii="Arial" w:cs="Arial" w:eastAsia="Arial" w:hAnsi="Arial"/>
          <w:sz w:val="17"/>
          <w:szCs w:val="17"/>
          <w:i w:val="1"/>
          <w:iCs w:val="1"/>
          <w:color w:val="auto"/>
        </w:rPr>
        <w:t>inter alia</w:t>
      </w:r>
      <w:r>
        <w:rPr>
          <w:rFonts w:ascii="Arial" w:cs="Arial" w:eastAsia="Arial" w:hAnsi="Arial"/>
          <w:sz w:val="17"/>
          <w:szCs w:val="17"/>
          <w:color w:val="auto"/>
        </w:rPr>
        <w:t>, that the defendants made certain materially false and misleading statements and omissions regarding the Company’s business, operations, and prospects between January 4, 2016 and August 7, 2017. The plaintiffs in the Paskowitz Action seek compensatory damages and attorneys’ fees and costs, among other relief, but did not specify the amount of damages being sought. Defendants have moved to dismiss the amended complaint. While the Company intends to vigorously defend itself in this litigation, the outcome of these legal proceedings cannot be predicted with certainty.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and adversely affect the Company’s financial condition, results of operations or cash flows in any particular reporting period.</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September 30, 2018 and December 31, 2017.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elected to amend its tax year end from August 31 to December 31 and has filed a tax return for the four months ended December 31, 2017. The election to change the tax year end is not expected to have a material impact on the Company’s consolidated statements of operations, the Company’s tax status as a RIC, or the nature of distributions paid to our stockholders. The tax years ended December 31, 2017, August 31, 2017, August 31, 2016 and August 31, 2015 remain subject to examination by U.S. federal, state, and local tax authorities. No interest expense or penalties have been assessed for the three and nine months ended September 30, 2018 and September 30, 2017. If the Company was required to recognize interest and penalties, if any, related to unrecognized tax benefits this would be recognized as income tax expense in the consolidated statements of operations.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U.S. federal income tax purposes, as of September 30, 2018, the aggregate net unrealized appreciation for all securities was $27.4 million. As of September 30, 2018, gross unrealized appreciation was $63.7 million and gross unrealized depreciation was $36.3 million. The aggregate cost of securities for U.S. federal income tax purposes was $412.0 million as of September 30, 2018. For U.S. federal income tax purposes, as of December 31, 2017, the aggregate net unrealized appreciation for all securities was $34.9 million. As of December 31, 2017, gross unrealized appreciation was $81.4 million and gross unrealized depreciation was $46.5 million. The aggregate cost of securities for U.S. federal income tax purposes was $465.0 million as of December 31, 2017.</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September 30, 2018 and December 31, 2017, the Company recorded a net deferred tax liability of $0.1 million and $1.3 million, respectively. For the three months ended September 30, 2018, the Company recorded a tax provision of $(0.1) million. For the nine months ended September 30, 2018, the Company recorded a tax benefit of $1.2 million. For the three and nine months ended September 30, 2017, the Company recorded a tax provision of $(2.7) million.</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For income tax purposes, the Company has paid distributions on its common stock from ordinary income in the amount of $6.1 million, $25.2 million, $24.5 million, and $25.1 million during the tax years ended December 31, 2017, August 31, 2017, August 31, 2016 and August 31, 2015, respectively.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2018 and December 31, 2017,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76" w:lineRule="auto"/>
        <w:rPr>
          <w:sz w:val="20"/>
          <w:szCs w:val="20"/>
          <w:color w:val="auto"/>
        </w:rPr>
      </w:pPr>
      <w:r>
        <w:rPr>
          <w:rFonts w:ascii="Arial" w:cs="Arial" w:eastAsia="Arial" w:hAnsi="Arial"/>
          <w:sz w:val="17"/>
          <w:szCs w:val="17"/>
          <w:color w:val="auto"/>
        </w:rPr>
        <w:t>On December 22, 2017, the United States enacted tax reform legislation through the Tax Cuts and Jobs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25%. This estimate incorporates assumptions made based on the Taxable Subsidiaries’ current interpretation of the Tax Cut and Jobs Act and may change, possibly materially, as we complete our analysis and receive additional clarification and implementation guidance.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2018, the SEC adopted amendments (the “Amendments”) to certain disclosure requirements that have become redundant, duplicative, overlapping, outdated, or superseded, in light of other SEC disclosure requirements, U.S. GAAP requirements, or changes in the information environment. In part, the Amendments require an investment company to present distributable earnings in total, rather than showing the three components of distributable earnings. The compliance date for the Amendments is for all filings on or after November 5, 2018. Management has adopted the Amendments and included the required disclosures in the Company’s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9" w:name="page30"/>
    <w:bookmarkEnd w:id="29"/>
    <w:p>
      <w:pPr>
        <w:jc w:val="both"/>
        <w:ind w:firstLine="648"/>
        <w:spacing w:after="0" w:line="269" w:lineRule="auto"/>
        <w:rPr>
          <w:sz w:val="20"/>
          <w:szCs w:val="20"/>
          <w:color w:val="auto"/>
        </w:rPr>
      </w:pPr>
      <w:r>
        <w:rPr>
          <w:rFonts w:ascii="Arial" w:cs="Arial" w:eastAsia="Arial" w:hAnsi="Arial"/>
          <w:sz w:val="17"/>
          <w:szCs w:val="17"/>
          <w:color w:val="auto"/>
        </w:rPr>
        <w:t>In May 2014, the FASB issued Accounting Standards Update 2014-09, Revenue from Contracts with Customers (ASC Topic 606) (“ASU 2014-09”). ASU 2014-09 supersedes the revenue recognition requirements under ASC Topic 605, Revenue Recognition, and most industry-specific guidance throughout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The new guidance significantly enhances comparability of revenue recognition practices across entities, industries, jurisdictions and capital markets. Additionally, the guidance requires improved disclosures as to the nature, amount, timing and uncertainty of revenue that is recognized. The new guidance became effective for the annual reporting period beginning January 1, 2018, including interim periods within that reporting period. The Company completed its assessment in evaluating the potential impact on its consolidated financial statements and based on its assessment, determined that its financial contracts are excluded from the scope of ASU 2014-09. As a result of the scope exception for financial contracts, the Company’s management has determined that there will be no material changes to the recognition timing and classification of revenues and expenses; additionally, the Company’s management determined that the adoption of ASU 2014-09 does not have a significant impact on its consolidated financial statement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Most of the Company’s debt investments are coupled with equity interests, whether in the form of detachable “penny” warrants or equity co-investments made pari-passu with our borrowers’ financial sponsors. As of September 30, 2018, our portfolio consisted of investments in 42 portfolio companies with a fair value of approximately $439.4 million.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September 30, 2018, 9.8% of the fair value of our first lien loans consisted of last-out loans. As of December 31, 2017, 13.7%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September 30, 2018, the Company made approximately $19.9 million of investments and had approximately $42.6 million in repayments and sales, resulting in net repayments and sales of approximately $22.7 million for the period. During the three months ended September 30, 2017, the Company made approximately $11.4 million of investments and had approximately $22.4 million in repayments and sales, resulting in net repayments and sales of approximately $11.0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2018, the Company made approximately $58.9 million of investments and had approximately $96.3 million in repayments and sales, resulting in net repayments and sales of approximately $37.4 million for the period. During the nine months ended September 30, 2017, the Company made approximately $39.7 million of investments and had approximately $104.7 million in repayments and sales, resulting in net repayments and sales of approximately $65.0 million for the period.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three and nine months ended September 30, 2018, the Company funded $1.1 million and $6.3 million, respectively, of previously committed capital to existing portfolio companies. During the three and nine months ended September 30, 2018, the Company funded $18.8 million and $52.6 million, respectively, of investments in portfolio companies for which it was not previously committed to fund. During the three and nine months ended September 30, 2017, the Company funded $0.4 million and $0.7 million, respectively, of previously committed capital to existing portfolio companies. During the three and nine months ended September 30, 2017, the Company funded $11.0 million and $21.7 million, respectively, of investments in portfolio companies for which it was not previously committed to fund.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and nine months ended September 30, 2018, and September 30, 2017, the Company did not lead any syndicates and did not assist any portfolio companies in obtaining indirect financing.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Written Call Option granted FSC II the right to purchase up to 31.25% of the Company’s equity investment in Eastport Holdings, LLC. The Written Call Option had a strike price of $1.5 million and a termination date of August 31, 2018. On August 27, 2018, FSC II exercised its option at a strike price of $1.5 million. The fair value of the Written Call Option, which has been treated as a derivative liability and is recorded in the financial statement line item Written Call Option at fair value in the Company’s consolidated statements of assets and liabilities, was approximately $0.0 million and $6.8 million as of September 30, 2018 and December 31, 2017, respectively. For purposes of determining the fair value of the Written Call Option, the Company calculated the difference in the fair value of the underlying equity investment in Eastport Holdings, LLC and the strike price of the Written Call Option, or intrinsic value. The Written Call Option was classified as a Level 3 financial instrument.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September 30, 2018,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244,792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224,703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33,017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32,148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79,966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80,339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18.3</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53,882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102,231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23.3</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2017,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32,465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30,794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120,235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103,385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20.7</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55,180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122,271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24.5</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789"/>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640"/>
        <w:spacing w:after="0"/>
        <w:rPr>
          <w:rFonts w:ascii="Arial" w:cs="Arial" w:eastAsia="Arial" w:hAnsi="Arial"/>
          <w:sz w:val="17"/>
          <w:szCs w:val="17"/>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September 30, 2018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224,703</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32,148</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80,339</w:t>
            </w:r>
          </w:p>
        </w:tc>
        <w:tc>
          <w:tcPr>
            <w:tcW w:w="120" w:type="dxa"/>
            <w:vAlign w:val="bottom"/>
            <w:shd w:val="clear" w:color="auto" w:fill="CCEEFF"/>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102,231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102,231</w:t>
            </w:r>
          </w:p>
        </w:tc>
        <w:tc>
          <w:tcPr>
            <w:tcW w:w="120" w:type="dxa"/>
            <w:vAlign w:val="bottom"/>
            <w:tcBorders>
              <w:bottom w:val="single" w:sz="8" w:color="CCEEFF"/>
            </w:tcBorders>
          </w:tcPr>
          <w:p>
            <w:pPr>
              <w:spacing w:after="0"/>
              <w:rPr>
                <w:sz w:val="19"/>
                <w:szCs w:val="19"/>
                <w:color w:val="auto"/>
              </w:rPr>
            </w:pP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2017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120" w:type="dxa"/>
            <w:vAlign w:val="bottom"/>
            <w:shd w:val="clear" w:color="auto" w:fill="CCEEFF"/>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120" w:type="dxa"/>
            <w:vAlign w:val="bottom"/>
            <w:tcBorders>
              <w:bottom w:val="single" w:sz="8" w:color="CCEEFF"/>
            </w:tcBorders>
          </w:tcPr>
          <w:p>
            <w:pPr>
              <w:spacing w:after="0"/>
              <w:rPr>
                <w:sz w:val="19"/>
                <w:szCs w:val="19"/>
                <w:color w:val="auto"/>
              </w:rPr>
            </w:pP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90"/>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December 31, 2017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71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nine months ended September 30,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First Lien</w:t>
            </w: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Second Lien</w:t>
            </w:r>
          </w:p>
        </w:tc>
        <w:tc>
          <w:tcPr>
            <w:tcW w:w="1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Subordinated</w:t>
            </w:r>
          </w:p>
        </w:tc>
        <w:tc>
          <w:tcPr>
            <w:tcW w:w="16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Equity</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Debt</w:t>
            </w:r>
          </w:p>
        </w:tc>
        <w:tc>
          <w:tcPr>
            <w:tcW w:w="12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and Warrants</w:t>
            </w:r>
          </w:p>
        </w:tc>
        <w:tc>
          <w:tcPr>
            <w:tcW w:w="34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17,494</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(20,806)</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3,312</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(79,550)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(16,478)</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(96,260)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57,814</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58,907</w:t>
            </w: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Payment in-kind interest and</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(9,844)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(20,499)</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(20,179)</w:t>
            </w: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Net unrealized appreciation</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880" w:type="dxa"/>
            <w:vAlign w:val="bottom"/>
          </w:tcPr>
          <w:p>
            <w:pPr>
              <w:ind w:left="180"/>
              <w:spacing w:after="0"/>
              <w:rPr>
                <w:sz w:val="20"/>
                <w:szCs w:val="20"/>
                <w:color w:val="auto"/>
              </w:rPr>
            </w:pPr>
            <w:r>
              <w:rPr>
                <w:rFonts w:ascii="Arial" w:cs="Arial" w:eastAsia="Arial" w:hAnsi="Arial"/>
                <w:sz w:val="18"/>
                <w:szCs w:val="18"/>
                <w:color w:val="auto"/>
              </w:rPr>
              <w:t>(depreciation) on investments</w:t>
            </w:r>
          </w:p>
        </w:tc>
        <w:tc>
          <w:tcPr>
            <w:tcW w:w="24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(6,433)</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17,225</w:t>
            </w:r>
          </w:p>
        </w:tc>
        <w:tc>
          <w:tcPr>
            <w:tcW w:w="16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(18,744)</w:t>
            </w:r>
          </w:p>
        </w:tc>
        <w:tc>
          <w:tcPr>
            <w:tcW w:w="3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(7,148)</w:t>
            </w:r>
          </w:p>
        </w:tc>
      </w:tr>
      <w:tr>
        <w:trPr>
          <w:trHeight w:val="223"/>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2018</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2" w:name="page33"/>
    <w:bookmarkEnd w:id="32"/>
    <w:p>
      <w:pPr>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uses Level 3 inputs for the nine months ended September 30, 2018 (dollars in thousands):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Payment from Written Call Option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Net unrealized appreciation on Written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-107315</wp:posOffset>
            </wp:positionV>
            <wp:extent cx="579755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September 30, 2018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218"/>
        <w:spacing w:after="0"/>
        <w:rPr>
          <w:sz w:val="20"/>
          <w:szCs w:val="20"/>
          <w:color w:val="auto"/>
        </w:rPr>
      </w:pPr>
      <w:r>
        <w:rPr>
          <w:rFonts w:ascii="Arial" w:cs="Arial" w:eastAsia="Arial" w:hAnsi="Arial"/>
          <w:sz w:val="18"/>
          <w:szCs w:val="18"/>
          <w:b w:val="1"/>
          <w:bCs w:val="1"/>
          <w:color w:val="auto"/>
        </w:rPr>
        <w:t>Written</w:t>
      </w:r>
    </w:p>
    <w:p>
      <w:pPr>
        <w:spacing w:after="0" w:line="27" w:lineRule="exact"/>
        <w:rPr>
          <w:sz w:val="20"/>
          <w:szCs w:val="20"/>
          <w:color w:val="auto"/>
        </w:rPr>
      </w:pPr>
    </w:p>
    <w:p>
      <w:pPr>
        <w:jc w:val="center"/>
        <w:ind w:right="1218"/>
        <w:spacing w:after="0"/>
        <w:rPr>
          <w:sz w:val="20"/>
          <w:szCs w:val="20"/>
          <w:color w:val="auto"/>
        </w:rPr>
      </w:pPr>
      <w:r>
        <w:rPr>
          <w:rFonts w:ascii="Arial" w:cs="Arial" w:eastAsia="Arial" w:hAnsi="Arial"/>
          <w:sz w:val="18"/>
          <w:szCs w:val="18"/>
          <w:b w:val="1"/>
          <w:bCs w:val="1"/>
          <w:u w:val="single" w:color="auto"/>
          <w:color w:val="auto"/>
        </w:rPr>
        <w:t>Call Option</w:t>
      </w:r>
    </w:p>
    <w:p>
      <w:pPr>
        <w:spacing w:after="0" w:line="9" w:lineRule="exact"/>
        <w:rPr>
          <w:sz w:val="20"/>
          <w:szCs w:val="20"/>
          <w:color w:val="auto"/>
        </w:rPr>
      </w:pPr>
    </w:p>
    <w:p>
      <w:pPr>
        <w:ind w:left="542" w:hanging="542"/>
        <w:spacing w:after="0"/>
        <w:tabs>
          <w:tab w:leader="none" w:pos="542" w:val="left"/>
        </w:tabs>
        <w:numPr>
          <w:ilvl w:val="0"/>
          <w:numId w:val="5"/>
        </w:numPr>
        <w:rPr>
          <w:rFonts w:ascii="Arial" w:cs="Arial" w:eastAsia="Arial" w:hAnsi="Arial"/>
          <w:sz w:val="16"/>
          <w:szCs w:val="16"/>
          <w:color w:val="auto"/>
        </w:rPr>
      </w:pPr>
      <w:r>
        <w:rPr>
          <w:rFonts w:ascii="Arial" w:cs="Arial" w:eastAsia="Arial" w:hAnsi="Arial"/>
          <w:sz w:val="16"/>
          <w:szCs w:val="16"/>
          <w:color w:val="auto"/>
        </w:rPr>
        <w:t>(6,815)</w:t>
      </w:r>
    </w:p>
    <w:p>
      <w:pPr>
        <w:spacing w:after="0" w:line="45" w:lineRule="exact"/>
        <w:rPr>
          <w:rFonts w:ascii="Arial" w:cs="Arial" w:eastAsia="Arial" w:hAnsi="Arial"/>
          <w:sz w:val="16"/>
          <w:szCs w:val="16"/>
          <w:color w:val="auto"/>
        </w:rPr>
      </w:pPr>
    </w:p>
    <w:p>
      <w:pPr>
        <w:ind w:left="822"/>
        <w:spacing w:after="0"/>
        <w:rPr>
          <w:rFonts w:ascii="Arial" w:cs="Arial" w:eastAsia="Arial" w:hAnsi="Arial"/>
          <w:sz w:val="16"/>
          <w:szCs w:val="16"/>
          <w:color w:val="auto"/>
        </w:rPr>
      </w:pPr>
      <w:r>
        <w:rPr>
          <w:rFonts w:ascii="Arial" w:cs="Arial" w:eastAsia="Arial" w:hAnsi="Arial"/>
          <w:sz w:val="18"/>
          <w:szCs w:val="18"/>
          <w:color w:val="auto"/>
        </w:rPr>
        <w:t>20</w:t>
      </w:r>
    </w:p>
    <w:p>
      <w:pPr>
        <w:spacing w:after="0" w:line="49" w:lineRule="exact"/>
        <w:rPr>
          <w:sz w:val="20"/>
          <w:szCs w:val="20"/>
          <w:color w:val="auto"/>
        </w:rPr>
      </w:pPr>
    </w:p>
    <w:p>
      <w:pPr>
        <w:ind w:left="602"/>
        <w:spacing w:after="0"/>
        <w:rPr>
          <w:sz w:val="20"/>
          <w:szCs w:val="20"/>
          <w:color w:val="auto"/>
        </w:rPr>
      </w:pPr>
      <w:r>
        <w:rPr>
          <w:rFonts w:ascii="Arial" w:cs="Arial" w:eastAsia="Arial" w:hAnsi="Arial"/>
          <w:sz w:val="18"/>
          <w:szCs w:val="18"/>
          <w:color w:val="auto"/>
        </w:rPr>
        <w:t>6,795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343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6" w:lineRule="exact"/>
        <w:rPr>
          <w:sz w:val="20"/>
          <w:szCs w:val="20"/>
          <w:color w:val="auto"/>
        </w:rPr>
      </w:pPr>
    </w:p>
    <w:p>
      <w:pPr>
        <w:ind w:left="822" w:hanging="822"/>
        <w:spacing w:after="0"/>
        <w:tabs>
          <w:tab w:leader="none" w:pos="82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343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6343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78" w:space="720"/>
            <w:col w:w="2222"/>
          </w:cols>
          <w:pgMar w:left="240" w:top="908" w:right="239" w:bottom="1440" w:gutter="0" w:footer="0" w:header="0"/>
          <w:type w:val="continuous"/>
        </w:sectPr>
      </w:pP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First Lien</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and 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13,659</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(21,798)</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(45,804)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(104,709)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31,308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3,200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39,690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(7,119)</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1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1,564</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(15,524)</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9,402</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(11,471)</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uses Level 3 inputs for the nine months ended September 30, 2017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40" w:type="dxa"/>
            <w:vAlign w:val="bottom"/>
            <w:gridSpan w:val="4"/>
          </w:tcPr>
          <w:p>
            <w:pPr>
              <w:ind w:left="1900"/>
              <w:spacing w:after="0"/>
              <w:rPr>
                <w:sz w:val="20"/>
                <w:szCs w:val="20"/>
                <w:color w:val="auto"/>
              </w:rPr>
            </w:pPr>
            <w:r>
              <w:rPr>
                <w:rFonts w:ascii="Arial" w:cs="Arial" w:eastAsia="Arial" w:hAnsi="Arial"/>
                <w:sz w:val="18"/>
                <w:szCs w:val="18"/>
                <w:b w:val="1"/>
                <w:bCs w:val="1"/>
                <w:color w:val="auto"/>
                <w:w w:val="99"/>
              </w:rPr>
              <w:t>Written Call Option</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7"/>
              </w:rPr>
              <w:t>(2,736)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w w:val="91"/>
              </w:rPr>
              <w:t>(2,819)</w:t>
            </w: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6"/>
              </w:rPr>
              <w:t>(5,555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net change in unrealized depreciation on investments held as of September 30, 2018 and September 30, 2017, was $(28.9) million and $(14.0) million, respectively, and is included in net unrealized depreciation on investments in the consolidated statements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3" w:name="page34"/>
    <w:bookmarkEnd w:id="33"/>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of assets and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Fair Value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ind w:left="72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(in millions)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ind w:left="70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2160" w:type="dxa"/>
            <w:vAlign w:val="bottom"/>
          </w:tcPr>
          <w:p>
            <w:pPr>
              <w:ind w:left="60"/>
              <w:spacing w:after="0"/>
              <w:rPr>
                <w:sz w:val="20"/>
                <w:szCs w:val="20"/>
                <w:color w:val="auto"/>
              </w:rPr>
            </w:pPr>
            <w:r>
              <w:rPr>
                <w:rFonts w:ascii="Arial" w:cs="Arial" w:eastAsia="Arial" w:hAnsi="Arial"/>
                <w:sz w:val="18"/>
                <w:szCs w:val="18"/>
                <w:b w:val="1"/>
                <w:bCs w:val="1"/>
                <w:color w:val="auto"/>
                <w:w w:val="90"/>
              </w:rPr>
              <w:t>Range (Weighted Average)</w:t>
            </w:r>
          </w:p>
        </w:tc>
      </w:tr>
      <w:tr>
        <w:trPr>
          <w:trHeight w:val="195"/>
        </w:trPr>
        <w:tc>
          <w:tcPr>
            <w:tcW w:w="19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4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390"/>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186.9</w:t>
            </w:r>
          </w:p>
        </w:tc>
        <w:tc>
          <w:tcPr>
            <w:tcW w:w="2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9.3% – 16.0% (12.4%)</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1.2x – 8.5x (4.0x)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6"/>
              </w:rPr>
              <w:t>$1.8 million – $117.2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($24.3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37.8</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5.3x – 6.8x (5.9x)</w:t>
            </w:r>
          </w:p>
        </w:tc>
      </w:tr>
      <w:tr>
        <w:trPr>
          <w:trHeight w:val="217"/>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$0.3 million – $2.7 million</w:t>
            </w:r>
          </w:p>
        </w:tc>
      </w:tr>
      <w:tr>
        <w:trPr>
          <w:trHeight w:val="215"/>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($1.5 million)</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2160" w:type="dxa"/>
            <w:vAlign w:val="bottom"/>
          </w:tcPr>
          <w:p>
            <w:pPr>
              <w:spacing w:after="0"/>
              <w:rPr>
                <w:sz w:val="20"/>
                <w:szCs w:val="20"/>
                <w:color w:val="auto"/>
              </w:rPr>
            </w:pPr>
            <w:r>
              <w:rPr>
                <w:rFonts w:ascii="Arial" w:cs="Arial" w:eastAsia="Arial" w:hAnsi="Arial"/>
                <w:sz w:val="18"/>
                <w:szCs w:val="18"/>
                <w:color w:val="auto"/>
              </w:rPr>
              <w:t>1.0x – 1.0x (1.0x)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tcPr>
          <w:p>
            <w:pPr>
              <w:spacing w:after="0"/>
              <w:rPr>
                <w:sz w:val="20"/>
                <w:szCs w:val="20"/>
                <w:color w:val="auto"/>
              </w:rPr>
            </w:pPr>
            <w:r>
              <w:rPr>
                <w:rFonts w:ascii="Arial" w:cs="Arial" w:eastAsia="Arial" w:hAnsi="Arial"/>
                <w:sz w:val="18"/>
                <w:szCs w:val="18"/>
                <w:color w:val="auto"/>
                <w:w w:val="96"/>
              </w:rPr>
              <w:t>$12.8 million – $12.8 million</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($12.8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15.8</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12.5% – 18.1% (16.3%)</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4.5x – 5.1x (4.7x)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6"/>
              </w:rPr>
              <w:t>$67.6 million – $80.9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($76.8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Second lien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16.3</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6.0x – 6.0x (6.0x)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and Asset</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$8.4 million – $8.4 million</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($8.4 million)</w:t>
            </w:r>
          </w:p>
        </w:tc>
      </w:tr>
      <w:tr>
        <w:trPr>
          <w:trHeight w:val="202"/>
        </w:trPr>
        <w:tc>
          <w:tcPr>
            <w:tcW w:w="194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Subordinated debt</w:t>
            </w:r>
          </w:p>
        </w:tc>
        <w:tc>
          <w:tcPr>
            <w:tcW w:w="2060" w:type="dxa"/>
            <w:vAlign w:val="bottom"/>
            <w:gridSpan w:val="2"/>
            <w:shd w:val="clear" w:color="auto" w:fill="CCEC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CFF"/>
          </w:tcPr>
          <w:p>
            <w:pPr>
              <w:jc w:val="right"/>
              <w:ind w:right="220"/>
              <w:spacing w:after="0" w:line="201" w:lineRule="exact"/>
              <w:rPr>
                <w:sz w:val="20"/>
                <w:szCs w:val="20"/>
                <w:color w:val="auto"/>
              </w:rPr>
            </w:pPr>
            <w:r>
              <w:rPr>
                <w:rFonts w:ascii="Arial" w:cs="Arial" w:eastAsia="Arial" w:hAnsi="Arial"/>
                <w:sz w:val="18"/>
                <w:szCs w:val="18"/>
                <w:color w:val="auto"/>
              </w:rPr>
              <w:t>56.5</w:t>
            </w:r>
          </w:p>
        </w:tc>
        <w:tc>
          <w:tcPr>
            <w:tcW w:w="216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shd w:val="clear" w:color="auto" w:fill="CCEC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216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11.5% – 20.0% (14.3%)</w:t>
            </w:r>
          </w:p>
        </w:tc>
      </w:tr>
      <w:tr>
        <w:trPr>
          <w:trHeight w:val="216"/>
        </w:trPr>
        <w:tc>
          <w:tcPr>
            <w:tcW w:w="194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5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160" w:type="dxa"/>
            <w:vAlign w:val="bottom"/>
            <w:shd w:val="clear" w:color="auto" w:fill="CCECFF"/>
          </w:tcPr>
          <w:p>
            <w:pPr>
              <w:spacing w:after="0"/>
              <w:rPr>
                <w:sz w:val="18"/>
                <w:szCs w:val="18"/>
                <w:color w:val="auto"/>
              </w:rPr>
            </w:pPr>
          </w:p>
        </w:tc>
        <w:tc>
          <w:tcPr>
            <w:tcW w:w="2380" w:type="dxa"/>
            <w:vAlign w:val="bottom"/>
            <w:gridSpan w:val="3"/>
            <w:shd w:val="clear" w:color="auto" w:fill="CCEC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CFF"/>
          </w:tcPr>
          <w:p>
            <w:pPr>
              <w:spacing w:after="0"/>
              <w:rPr>
                <w:sz w:val="20"/>
                <w:szCs w:val="20"/>
                <w:color w:val="auto"/>
              </w:rPr>
            </w:pPr>
            <w:r>
              <w:rPr>
                <w:rFonts w:ascii="Arial" w:cs="Arial" w:eastAsia="Arial" w:hAnsi="Arial"/>
                <w:sz w:val="18"/>
                <w:szCs w:val="18"/>
                <w:color w:val="auto"/>
              </w:rPr>
              <w:t>3.1x – 8.8x (5.5x)</w:t>
            </w:r>
          </w:p>
        </w:tc>
      </w:tr>
      <w:tr>
        <w:trPr>
          <w:trHeight w:val="216"/>
        </w:trPr>
        <w:tc>
          <w:tcPr>
            <w:tcW w:w="194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5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160" w:type="dxa"/>
            <w:vAlign w:val="bottom"/>
            <w:shd w:val="clear" w:color="auto" w:fill="CCECFF"/>
          </w:tcPr>
          <w:p>
            <w:pPr>
              <w:spacing w:after="0"/>
              <w:rPr>
                <w:sz w:val="18"/>
                <w:szCs w:val="18"/>
                <w:color w:val="auto"/>
              </w:rPr>
            </w:pPr>
          </w:p>
        </w:tc>
        <w:tc>
          <w:tcPr>
            <w:tcW w:w="2380" w:type="dxa"/>
            <w:vAlign w:val="bottom"/>
            <w:gridSpan w:val="3"/>
            <w:shd w:val="clear" w:color="auto" w:fill="CCEC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CFF"/>
          </w:tcPr>
          <w:p>
            <w:pPr>
              <w:spacing w:after="0"/>
              <w:rPr>
                <w:sz w:val="20"/>
                <w:szCs w:val="20"/>
                <w:color w:val="auto"/>
              </w:rPr>
            </w:pPr>
            <w:r>
              <w:rPr>
                <w:rFonts w:ascii="Arial" w:cs="Arial" w:eastAsia="Arial" w:hAnsi="Arial"/>
                <w:sz w:val="18"/>
                <w:szCs w:val="18"/>
                <w:color w:val="auto"/>
              </w:rPr>
              <w:t>$1.7 million – $16.4 million</w:t>
            </w:r>
          </w:p>
        </w:tc>
      </w:tr>
      <w:tr>
        <w:trPr>
          <w:trHeight w:val="230"/>
        </w:trPr>
        <w:tc>
          <w:tcPr>
            <w:tcW w:w="194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580" w:type="dxa"/>
            <w:vAlign w:val="bottom"/>
            <w:shd w:val="clear" w:color="auto" w:fill="CCECFF"/>
          </w:tcPr>
          <w:p>
            <w:pPr>
              <w:spacing w:after="0"/>
              <w:rPr>
                <w:sz w:val="20"/>
                <w:szCs w:val="20"/>
                <w:color w:val="auto"/>
              </w:rPr>
            </w:pPr>
          </w:p>
        </w:tc>
        <w:tc>
          <w:tcPr>
            <w:tcW w:w="5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1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21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160" w:type="dxa"/>
            <w:vAlign w:val="bottom"/>
            <w:shd w:val="clear" w:color="auto" w:fill="CCECFF"/>
          </w:tcPr>
          <w:p>
            <w:pPr>
              <w:spacing w:after="0"/>
              <w:rPr>
                <w:sz w:val="20"/>
                <w:szCs w:val="20"/>
                <w:color w:val="auto"/>
              </w:rPr>
            </w:pPr>
            <w:r>
              <w:rPr>
                <w:rFonts w:ascii="Arial" w:cs="Arial" w:eastAsia="Arial" w:hAnsi="Arial"/>
                <w:sz w:val="18"/>
                <w:szCs w:val="18"/>
                <w:color w:val="auto"/>
              </w:rPr>
              <w:t>($11.3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23.8</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5.8x – 6.0x (5.8x)</w:t>
            </w:r>
          </w:p>
        </w:tc>
      </w:tr>
      <w:tr>
        <w:trPr>
          <w:trHeight w:val="217"/>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$1.8 million – $2.7 million</w:t>
            </w:r>
          </w:p>
        </w:tc>
      </w:tr>
      <w:tr>
        <w:trPr>
          <w:trHeight w:val="215"/>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($2.6 million)</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2160" w:type="dxa"/>
            <w:vAlign w:val="bottom"/>
          </w:tcPr>
          <w:p>
            <w:pPr>
              <w:spacing w:after="0"/>
              <w:rPr>
                <w:sz w:val="20"/>
                <w:szCs w:val="20"/>
                <w:color w:val="auto"/>
              </w:rPr>
            </w:pPr>
            <w:r>
              <w:rPr>
                <w:rFonts w:ascii="Arial" w:cs="Arial" w:eastAsia="Arial" w:hAnsi="Arial"/>
                <w:sz w:val="18"/>
                <w:szCs w:val="18"/>
                <w:color w:val="auto"/>
              </w:rPr>
              <w:t>0.4x – 0.4x (0.4x)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tcPr>
          <w:p>
            <w:pPr>
              <w:spacing w:after="0"/>
              <w:rPr>
                <w:sz w:val="20"/>
                <w:szCs w:val="20"/>
                <w:color w:val="auto"/>
              </w:rPr>
            </w:pPr>
            <w:r>
              <w:rPr>
                <w:rFonts w:ascii="Arial" w:cs="Arial" w:eastAsia="Arial" w:hAnsi="Arial"/>
                <w:sz w:val="18"/>
                <w:szCs w:val="18"/>
                <w:color w:val="auto"/>
              </w:rPr>
              <w:t>$553.5 million – $553.5</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million ($553.5 million)</w:t>
            </w:r>
          </w:p>
        </w:tc>
      </w:tr>
      <w:tr>
        <w:trPr>
          <w:trHeight w:val="202"/>
        </w:trPr>
        <w:tc>
          <w:tcPr>
            <w:tcW w:w="194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Equity and warrants</w:t>
            </w:r>
          </w:p>
        </w:tc>
        <w:tc>
          <w:tcPr>
            <w:tcW w:w="2060" w:type="dxa"/>
            <w:vAlign w:val="bottom"/>
            <w:gridSpan w:val="2"/>
            <w:shd w:val="clear" w:color="auto" w:fill="CCEC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CFF"/>
          </w:tcPr>
          <w:p>
            <w:pPr>
              <w:jc w:val="right"/>
              <w:ind w:right="220"/>
              <w:spacing w:after="0" w:line="201" w:lineRule="exact"/>
              <w:rPr>
                <w:sz w:val="20"/>
                <w:szCs w:val="20"/>
                <w:color w:val="auto"/>
              </w:rPr>
            </w:pPr>
            <w:r>
              <w:rPr>
                <w:rFonts w:ascii="Arial" w:cs="Arial" w:eastAsia="Arial" w:hAnsi="Arial"/>
                <w:sz w:val="18"/>
                <w:szCs w:val="18"/>
                <w:color w:val="auto"/>
              </w:rPr>
              <w:t>102.2</w:t>
            </w:r>
          </w:p>
        </w:tc>
        <w:tc>
          <w:tcPr>
            <w:tcW w:w="216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shd w:val="clear" w:color="auto" w:fill="CCEC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3.3x – 15.0x (6.7x)</w:t>
            </w:r>
          </w:p>
        </w:tc>
      </w:tr>
      <w:tr>
        <w:trPr>
          <w:trHeight w:val="216"/>
        </w:trPr>
        <w:tc>
          <w:tcPr>
            <w:tcW w:w="194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5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160" w:type="dxa"/>
            <w:vAlign w:val="bottom"/>
            <w:shd w:val="clear" w:color="auto" w:fill="CCECFF"/>
          </w:tcPr>
          <w:p>
            <w:pPr>
              <w:spacing w:after="0"/>
              <w:rPr>
                <w:sz w:val="18"/>
                <w:szCs w:val="18"/>
                <w:color w:val="auto"/>
              </w:rPr>
            </w:pPr>
          </w:p>
        </w:tc>
        <w:tc>
          <w:tcPr>
            <w:tcW w:w="2380" w:type="dxa"/>
            <w:vAlign w:val="bottom"/>
            <w:gridSpan w:val="3"/>
            <w:shd w:val="clear" w:color="auto" w:fill="CCEC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CFF"/>
          </w:tcPr>
          <w:p>
            <w:pPr>
              <w:spacing w:after="0"/>
              <w:rPr>
                <w:sz w:val="20"/>
                <w:szCs w:val="20"/>
                <w:color w:val="auto"/>
              </w:rPr>
            </w:pPr>
            <w:r>
              <w:rPr>
                <w:rFonts w:ascii="Arial" w:cs="Arial" w:eastAsia="Arial" w:hAnsi="Arial"/>
                <w:sz w:val="18"/>
                <w:szCs w:val="18"/>
                <w:color w:val="auto"/>
                <w:w w:val="96"/>
              </w:rPr>
              <w:t>$0.3 million – $117.2 million</w:t>
            </w:r>
          </w:p>
        </w:tc>
      </w:tr>
      <w:tr>
        <w:trPr>
          <w:trHeight w:val="216"/>
        </w:trPr>
        <w:tc>
          <w:tcPr>
            <w:tcW w:w="194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5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160" w:type="dxa"/>
            <w:vAlign w:val="bottom"/>
            <w:shd w:val="clear" w:color="auto" w:fill="CCECFF"/>
          </w:tcPr>
          <w:p>
            <w:pPr>
              <w:spacing w:after="0"/>
              <w:rPr>
                <w:sz w:val="20"/>
                <w:szCs w:val="20"/>
                <w:color w:val="auto"/>
              </w:rPr>
            </w:pPr>
            <w:r>
              <w:rPr>
                <w:rFonts w:ascii="Arial" w:cs="Arial" w:eastAsia="Arial" w:hAnsi="Arial"/>
                <w:sz w:val="18"/>
                <w:szCs w:val="18"/>
                <w:color w:val="auto"/>
              </w:rPr>
              <w:t>($28.6 million)</w:t>
            </w:r>
          </w:p>
        </w:tc>
      </w:tr>
      <w:tr>
        <w:trPr>
          <w:trHeight w:val="216"/>
        </w:trPr>
        <w:tc>
          <w:tcPr>
            <w:tcW w:w="194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5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160" w:type="dxa"/>
            <w:vAlign w:val="bottom"/>
            <w:shd w:val="clear" w:color="auto" w:fill="CCECFF"/>
          </w:tcPr>
          <w:p>
            <w:pPr>
              <w:spacing w:after="0"/>
              <w:rPr>
                <w:sz w:val="18"/>
                <w:szCs w:val="18"/>
                <w:color w:val="auto"/>
              </w:rPr>
            </w:pPr>
          </w:p>
        </w:tc>
        <w:tc>
          <w:tcPr>
            <w:tcW w:w="2380" w:type="dxa"/>
            <w:vAlign w:val="bottom"/>
            <w:gridSpan w:val="3"/>
            <w:shd w:val="clear" w:color="auto" w:fill="CCECFF"/>
          </w:tcPr>
          <w:p>
            <w:pPr>
              <w:ind w:left="120"/>
              <w:spacing w:after="0"/>
              <w:rPr>
                <w:sz w:val="20"/>
                <w:szCs w:val="20"/>
                <w:color w:val="auto"/>
              </w:rPr>
            </w:pPr>
            <w:r>
              <w:rPr>
                <w:rFonts w:ascii="Arial" w:cs="Arial" w:eastAsia="Arial" w:hAnsi="Arial"/>
                <w:sz w:val="18"/>
                <w:szCs w:val="18"/>
                <w:color w:val="auto"/>
              </w:rPr>
              <w:t>Revenue Multiple</w:t>
            </w:r>
          </w:p>
        </w:tc>
        <w:tc>
          <w:tcPr>
            <w:tcW w:w="2160" w:type="dxa"/>
            <w:vAlign w:val="bottom"/>
            <w:shd w:val="clear" w:color="auto" w:fill="CCECFF"/>
          </w:tcPr>
          <w:p>
            <w:pPr>
              <w:spacing w:after="0"/>
              <w:rPr>
                <w:sz w:val="20"/>
                <w:szCs w:val="20"/>
                <w:color w:val="auto"/>
              </w:rPr>
            </w:pPr>
            <w:r>
              <w:rPr>
                <w:rFonts w:ascii="Arial" w:cs="Arial" w:eastAsia="Arial" w:hAnsi="Arial"/>
                <w:sz w:val="18"/>
                <w:szCs w:val="18"/>
                <w:color w:val="auto"/>
              </w:rPr>
              <w:t>0.4x – 0.5x (0.4x)</w:t>
            </w:r>
          </w:p>
        </w:tc>
      </w:tr>
      <w:tr>
        <w:trPr>
          <w:trHeight w:val="216"/>
        </w:trPr>
        <w:tc>
          <w:tcPr>
            <w:tcW w:w="194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5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160" w:type="dxa"/>
            <w:vAlign w:val="bottom"/>
            <w:shd w:val="clear" w:color="auto" w:fill="CCECFF"/>
          </w:tcPr>
          <w:p>
            <w:pPr>
              <w:spacing w:after="0"/>
              <w:rPr>
                <w:sz w:val="18"/>
                <w:szCs w:val="18"/>
                <w:color w:val="auto"/>
              </w:rPr>
            </w:pPr>
          </w:p>
        </w:tc>
        <w:tc>
          <w:tcPr>
            <w:tcW w:w="2380" w:type="dxa"/>
            <w:vAlign w:val="bottom"/>
            <w:gridSpan w:val="3"/>
            <w:shd w:val="clear" w:color="auto" w:fill="CCECFF"/>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CFF"/>
          </w:tcPr>
          <w:p>
            <w:pPr>
              <w:spacing w:after="0"/>
              <w:rPr>
                <w:sz w:val="20"/>
                <w:szCs w:val="20"/>
                <w:color w:val="auto"/>
              </w:rPr>
            </w:pPr>
            <w:r>
              <w:rPr>
                <w:rFonts w:ascii="Arial" w:cs="Arial" w:eastAsia="Arial" w:hAnsi="Arial"/>
                <w:sz w:val="18"/>
                <w:szCs w:val="18"/>
                <w:color w:val="auto"/>
              </w:rPr>
              <w:t>$164.9 million – $553.5</w:t>
            </w:r>
          </w:p>
        </w:tc>
      </w:tr>
      <w:tr>
        <w:trPr>
          <w:trHeight w:val="230"/>
        </w:trPr>
        <w:tc>
          <w:tcPr>
            <w:tcW w:w="194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580" w:type="dxa"/>
            <w:vAlign w:val="bottom"/>
            <w:shd w:val="clear" w:color="auto" w:fill="CCECFF"/>
          </w:tcPr>
          <w:p>
            <w:pPr>
              <w:spacing w:after="0"/>
              <w:rPr>
                <w:sz w:val="20"/>
                <w:szCs w:val="20"/>
                <w:color w:val="auto"/>
              </w:rPr>
            </w:pPr>
          </w:p>
        </w:tc>
        <w:tc>
          <w:tcPr>
            <w:tcW w:w="5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1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21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160" w:type="dxa"/>
            <w:vAlign w:val="bottom"/>
            <w:shd w:val="clear" w:color="auto" w:fill="CCECFF"/>
          </w:tcPr>
          <w:p>
            <w:pPr>
              <w:spacing w:after="0"/>
              <w:rPr>
                <w:sz w:val="20"/>
                <w:szCs w:val="20"/>
                <w:color w:val="auto"/>
              </w:rPr>
            </w:pPr>
            <w:r>
              <w:rPr>
                <w:rFonts w:ascii="Arial" w:cs="Arial" w:eastAsia="Arial" w:hAnsi="Arial"/>
                <w:sz w:val="18"/>
                <w:szCs w:val="18"/>
                <w:color w:val="auto"/>
              </w:rPr>
              <w:t>million ($431.2 million)</w:t>
            </w:r>
          </w:p>
        </w:tc>
      </w:tr>
      <w:tr>
        <w:trPr>
          <w:trHeight w:val="432"/>
        </w:trPr>
        <w:tc>
          <w:tcPr>
            <w:tcW w:w="9260" w:type="dxa"/>
            <w:vAlign w:val="bottom"/>
            <w:gridSpan w:val="9"/>
          </w:tcPr>
          <w:p>
            <w:pPr>
              <w:ind w:left="300"/>
              <w:spacing w:after="0"/>
              <w:rPr>
                <w:sz w:val="20"/>
                <w:szCs w:val="20"/>
                <w:color w:val="auto"/>
              </w:rPr>
            </w:pPr>
            <w:r>
              <w:rPr>
                <w:rFonts w:ascii="Arial" w:cs="Arial" w:eastAsia="Arial" w:hAnsi="Arial"/>
                <w:sz w:val="18"/>
                <w:szCs w:val="18"/>
                <w:color w:val="auto"/>
              </w:rPr>
              <w:t>(1) $0.7 million in subordinated debt and $6.0 million in first lien debt were valued using the asset approach.</w:t>
            </w:r>
          </w:p>
        </w:tc>
        <w:tc>
          <w:tcPr>
            <w:tcW w:w="2160" w:type="dxa"/>
            <w:vAlign w:val="bottom"/>
          </w:tcPr>
          <w:p>
            <w:pPr>
              <w:spacing w:after="0"/>
              <w:rPr>
                <w:sz w:val="24"/>
                <w:szCs w:val="24"/>
                <w:color w:val="auto"/>
              </w:rPr>
            </w:pPr>
          </w:p>
        </w:tc>
      </w:tr>
      <w:tr>
        <w:trPr>
          <w:trHeight w:val="418"/>
        </w:trPr>
        <w:tc>
          <w:tcPr>
            <w:tcW w:w="11420" w:type="dxa"/>
            <w:vAlign w:val="bottom"/>
            <w:gridSpan w:val="10"/>
          </w:tcPr>
          <w:p>
            <w:pPr>
              <w:ind w:left="660"/>
              <w:spacing w:after="0"/>
              <w:rPr>
                <w:sz w:val="20"/>
                <w:szCs w:val="20"/>
                <w:color w:val="auto"/>
              </w:rPr>
            </w:pPr>
            <w:r>
              <w:rPr>
                <w:rFonts w:ascii="Arial" w:cs="Arial" w:eastAsia="Arial" w:hAnsi="Arial"/>
                <w:sz w:val="18"/>
                <w:szCs w:val="18"/>
                <w:color w:val="auto"/>
                <w:w w:val="94"/>
              </w:rPr>
              <w:t>The valuation techniques and significant unobservable inputs used in recurring Level 3 fair value measurements of assets and (liabilities) as of</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December 31, 2017 were as follows: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4"/>
        </w:trPr>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Fair Value</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ind w:left="72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(in millions)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ind w:left="70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2160" w:type="dxa"/>
            <w:vAlign w:val="bottom"/>
          </w:tcPr>
          <w:p>
            <w:pPr>
              <w:ind w:left="60"/>
              <w:spacing w:after="0"/>
              <w:rPr>
                <w:sz w:val="20"/>
                <w:szCs w:val="20"/>
                <w:color w:val="auto"/>
              </w:rPr>
            </w:pPr>
            <w:r>
              <w:rPr>
                <w:rFonts w:ascii="Arial" w:cs="Arial" w:eastAsia="Arial" w:hAnsi="Arial"/>
                <w:sz w:val="18"/>
                <w:szCs w:val="18"/>
                <w:b w:val="1"/>
                <w:bCs w:val="1"/>
                <w:color w:val="auto"/>
                <w:w w:val="90"/>
              </w:rPr>
              <w:t>Range (Weighted Average)</w:t>
            </w:r>
          </w:p>
        </w:tc>
      </w:tr>
      <w:tr>
        <w:trPr>
          <w:trHeight w:val="195"/>
        </w:trPr>
        <w:tc>
          <w:tcPr>
            <w:tcW w:w="19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4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390"/>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211.2</w:t>
            </w:r>
          </w:p>
        </w:tc>
        <w:tc>
          <w:tcPr>
            <w:tcW w:w="2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8.6% – 21.2% (13.5%)</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1.7x – 7.0x (3.6x)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6"/>
              </w:rPr>
              <w:t>$1.8 million – $131.2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($21.1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32.3</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4.0x – 7.0x (5.5x)</w:t>
            </w:r>
          </w:p>
        </w:tc>
      </w:tr>
      <w:tr>
        <w:trPr>
          <w:trHeight w:val="217"/>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$2.1 million – $3.1 million</w:t>
            </w:r>
          </w:p>
        </w:tc>
      </w:tr>
      <w:tr>
        <w:trPr>
          <w:trHeight w:val="230"/>
        </w:trPr>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($2.6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30.8</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11.6% – 17.6% (14.4%)</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4.9x – 7.0x (6.0x)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$7.3 million – $78.5 million</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($41.1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64.4</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Income</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11.5% – 19.0% (14.2%)</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Leverage Ratio</w:t>
            </w:r>
          </w:p>
        </w:tc>
        <w:tc>
          <w:tcPr>
            <w:tcW w:w="2160" w:type="dxa"/>
            <w:vAlign w:val="bottom"/>
          </w:tcPr>
          <w:p>
            <w:pPr>
              <w:spacing w:after="0"/>
              <w:rPr>
                <w:sz w:val="20"/>
                <w:szCs w:val="20"/>
                <w:color w:val="auto"/>
              </w:rPr>
            </w:pPr>
            <w:r>
              <w:rPr>
                <w:rFonts w:ascii="Arial" w:cs="Arial" w:eastAsia="Arial" w:hAnsi="Arial"/>
                <w:sz w:val="18"/>
                <w:szCs w:val="18"/>
                <w:color w:val="auto"/>
              </w:rPr>
              <w:t>3.2x – 8.1x (5.6x)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$3.2 million – $15.1 million</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($9.7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39.0</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6.0x – 7.5x (7.2x)</w:t>
            </w:r>
          </w:p>
        </w:tc>
      </w:tr>
      <w:tr>
        <w:trPr>
          <w:trHeight w:val="217"/>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 xml:space="preserve">and Asset </w:t>
            </w:r>
            <w:r>
              <w:rPr>
                <w:rFonts w:ascii="Arial" w:cs="Arial" w:eastAsia="Arial" w:hAnsi="Arial"/>
                <w:sz w:val="25"/>
                <w:szCs w:val="25"/>
                <w:color w:val="auto"/>
                <w:vertAlign w:val="superscript"/>
              </w:rPr>
              <w:t>(1)</w:t>
            </w: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$1.8 million – $30.1 million</w:t>
            </w:r>
          </w:p>
        </w:tc>
      </w:tr>
      <w:tr>
        <w:trPr>
          <w:trHeight w:val="215"/>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($21.2 million)</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 Multiple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0.2x – 0.2x (0.2x)</w:t>
            </w:r>
          </w:p>
        </w:tc>
      </w:tr>
      <w:tr>
        <w:trPr>
          <w:trHeight w:val="216"/>
        </w:trPr>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$150.7 million – $150.7</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million ($150.7 million)</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Equity and warrants</w:t>
            </w:r>
          </w:p>
        </w:tc>
        <w:tc>
          <w:tcPr>
            <w:tcW w:w="2060" w:type="dxa"/>
            <w:vAlign w:val="bottom"/>
            <w:gridSpan w:val="2"/>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122.3</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3.5x – 14.5x (7.9x)</w:t>
            </w:r>
          </w:p>
        </w:tc>
      </w:t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tcPr>
          <w:p>
            <w:pPr>
              <w:spacing w:after="0"/>
              <w:rPr>
                <w:sz w:val="20"/>
                <w:szCs w:val="20"/>
                <w:color w:val="auto"/>
              </w:rPr>
            </w:pPr>
            <w:r>
              <w:rPr>
                <w:rFonts w:ascii="Arial" w:cs="Arial" w:eastAsia="Arial" w:hAnsi="Arial"/>
                <w:sz w:val="18"/>
                <w:szCs w:val="18"/>
                <w:color w:val="auto"/>
              </w:rPr>
              <w:t>$1.8 million – $77.6 million</w:t>
            </w:r>
          </w:p>
        </w:tc>
      </w:tr>
      <w:tr>
        <w:trPr>
          <w:trHeight w:val="230"/>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($24.3 million)</w:t>
            </w: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Written Call Option</w:t>
            </w:r>
          </w:p>
        </w:tc>
        <w:tc>
          <w:tcPr>
            <w:tcW w:w="2060" w:type="dxa"/>
            <w:vAlign w:val="bottom"/>
            <w:gridSpan w:val="2"/>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(6.8)</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 Waterfall</w:t>
            </w:r>
          </w:p>
        </w:tc>
        <w:tc>
          <w:tcPr>
            <w:tcW w:w="2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7.25x – 7.25x (7.25x)</w:t>
            </w:r>
          </w:p>
        </w:tc>
      </w:tr>
      <w:tr>
        <w:trPr>
          <w:trHeight w:val="230"/>
        </w:trPr>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6"/>
              </w:rPr>
              <w:t>$30.1 million – $30.1 million</w:t>
            </w:r>
          </w:p>
        </w:tc>
      </w:tr>
      <w:tr>
        <w:trPr>
          <w:trHeight w:val="192"/>
        </w:trPr>
        <w:tc>
          <w:tcPr>
            <w:tcW w:w="1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908" w:right="239" w:bottom="0" w:gutter="0" w:footer="0" w:header="0"/>
        </w:sectPr>
      </w:pPr>
    </w:p>
    <w:bookmarkStart w:id="34" w:name="page35"/>
    <w:bookmarkEnd w:id="34"/>
    <w:p>
      <w:pPr>
        <w:ind w:left="9260"/>
        <w:spacing w:after="0"/>
        <w:rPr>
          <w:sz w:val="20"/>
          <w:szCs w:val="20"/>
          <w:color w:val="auto"/>
        </w:rPr>
      </w:pPr>
      <w:r>
        <w:rPr>
          <w:rFonts w:ascii="Arial" w:cs="Arial" w:eastAsia="Arial" w:hAnsi="Arial"/>
          <w:sz w:val="18"/>
          <w:szCs w:val="18"/>
          <w:color w:val="auto"/>
        </w:rPr>
        <w:t>($30.1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$1.0 million in subordinated debt and $1.9 million in first lien debt were valued using the asset approach.</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2018, the Company had investments in portfolio companies designated as affiliates under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 Transactions with affiliates were as follows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Interest, Fees or</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Dividends</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80" w:type="dxa"/>
            <w:vAlign w:val="bottom"/>
          </w:tcPr>
          <w:p>
            <w:pPr>
              <w:spacing w:after="0"/>
              <w:rPr>
                <w:sz w:val="16"/>
                <w:szCs w:val="16"/>
                <w:color w:val="auto"/>
              </w:rPr>
            </w:pPr>
          </w:p>
        </w:tc>
        <w:tc>
          <w:tcPr>
            <w:tcW w:w="20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Investment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Credited to</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Unrealized</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4"/>
              </w:rPr>
              <w:t xml:space="preserve">Income </w:t>
            </w:r>
            <w:r>
              <w:rPr>
                <w:rFonts w:ascii="Arial" w:cs="Arial" w:eastAsia="Arial" w:hAnsi="Arial"/>
                <w:sz w:val="20"/>
                <w:szCs w:val="20"/>
                <w:b w:val="1"/>
                <w:bCs w:val="1"/>
                <w:color w:val="auto"/>
                <w:w w:val="94"/>
                <w:vertAlign w:val="superscript"/>
              </w:rPr>
              <w:t>(1)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2017 Fair Value</w:t>
            </w:r>
          </w:p>
        </w:tc>
        <w:tc>
          <w:tcPr>
            <w:tcW w:w="8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20"/>
                <w:szCs w:val="20"/>
                <w:b w:val="1"/>
                <w:bCs w:val="1"/>
                <w:color w:val="auto"/>
                <w:vertAlign w:val="superscript"/>
              </w:rPr>
              <w:t>(2)</w:t>
            </w:r>
          </w:p>
        </w:tc>
        <w:tc>
          <w:tcPr>
            <w:tcW w:w="1080" w:type="dxa"/>
            <w:vAlign w:val="bottom"/>
            <w:gridSpan w:val="4"/>
          </w:tcPr>
          <w:p>
            <w:pPr>
              <w:ind w:left="100"/>
              <w:spacing w:after="0" w:line="176" w:lineRule="exact"/>
              <w:rPr>
                <w:sz w:val="20"/>
                <w:szCs w:val="20"/>
                <w:color w:val="auto"/>
              </w:rPr>
            </w:pPr>
            <w:r>
              <w:rPr>
                <w:rFonts w:ascii="Arial" w:cs="Arial" w:eastAsia="Arial" w:hAnsi="Arial"/>
                <w:sz w:val="13"/>
                <w:szCs w:val="13"/>
                <w:b w:val="1"/>
                <w:bCs w:val="1"/>
                <w:color w:val="auto"/>
              </w:rPr>
              <w:t xml:space="preserve">Reductions </w:t>
            </w:r>
            <w:r>
              <w:rPr>
                <w:rFonts w:ascii="Arial" w:cs="Arial" w:eastAsia="Arial" w:hAnsi="Arial"/>
                <w:sz w:val="20"/>
                <w:szCs w:val="20"/>
                <w:b w:val="1"/>
                <w:bCs w:val="1"/>
                <w:color w:val="auto"/>
                <w:vertAlign w:val="superscript"/>
              </w:rPr>
              <w:t>(3)</w:t>
            </w:r>
          </w:p>
        </w:tc>
        <w:tc>
          <w:tcPr>
            <w:tcW w:w="6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Gain/(Loss)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2018 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w w:val="89"/>
              </w:rPr>
              <w:t>Affiliate</w:t>
            </w:r>
          </w:p>
        </w:tc>
        <w:tc>
          <w:tcPr>
            <w:tcW w:w="54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investments</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9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Second Lien Debt (8.0%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Acquisition,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4.0% PIK, Due 8/24/19)</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639</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15,603</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(15,845)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242</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(2.2% fully</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Acquisition,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Acquisition,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Warrants (37.8% fully diluted)</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639</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15,603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(15,862)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259</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(12.0%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 PIK, Due 3/23/21)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14,764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937</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Subordinated Debt (14.0%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8/9/19)</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Subordinated Debt (12.0%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8/9/19)</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5,828</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(5,828)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Class A</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(1,253,198 shares)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(457)</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Class B</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(900,000 shares)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1,252</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9,285</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(8,828)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(1,067)</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Chef'n</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Stock</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Corporation</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(1,000,000 shares)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Subordinated Debt (13.0%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10/20/19)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811</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8,231</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20" w:type="dxa"/>
            <w:vAlign w:val="bottom"/>
            <w:gridSpan w:val="3"/>
            <w:vMerge w:val="continue"/>
            <w:shd w:val="clear" w:color="auto" w:fill="CCEEFF"/>
          </w:tcPr>
          <w:p>
            <w:pPr>
              <w:spacing w:after="0"/>
              <w:rPr>
                <w:sz w:val="12"/>
                <w:szCs w:val="12"/>
                <w:color w:val="auto"/>
              </w:rPr>
            </w:pPr>
          </w:p>
        </w:tc>
        <w:tc>
          <w:tcPr>
            <w:tcW w:w="208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(2.8% fully diluted, 9.0% Cash</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Dividend)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87</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1,269</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(11.4% fully diluted)</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8,248</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(2,438)</w:t>
            </w: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898</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17,748</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(2,438)</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Subordinated Debt (15.3%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Eastport</w:t>
            </w:r>
          </w:p>
        </w:tc>
        <w:tc>
          <w:tcPr>
            <w:tcW w:w="20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(3 month LIBOR + 13.0%, 0.5%</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Due 4/29/20)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1,195</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Eastport</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(22.9%</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14,920</w:t>
            </w: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16,115</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GA</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Series A-1 Preferred Stock</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2"/>
              </w:rPr>
              <w:t>Communications,</w:t>
            </w:r>
          </w:p>
        </w:tc>
        <w:tc>
          <w:tcPr>
            <w:tcW w:w="20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(1,998 shares, 8.0% PIK</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(5)</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Dividend)</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3,225</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GA</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2"/>
              </w:rPr>
              <w:t>Communications,</w:t>
            </w:r>
          </w:p>
        </w:tc>
        <w:tc>
          <w:tcPr>
            <w:tcW w:w="20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Series B-1 Common Stock</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(200,000 shares)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1,932</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(418)</w:t>
            </w: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5,157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(430)</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Subordinated Debt (13.0%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Inc.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6/16/19)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593</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6,170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Inc.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Common Stock (8,182 shares)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Common Stock Warrants (6,369</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Inc.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593</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6,170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LJS Partners,</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(1,587,848</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7,650</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(3,588)</w:t>
            </w: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7,650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(3,588)</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(12.0%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20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1/31/19)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238</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2,600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20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(6.0% Cash,</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LLC</w:t>
            </w:r>
          </w:p>
        </w:tc>
        <w:tc>
          <w:tcPr>
            <w:tcW w:w="208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Due 1/31/19)</w:t>
            </w:r>
          </w:p>
        </w:tc>
        <w:tc>
          <w:tcPr>
            <w:tcW w:w="8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18</w:t>
            </w: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400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21"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MMI Holdings,</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Preferred Units (1,000 units,</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line="176" w:lineRule="exact"/>
              <w:rPr>
                <w:sz w:val="20"/>
                <w:szCs w:val="20"/>
                <w:color w:val="auto"/>
              </w:rPr>
            </w:pPr>
            <w:r>
              <w:rPr>
                <w:rFonts w:ascii="Arial" w:cs="Arial" w:eastAsia="Arial" w:hAnsi="Arial"/>
                <w:sz w:val="13"/>
                <w:szCs w:val="13"/>
                <w:color w:val="auto"/>
              </w:rPr>
              <w:t xml:space="preserve">LLC </w:t>
            </w:r>
            <w:r>
              <w:rPr>
                <w:rFonts w:ascii="Arial" w:cs="Arial" w:eastAsia="Arial" w:hAnsi="Arial"/>
                <w:sz w:val="20"/>
                <w:szCs w:val="20"/>
                <w:color w:val="auto"/>
                <w:vertAlign w:val="superscript"/>
              </w:rPr>
              <w:t>(5)</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6.0% PIK Dividend)</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1,520</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Common Membership Units (45</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units)</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256</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4,713</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MTI Holdings,</w:t>
            </w: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 (2,000,000</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units)</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Sierra Hamilton</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Holdings</w:t>
            </w:r>
          </w:p>
        </w:tc>
        <w:tc>
          <w:tcPr>
            <w:tcW w:w="2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Common Stock (15,068,000</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Corporation</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shares)</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8,528</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8,528</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Source Capital</w:t>
            </w: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 (11.3%</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Penray, 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ownership)</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STX Healthcare</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Management</w:t>
            </w:r>
          </w:p>
        </w:tc>
        <w:tc>
          <w:tcPr>
            <w:tcW w:w="2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Common Stock (1,200,000</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Services, Inc.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shares)</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9"/>
              </w:rPr>
              <w:t>First Lien Debt (11.1% Cash (1</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US Bath Group,</w:t>
            </w:r>
          </w:p>
        </w:tc>
        <w:tc>
          <w:tcPr>
            <w:tcW w:w="2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month LIBOR + 9.0%, 1.0%</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Floor), Due 1/2/23)</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13,063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1,428</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(1,937)</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US Bath Group,</w:t>
            </w: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 (500,000</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units)</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1,526</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1,428</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(1,937)</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1,526</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Debt (8.1% Cash (1</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U.S. Well</w:t>
            </w:r>
          </w:p>
        </w:tc>
        <w:tc>
          <w:tcPr>
            <w:tcW w:w="2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month LIBOR + 6.0%, 1.0%</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Services, 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Floor), Due 2/2/22)</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2,299</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Debt (13.1% PIK (1</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U.S. Well</w:t>
            </w:r>
          </w:p>
        </w:tc>
        <w:tc>
          <w:tcPr>
            <w:tcW w:w="2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month LIBOR + 11.0%, 1.0%</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Services, 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Floor), Due 2/2/22)</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9,731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437</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9,516</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(194)</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U.S. Well</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Services, 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Class A Units (5,680,688 Units)</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15,004</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(3,849)</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U.S. Well</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Services, 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Class B Units (2,076,298 Units)</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(183)</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573</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27,774</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(194)</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(4,032)</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V12 Holdings,</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Subordinated Debt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1,035</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1,035</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Total Affiliate</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80"/>
              <w:spacing w:after="0" w:line="277" w:lineRule="exact"/>
              <w:rPr>
                <w:sz w:val="20"/>
                <w:szCs w:val="20"/>
                <w:color w:val="auto"/>
              </w:rPr>
            </w:pPr>
            <w:r>
              <w:rPr>
                <w:rFonts w:ascii="Arial" w:cs="Arial" w:eastAsia="Arial" w:hAnsi="Arial"/>
                <w:sz w:val="14"/>
                <w:szCs w:val="14"/>
                <w:color w:val="auto"/>
              </w:rPr>
              <w:t>(29,386</w:t>
            </w:r>
            <w:r>
              <w:rPr>
                <w:rFonts w:ascii="Arial" w:cs="Arial" w:eastAsia="Arial" w:hAnsi="Arial"/>
                <w:sz w:val="28"/>
                <w:szCs w:val="28"/>
                <w:color w:val="auto"/>
                <w:vertAlign w:val="superscript"/>
              </w:rPr>
              <w:t>)</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86"/>
              </w:rPr>
              <w:t>investments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gridSpan w:val="2"/>
            <w:shd w:val="clear" w:color="auto" w:fill="CCEEFF"/>
          </w:tcPr>
          <w:p>
            <w:pPr>
              <w:jc w:val="right"/>
              <w:ind w:right="280"/>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5,957</w:t>
            </w:r>
          </w:p>
        </w:tc>
        <w:tc>
          <w:tcPr>
            <w:tcW w:w="280" w:type="dxa"/>
            <w:vAlign w:val="bottom"/>
            <w:tcBorders>
              <w:top w:val="single" w:sz="8" w:color="CCEEFF"/>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CCEEFF"/>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103,957</w:t>
            </w:r>
          </w:p>
        </w:tc>
        <w:tc>
          <w:tcPr>
            <w:tcW w:w="240" w:type="dxa"/>
            <w:vAlign w:val="bottom"/>
            <w:tcBorders>
              <w:top w:val="single" w:sz="8" w:color="CCEEFF"/>
              <w:bottom w:val="single" w:sz="8" w:color="CCEEFF"/>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CCEEFF"/>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51,614</w:t>
            </w:r>
          </w:p>
        </w:tc>
        <w:tc>
          <w:tcPr>
            <w:tcW w:w="340" w:type="dxa"/>
            <w:vAlign w:val="bottom"/>
            <w:tcBorders>
              <w:top w:val="single" w:sz="8" w:color="CCEEFF"/>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bottom w:val="single" w:sz="8" w:color="CCEEFF"/>
            </w:tcBorders>
            <w:gridSpan w:val="2"/>
            <w:vMerge w:val="continue"/>
            <w:shd w:val="clear" w:color="auto" w:fill="CCEEFF"/>
          </w:tcPr>
          <w:p>
            <w:pPr>
              <w:spacing w:after="0"/>
              <w:rPr>
                <w:sz w:val="14"/>
                <w:szCs w:val="14"/>
                <w:color w:val="auto"/>
              </w:rPr>
            </w:pPr>
          </w:p>
        </w:tc>
        <w:tc>
          <w:tcPr>
            <w:tcW w:w="380" w:type="dxa"/>
            <w:vAlign w:val="bottom"/>
            <w:tcBorders>
              <w:top w:val="single" w:sz="8" w:color="CCEEFF"/>
              <w:bottom w:val="single" w:sz="8" w:color="CCEEFF"/>
            </w:tcBorders>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956</w:t>
            </w:r>
          </w:p>
        </w:tc>
        <w:tc>
          <w:tcPr>
            <w:tcW w:w="340" w:type="dxa"/>
            <w:vAlign w:val="bottom"/>
            <w:tcBorders>
              <w:top w:val="single" w:sz="8" w:color="CCEEFF"/>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5,727</w:t>
            </w:r>
          </w:p>
        </w:tc>
        <w:tc>
          <w:tcPr>
            <w:tcW w:w="280" w:type="dxa"/>
            <w:vAlign w:val="bottom"/>
            <w:tcBorders>
              <w:top w:val="single" w:sz="8" w:color="CCEEFF"/>
              <w:bottom w:val="single" w:sz="8" w:color="CCEEFF"/>
            </w:tcBorders>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132,868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Control</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3"/>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investments</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9"/>
              </w:rPr>
              <w:t>Second Lien Debt (8.0% Cash,</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4.0% PIK, Due 8/24/19)</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16,327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16,327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20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 (2.2% fully</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2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Acquisition, LLC</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Warrants (37.8% fully diluted)</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37" w:name="page38"/>
    <w:bookmarkEnd w:id="3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Interest, Fees or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Dividends</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 xml:space="preserve">Company </w:t>
            </w:r>
            <w:r>
              <w:rPr>
                <w:rFonts w:ascii="Arial" w:cs="Arial" w:eastAsia="Arial" w:hAnsi="Arial"/>
                <w:sz w:val="23"/>
                <w:szCs w:val="23"/>
                <w:b w:val="1"/>
                <w:bCs w:val="1"/>
                <w:color w:val="auto"/>
                <w:w w:val="94"/>
                <w:vertAlign w:val="superscript"/>
              </w:rPr>
              <w:t>(4)</w:t>
            </w:r>
          </w:p>
        </w:tc>
        <w:tc>
          <w:tcPr>
            <w:tcW w:w="80" w:type="dxa"/>
            <w:vAlign w:val="bottom"/>
          </w:tcPr>
          <w:p>
            <w:pPr>
              <w:spacing w:after="0"/>
              <w:rPr>
                <w:sz w:val="16"/>
                <w:szCs w:val="16"/>
                <w:color w:val="auto"/>
              </w:rPr>
            </w:pPr>
          </w:p>
        </w:tc>
        <w:tc>
          <w:tcPr>
            <w:tcW w:w="20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Type of Investment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Principal</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Credited to</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Realized</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7"/>
              </w:rPr>
              <w:t xml:space="preserve">Income </w:t>
            </w:r>
            <w:r>
              <w:rPr>
                <w:rFonts w:ascii="Arial" w:cs="Arial" w:eastAsia="Arial" w:hAnsi="Arial"/>
                <w:sz w:val="20"/>
                <w:szCs w:val="20"/>
                <w:b w:val="1"/>
                <w:bCs w:val="1"/>
                <w:color w:val="auto"/>
                <w:w w:val="97"/>
                <w:vertAlign w:val="superscript"/>
              </w:rPr>
              <w:t>(1)</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2017 Fair Value</w:t>
            </w:r>
          </w:p>
        </w:tc>
        <w:tc>
          <w:tcPr>
            <w:tcW w:w="10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5"/>
              </w:rPr>
              <w:t xml:space="preserve">Additions </w:t>
            </w:r>
            <w:r>
              <w:rPr>
                <w:rFonts w:ascii="Arial" w:cs="Arial" w:eastAsia="Arial" w:hAnsi="Arial"/>
                <w:sz w:val="20"/>
                <w:szCs w:val="20"/>
                <w:b w:val="1"/>
                <w:bCs w:val="1"/>
                <w:color w:val="auto"/>
                <w:w w:val="95"/>
                <w:vertAlign w:val="superscript"/>
              </w:rPr>
              <w:t>(2)</w:t>
            </w:r>
          </w:p>
        </w:tc>
        <w:tc>
          <w:tcPr>
            <w:tcW w:w="1080" w:type="dxa"/>
            <w:vAlign w:val="bottom"/>
            <w:gridSpan w:val="2"/>
          </w:tcPr>
          <w:p>
            <w:pPr>
              <w:jc w:val="right"/>
              <w:ind w:right="200"/>
              <w:spacing w:after="0" w:line="176" w:lineRule="exact"/>
              <w:rPr>
                <w:sz w:val="20"/>
                <w:szCs w:val="20"/>
                <w:color w:val="auto"/>
              </w:rPr>
            </w:pPr>
            <w:r>
              <w:rPr>
                <w:rFonts w:ascii="Arial" w:cs="Arial" w:eastAsia="Arial" w:hAnsi="Arial"/>
                <w:sz w:val="13"/>
                <w:szCs w:val="13"/>
                <w:b w:val="1"/>
                <w:bCs w:val="1"/>
                <w:color w:val="auto"/>
                <w:w w:val="94"/>
              </w:rPr>
              <w:t xml:space="preserve">Reductions </w:t>
            </w:r>
            <w:r>
              <w:rPr>
                <w:rFonts w:ascii="Arial" w:cs="Arial" w:eastAsia="Arial" w:hAnsi="Arial"/>
                <w:sz w:val="20"/>
                <w:szCs w:val="20"/>
                <w:b w:val="1"/>
                <w:bCs w:val="1"/>
                <w:color w:val="auto"/>
                <w:w w:val="94"/>
                <w:vertAlign w:val="superscript"/>
              </w:rPr>
              <w:t>(3)</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Gain/(Loss)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Gain/(Loss)</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2018 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CableOrganizer</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Debt (10.0% Cash,</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5/24/19)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CableOrganizer</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Debt (12.0% Cash,</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4.0% PIK, Due 6/30/19)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8,798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12,373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(2,354)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8,798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CableOrganizer</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w:t>
            </w: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8"/>
              </w:rPr>
              <w:t>Preferred Units (4,000,000 units)</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2,354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(1,451)</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CableOrganizer</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(21.3% fully</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CableOrganizer</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7"/>
              </w:rPr>
              <w:t>Common Stock Warrants (10.0%</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fully diluted )</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12,551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4,487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(2,354)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(1,629)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Subordinated Debt (15.3% Cash</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Eastport</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(3 month LIBOR + 13.0%, 0.5%</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Holdings, 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Due 4/29/20)</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2,146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(14,738)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(1,762)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w:t>
            </w: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(22.9%</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Holdings, 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26,449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(4,733)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(21,716)</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2,146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42,949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(19,471)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(23,478)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Transport</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First Lien Debt (4.0% Cash, Due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Service, LLC</w:t>
            </w: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2/15/20)</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Transport</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First Lien Debt (2.2% Cash, Due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Service, LLC</w:t>
            </w: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2/15/20)</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9,560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(10,000)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(3,669)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4,109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Transport</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Membership Units (27.5% fully</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Service, 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11,560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(13,300)</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(3,669)</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4,109</w:t>
            </w:r>
          </w:p>
        </w:tc>
        <w:tc>
          <w:tcPr>
            <w:tcW w:w="11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w:t>
            </w: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Subordinated Debt (10.0% Cash,</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w w:val="96"/>
              </w:rPr>
              <w:t>Precision, 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1/1/19)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w:t>
            </w: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Subordinated Debt (14.0% Cash,</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w w:val="96"/>
              </w:rPr>
              <w:t>Precision, 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4.0% PIK, Due 1/1/19)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4,282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4,154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4,282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w:t>
            </w: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 (47</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w w:val="96"/>
              </w:rPr>
              <w:t>Precision, LLC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2,776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7,645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8,920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w:t>
            </w: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(15.0% Cash,</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Holdings, Inc.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10/30/20)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Holdings, Inc.</w:t>
            </w:r>
          </w:p>
        </w:tc>
        <w:tc>
          <w:tcPr>
            <w:tcW w:w="210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Class A Preferred Stock (1,000</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shares, 10.0% Cash Dividend)</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Holdings, Inc.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7"/>
              </w:rPr>
              <w:t>Common Stock (300,000 shares)</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4,705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13,205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On-Site Fuel</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First Lien Debt (18.0% Cash,</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w w:val="96"/>
              </w:rPr>
              <w:t xml:space="preserve">Service, Inc. </w:t>
            </w:r>
            <w:r>
              <w:rPr>
                <w:rFonts w:ascii="Arial" w:cs="Arial" w:eastAsia="Arial" w:hAnsi="Arial"/>
                <w:sz w:val="20"/>
                <w:szCs w:val="20"/>
                <w:color w:val="auto"/>
                <w:w w:val="96"/>
                <w:vertAlign w:val="superscript"/>
              </w:rPr>
              <w:t>(6)</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12/19/18)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16,316</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11,020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(11,020)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Subordinated Debt (18.0% Cash,</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Service, Inc.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12/19/18)</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11,588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(11,020)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Series A Preferred Stock (32,782</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Service, Inc.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Series B Preferred Stock (23,648</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Service, Inc.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Service, Inc.</w:t>
            </w:r>
          </w:p>
        </w:tc>
        <w:tc>
          <w:tcPr>
            <w:tcW w:w="2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Common Stock (33,058 shares)</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11,588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11,020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(11,020)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(11,588)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(9.0% Cash (1</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month LIBOR + 7.0%, 1.0%</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Portrait Studio,</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Floor, 2.0% Ceiling), Due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12/31/22)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2,580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2,160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(1,440)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(9.1% Cash (1</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month LIBOR + 7.0%, 1.0%</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Portrait Studio,</w:t>
            </w:r>
          </w:p>
        </w:tc>
        <w:tc>
          <w:tcPr>
            <w:tcW w:w="2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Floor, 5.0% Ceiling), Due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12/31/22)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15"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7"/>
              </w:rPr>
              <w:t>Portrait Studio,</w:t>
            </w:r>
          </w:p>
        </w:tc>
        <w:tc>
          <w:tcPr>
            <w:tcW w:w="3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Preferred Units (4,350,000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2,450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3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Units)</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7"/>
              </w:rPr>
              <w:t>Portrait Studio,</w:t>
            </w:r>
          </w:p>
        </w:tc>
        <w:tc>
          <w:tcPr>
            <w:tcW w:w="33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Membership Units (150,000</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3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Units)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8,810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2,160</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(1,440)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Total Control</w:t>
            </w:r>
          </w:p>
        </w:tc>
        <w:tc>
          <w:tcPr>
            <w:tcW w:w="30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gridSpan w:val="3"/>
            <w:vMerge w:val="restart"/>
            <w:shd w:val="clear" w:color="auto" w:fill="CCEEFF"/>
          </w:tcPr>
          <w:p>
            <w:pPr>
              <w:jc w:val="right"/>
              <w:ind w:right="180"/>
              <w:spacing w:after="0" w:line="277" w:lineRule="exact"/>
              <w:rPr>
                <w:sz w:val="20"/>
                <w:szCs w:val="20"/>
                <w:color w:val="auto"/>
              </w:rPr>
            </w:pPr>
            <w:r>
              <w:rPr>
                <w:rFonts w:ascii="Arial" w:cs="Arial" w:eastAsia="Arial" w:hAnsi="Arial"/>
                <w:sz w:val="14"/>
                <w:szCs w:val="14"/>
                <w:color w:val="auto"/>
              </w:rPr>
              <w:t>(47,585</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960" w:type="dxa"/>
            <w:vAlign w:val="bottom"/>
            <w:gridSpan w:val="3"/>
            <w:vMerge w:val="restart"/>
            <w:shd w:val="clear" w:color="auto" w:fill="CCEEFF"/>
          </w:tcPr>
          <w:p>
            <w:pPr>
              <w:jc w:val="right"/>
              <w:ind w:right="140"/>
              <w:spacing w:after="0" w:line="277" w:lineRule="exact"/>
              <w:rPr>
                <w:sz w:val="20"/>
                <w:szCs w:val="20"/>
                <w:color w:val="auto"/>
              </w:rPr>
            </w:pPr>
            <w:r>
              <w:rPr>
                <w:rFonts w:ascii="Arial" w:cs="Arial" w:eastAsia="Arial" w:hAnsi="Arial"/>
                <w:sz w:val="14"/>
                <w:szCs w:val="14"/>
                <w:color w:val="auto"/>
              </w:rPr>
              <w:t>(5,315</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1120" w:type="dxa"/>
            <w:vAlign w:val="bottom"/>
            <w:gridSpan w:val="3"/>
            <w:vMerge w:val="restart"/>
            <w:shd w:val="clear" w:color="auto" w:fill="CCEEFF"/>
          </w:tcPr>
          <w:p>
            <w:pPr>
              <w:jc w:val="right"/>
              <w:ind w:right="260"/>
              <w:spacing w:after="0" w:line="277" w:lineRule="exact"/>
              <w:rPr>
                <w:sz w:val="20"/>
                <w:szCs w:val="20"/>
                <w:color w:val="auto"/>
              </w:rPr>
            </w:pPr>
            <w:r>
              <w:rPr>
                <w:rFonts w:ascii="Arial" w:cs="Arial" w:eastAsia="Arial" w:hAnsi="Arial"/>
                <w:sz w:val="14"/>
                <w:szCs w:val="14"/>
                <w:color w:val="auto"/>
              </w:rPr>
              <w:t>(31,722</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86"/>
              </w:rPr>
              <w:t>investments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380" w:type="dxa"/>
            <w:vAlign w:val="bottom"/>
            <w:tcBorders>
              <w:top w:val="single" w:sz="8" w:color="CCEEFF"/>
              <w:bottom w:val="single" w:sz="8" w:color="CCEEFF"/>
            </w:tcBorders>
            <w:gridSpan w:val="2"/>
            <w:shd w:val="clear" w:color="auto" w:fill="CCEEFF"/>
          </w:tcPr>
          <w:p>
            <w:pPr>
              <w:ind w:left="3020"/>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CCEEFF"/>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5,660</w:t>
            </w:r>
          </w:p>
        </w:tc>
        <w:tc>
          <w:tcPr>
            <w:tcW w:w="280" w:type="dxa"/>
            <w:vAlign w:val="bottom"/>
            <w:tcBorders>
              <w:top w:val="single" w:sz="8" w:color="CCEEFF"/>
              <w:bottom w:val="single" w:sz="8" w:color="CCEEFF"/>
            </w:tcBorders>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107,608</w:t>
            </w:r>
          </w:p>
        </w:tc>
        <w:tc>
          <w:tcPr>
            <w:tcW w:w="240" w:type="dxa"/>
            <w:vAlign w:val="bottom"/>
            <w:tcBorders>
              <w:top w:val="single" w:sz="8" w:color="CCEEFF"/>
              <w:bottom w:val="single" w:sz="8" w:color="CCEEFF"/>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36,439</w:t>
            </w:r>
          </w:p>
        </w:tc>
        <w:tc>
          <w:tcPr>
            <w:tcW w:w="240" w:type="dxa"/>
            <w:vAlign w:val="bottom"/>
            <w:tcBorders>
              <w:top w:val="single" w:sz="8" w:color="CCEEFF"/>
              <w:bottom w:val="single" w:sz="8" w:color="CCEEFF"/>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CCEEFF"/>
              <w:bottom w:val="single" w:sz="8" w:color="CCEEFF"/>
            </w:tcBorders>
            <w:gridSpan w:val="3"/>
            <w:vMerge w:val="continue"/>
            <w:shd w:val="clear" w:color="auto" w:fill="CCEEFF"/>
          </w:tcPr>
          <w:p>
            <w:pPr>
              <w:spacing w:after="0"/>
              <w:rPr>
                <w:sz w:val="14"/>
                <w:szCs w:val="14"/>
                <w:color w:val="auto"/>
              </w:rPr>
            </w:pPr>
          </w:p>
        </w:tc>
        <w:tc>
          <w:tcPr>
            <w:tcW w:w="960" w:type="dxa"/>
            <w:vAlign w:val="bottom"/>
            <w:tcBorders>
              <w:top w:val="single" w:sz="8" w:color="CCEEFF"/>
              <w:bottom w:val="single" w:sz="8" w:color="CCEEFF"/>
            </w:tcBorders>
            <w:gridSpan w:val="3"/>
            <w:vMerge w:val="continue"/>
            <w:shd w:val="clear" w:color="auto" w:fill="CCEEFF"/>
          </w:tcPr>
          <w:p>
            <w:pPr>
              <w:spacing w:after="0"/>
              <w:rPr>
                <w:sz w:val="14"/>
                <w:szCs w:val="14"/>
                <w:color w:val="auto"/>
              </w:rPr>
            </w:pPr>
          </w:p>
        </w:tc>
        <w:tc>
          <w:tcPr>
            <w:tcW w:w="1120" w:type="dxa"/>
            <w:vAlign w:val="bottom"/>
            <w:tcBorders>
              <w:top w:val="single" w:sz="8" w:color="CCEEFF"/>
              <w:bottom w:val="single" w:sz="8" w:color="CCEEFF"/>
            </w:tcBorders>
            <w:gridSpan w:val="3"/>
            <w:vMerge w:val="continue"/>
            <w:shd w:val="clear" w:color="auto" w:fill="CCEEFF"/>
          </w:tcPr>
          <w:p>
            <w:pPr>
              <w:spacing w:after="0"/>
              <w:rPr>
                <w:sz w:val="14"/>
                <w:szCs w:val="14"/>
                <w:color w:val="auto"/>
              </w:rPr>
            </w:pPr>
          </w:p>
        </w:tc>
        <w:tc>
          <w:tcPr>
            <w:tcW w:w="740" w:type="dxa"/>
            <w:vAlign w:val="bottom"/>
            <w:tcBorders>
              <w:top w:val="single" w:sz="8" w:color="CCEEFF"/>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59,425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8"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or dividends credited to income for the portion of the year an investment was included in Affiliate or Control categories, respectively.</w:t>
      </w:r>
    </w:p>
    <w:p>
      <w:pPr>
        <w:spacing w:after="0" w:line="1" w:lineRule="exact"/>
        <w:rPr>
          <w:rFonts w:ascii="Arial" w:cs="Arial" w:eastAsia="Arial" w:hAnsi="Arial"/>
          <w:sz w:val="18"/>
          <w:szCs w:val="18"/>
          <w:color w:val="auto"/>
        </w:rPr>
      </w:pPr>
    </w:p>
    <w:p>
      <w:pPr>
        <w:ind w:right="540" w:firstLine="8"/>
        <w:spacing w:after="0" w:line="25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 follow-on investments, accrued PIK and accretion of OID. Gross additions also include transfers into Affiliate or Control classification.</w:t>
      </w:r>
    </w:p>
    <w:p>
      <w:pPr>
        <w:ind w:right="440" w:firstLine="8"/>
        <w:spacing w:after="0" w:line="25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reductions include decreases in the total cost basis of investments resulting from principal repayments and sales. Gross reductions also include transfers out of Affiliate or Control classification.</w:t>
      </w: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9" w:name="page40"/>
    <w:bookmarkEnd w:id="39"/>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 ended December 31, 2017, the Company had investments in portfolio companies designated as affiliates under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Interest, Fees 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Dividends</w:t>
            </w:r>
          </w:p>
        </w:tc>
        <w:tc>
          <w:tcPr>
            <w:tcW w:w="8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6"/>
                <w:szCs w:val="16"/>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Realized</w:t>
            </w: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Unrealized</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w:t>
            </w:r>
          </w:p>
        </w:tc>
        <w:tc>
          <w:tcPr>
            <w:tcW w:w="80" w:type="dxa"/>
            <w:vAlign w:val="bottom"/>
          </w:tcPr>
          <w:p>
            <w:pPr>
              <w:spacing w:after="0"/>
              <w:rPr>
                <w:sz w:val="12"/>
                <w:szCs w:val="12"/>
                <w:color w:val="auto"/>
              </w:rPr>
            </w:pPr>
          </w:p>
        </w:tc>
        <w:tc>
          <w:tcPr>
            <w:tcW w:w="19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Type of Investment</w:t>
            </w: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Credited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0"/>
              <w:spacing w:after="0" w:line="176" w:lineRule="exact"/>
              <w:rPr>
                <w:sz w:val="20"/>
                <w:szCs w:val="20"/>
                <w:color w:val="auto"/>
              </w:rPr>
            </w:pPr>
            <w:r>
              <w:rPr>
                <w:rFonts w:ascii="Arial" w:cs="Arial" w:eastAsia="Arial" w:hAnsi="Arial"/>
                <w:sz w:val="13"/>
                <w:szCs w:val="13"/>
                <w:b w:val="1"/>
                <w:bCs w:val="1"/>
                <w:color w:val="auto"/>
              </w:rPr>
              <w:t xml:space="preserve">Income </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9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20"/>
                <w:szCs w:val="20"/>
                <w:b w:val="1"/>
                <w:bCs w:val="1"/>
                <w:color w:val="auto"/>
                <w:vertAlign w:val="superscript"/>
              </w:rPr>
              <w:t>(2)</w:t>
            </w:r>
          </w:p>
        </w:tc>
        <w:tc>
          <w:tcPr>
            <w:tcW w:w="9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Reductions </w:t>
            </w:r>
            <w:r>
              <w:rPr>
                <w:rFonts w:ascii="Arial" w:cs="Arial" w:eastAsia="Arial" w:hAnsi="Arial"/>
                <w:sz w:val="20"/>
                <w:szCs w:val="20"/>
                <w:b w:val="1"/>
                <w:bCs w:val="1"/>
                <w:color w:val="auto"/>
                <w:vertAlign w:val="superscript"/>
              </w:rPr>
              <w:t>(3)</w:t>
            </w:r>
          </w:p>
        </w:tc>
        <w:tc>
          <w:tcPr>
            <w:tcW w:w="8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Gain/(Loss)</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Gain/(Loss)</w:t>
            </w:r>
          </w:p>
        </w:tc>
        <w:tc>
          <w:tcPr>
            <w:tcW w:w="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w w:val="89"/>
              </w:rPr>
              <w:t>Affiliate</w:t>
            </w:r>
          </w:p>
        </w:tc>
        <w:tc>
          <w:tcPr>
            <w:tcW w:w="54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investments</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Second Lien Debt (8.0% Cash,</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Acquisition, 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4.0% PIK, Due 8/24/19)</w:t>
            </w: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15,846</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15,846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15"/>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(2.2% fully</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Acquisition, 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AAE</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Acquisition, 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Warrants (37.8% fully diluted)</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15,862</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(14.0%</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Cash, Due 8/9/19)</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(12.0%</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Cash, Due 8/9/19)</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5,828</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Burgaflex</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(1,253,198</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1,248</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10,076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(13.0%</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Cash, Due 10/20/19)</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8,231</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20" w:type="dxa"/>
            <w:vAlign w:val="bottom"/>
            <w:gridSpan w:val="3"/>
            <w:vMerge w:val="continue"/>
            <w:shd w:val="clear" w:color="auto" w:fill="CCEEFF"/>
          </w:tcPr>
          <w:p>
            <w:pPr>
              <w:spacing w:after="0"/>
              <w:rPr>
                <w:sz w:val="12"/>
                <w:szCs w:val="12"/>
                <w:color w:val="auto"/>
              </w:rPr>
            </w:pPr>
          </w:p>
        </w:tc>
        <w:tc>
          <w:tcPr>
            <w:tcW w:w="20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(2.8% fully diluted, 9.0% Cash</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Dividend)</w:t>
            </w: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1,269</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City Gear, 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(11.4% fully diluted)</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9,736</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(1,488)</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19,236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(1,488)</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GA</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Series A-1 Preferred Stock</w:t>
            </w: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2"/>
              </w:rPr>
              <w:t>Communications,</w:t>
            </w:r>
          </w:p>
        </w:tc>
        <w:tc>
          <w:tcPr>
            <w:tcW w:w="20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(1,998 shares, 8.0% PIK</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(5)</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Dividend)</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2,864</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GA</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2"/>
              </w:rPr>
              <w:t>Communications,</w:t>
            </w:r>
          </w:p>
        </w:tc>
        <w:tc>
          <w:tcPr>
            <w:tcW w:w="20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Series B-1 Common Stock</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(200,000 shares)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1,046</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3,910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992</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Subordinated Debt (6.0% Cash,</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Inc.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7.0% PIK, Due 6/16/19)</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6,368</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6,182</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Inc.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Common Stock (8,182 shares)</w:t>
            </w: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J&amp;J Produce</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Inc.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(6,369 shares)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6,182</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LJS Partners,</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(1,500,000</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8,497</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8,497</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MJC Holdings,</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5,011</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4,473</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(4,011)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5,011</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4,473</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(4,011)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(12.0% Cash,</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1/31/19)</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2,600</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Subordinated Debt (6.0% Cash,</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1/31/19)</w:t>
            </w: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MMI Holdings,</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Preferred Units (1,000 units,</w:t>
            </w: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 xml:space="preserve">LLC </w:t>
            </w:r>
            <w:r>
              <w:rPr>
                <w:rFonts w:ascii="Arial" w:cs="Arial" w:eastAsia="Arial" w:hAnsi="Arial"/>
                <w:sz w:val="20"/>
                <w:szCs w:val="20"/>
                <w:color w:val="auto"/>
                <w:vertAlign w:val="superscript"/>
              </w:rPr>
              <w:t>(5)</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6.0% PIK Dividend)</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1,433</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MMI Holdings,</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 Units</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(45 units)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228</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4,661</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MTI Holdings,</w:t>
            </w:r>
          </w:p>
        </w:tc>
        <w:tc>
          <w:tcPr>
            <w:tcW w:w="20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(2,000,000</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537</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537</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Sierra Hamilton</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Holdings</w:t>
            </w:r>
          </w:p>
        </w:tc>
        <w:tc>
          <w:tcPr>
            <w:tcW w:w="20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(15,068,000</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Corporation</w:t>
            </w:r>
          </w:p>
        </w:tc>
        <w:tc>
          <w:tcPr>
            <w:tcW w:w="20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6,958</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1,570</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8"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6,958</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1,570</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Source Capital</w:t>
            </w:r>
          </w:p>
        </w:tc>
        <w:tc>
          <w:tcPr>
            <w:tcW w:w="23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 (13.0%</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Penray, LLC</w:t>
            </w: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Due 4/8/19)</w:t>
            </w: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1,425</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Source Capital</w:t>
            </w:r>
          </w:p>
        </w:tc>
        <w:tc>
          <w:tcPr>
            <w:tcW w:w="23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 (11.3%</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Penray, LLC</w:t>
            </w: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ownership)</w:t>
            </w: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805</w:t>
            </w: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2,230</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STX Healthcare</w:t>
            </w:r>
          </w:p>
        </w:tc>
        <w:tc>
          <w:tcPr>
            <w:tcW w:w="2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Management</w:t>
            </w:r>
          </w:p>
        </w:tc>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(1,200,000</w:t>
            </w: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Services, Inc.</w:t>
            </w: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109</w:t>
            </w: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109</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3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(7.4% Cash (1</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U.S. Well</w:t>
            </w:r>
          </w:p>
        </w:tc>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month LIBOR + 6.0%, 1.0%</w:t>
            </w: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Services, LLC</w:t>
            </w: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Due 2/2/22)</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2,299</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2,299</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3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(12.4% PIK (1</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U.S. Well</w:t>
            </w:r>
          </w:p>
        </w:tc>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month LIBOR + 11.0%, 1.0%</w:t>
            </w: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Services, LLC</w:t>
            </w: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Due 2/2/22)</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9,516</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9,516</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U.S. Well</w:t>
            </w:r>
          </w:p>
        </w:tc>
        <w:tc>
          <w:tcPr>
            <w:tcW w:w="23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A Units (5,680,688</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Services, LLC</w:t>
            </w: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6,260</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8,744</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U.S. Well</w:t>
            </w:r>
          </w:p>
        </w:tc>
        <w:tc>
          <w:tcPr>
            <w:tcW w:w="23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B Units (2,076,298</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Services, LLC</w:t>
            </w: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514</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18,516</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9,258</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27,774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V12 Holdings,</w:t>
            </w:r>
          </w:p>
        </w:tc>
        <w:tc>
          <w:tcPr>
            <w:tcW w:w="2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w:t>
            </w: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Subordinated Debt</w:t>
            </w: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1,015</w:t>
            </w: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1,015</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Total Affiliate</w:t>
            </w:r>
          </w:p>
        </w:tc>
        <w:tc>
          <w:tcPr>
            <w:tcW w:w="2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line="277" w:lineRule="exact"/>
              <w:rPr>
                <w:sz w:val="20"/>
                <w:szCs w:val="20"/>
                <w:color w:val="auto"/>
              </w:rPr>
            </w:pPr>
            <w:r>
              <w:rPr>
                <w:rFonts w:ascii="Arial" w:cs="Arial" w:eastAsia="Arial" w:hAnsi="Arial"/>
                <w:sz w:val="14"/>
                <w:szCs w:val="14"/>
                <w:color w:val="auto"/>
              </w:rPr>
              <w:t>(8,731</w:t>
            </w:r>
            <w:r>
              <w:rPr>
                <w:rFonts w:ascii="Arial" w:cs="Arial" w:eastAsia="Arial" w:hAnsi="Arial"/>
                <w:sz w:val="28"/>
                <w:szCs w:val="28"/>
                <w:color w:val="auto"/>
                <w:vertAlign w:val="superscript"/>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86"/>
              </w:rPr>
              <w:t>investments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32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gridSpan w:val="2"/>
            <w:shd w:val="clear" w:color="auto" w:fill="CCEEFF"/>
          </w:tcPr>
          <w:p>
            <w:pPr>
              <w:jc w:val="right"/>
              <w:ind w:right="300"/>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5,150</w:t>
            </w:r>
          </w:p>
        </w:tc>
        <w:tc>
          <w:tcPr>
            <w:tcW w:w="340" w:type="dxa"/>
            <w:vAlign w:val="bottom"/>
            <w:tcBorders>
              <w:top w:val="single" w:sz="8" w:color="CCEEFF"/>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61,464</w:t>
            </w:r>
          </w:p>
        </w:tc>
        <w:tc>
          <w:tcPr>
            <w:tcW w:w="240" w:type="dxa"/>
            <w:vAlign w:val="bottom"/>
            <w:tcBorders>
              <w:top w:val="single" w:sz="8" w:color="CCEEFF"/>
              <w:bottom w:val="single" w:sz="8" w:color="CCEEFF"/>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41,862</w:t>
            </w:r>
          </w:p>
        </w:tc>
        <w:tc>
          <w:tcPr>
            <w:tcW w:w="280" w:type="dxa"/>
            <w:vAlign w:val="bottom"/>
            <w:tcBorders>
              <w:top w:val="single" w:sz="8" w:color="CCEEFF"/>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CCEEFF"/>
              <w:bottom w:val="single" w:sz="8" w:color="CCEEFF"/>
            </w:tcBorders>
            <w:gridSpan w:val="2"/>
            <w:vMerge w:val="continue"/>
            <w:shd w:val="clear" w:color="auto" w:fill="CCEEFF"/>
          </w:tcPr>
          <w:p>
            <w:pPr>
              <w:spacing w:after="0"/>
              <w:rPr>
                <w:sz w:val="14"/>
                <w:szCs w:val="14"/>
                <w:color w:val="auto"/>
              </w:rPr>
            </w:pPr>
          </w:p>
        </w:tc>
        <w:tc>
          <w:tcPr>
            <w:tcW w:w="34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4,926</w:t>
            </w:r>
          </w:p>
        </w:tc>
        <w:tc>
          <w:tcPr>
            <w:tcW w:w="260" w:type="dxa"/>
            <w:vAlign w:val="bottom"/>
            <w:tcBorders>
              <w:top w:val="single" w:sz="8" w:color="CCEEFF"/>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4,436</w:t>
            </w:r>
          </w:p>
        </w:tc>
        <w:tc>
          <w:tcPr>
            <w:tcW w:w="220" w:type="dxa"/>
            <w:vAlign w:val="bottom"/>
            <w:tcBorders>
              <w:top w:val="single" w:sz="8" w:color="CCEEFF"/>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CCEEFF"/>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103,957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Interest, Fees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Dividends</w:t>
            </w:r>
          </w:p>
        </w:tc>
        <w:tc>
          <w:tcPr>
            <w:tcW w:w="100" w:type="dxa"/>
            <w:vAlign w:val="bottom"/>
          </w:tcPr>
          <w:p>
            <w:pPr>
              <w:spacing w:after="0"/>
              <w:rPr>
                <w:sz w:val="16"/>
                <w:szCs w:val="16"/>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6"/>
                <w:szCs w:val="1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Realized</w:t>
            </w:r>
          </w:p>
        </w:tc>
        <w:tc>
          <w:tcPr>
            <w:tcW w:w="10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4"/>
              </w:rPr>
              <w:t xml:space="preserve">Company </w:t>
            </w:r>
            <w:r>
              <w:rPr>
                <w:rFonts w:ascii="Arial" w:cs="Arial" w:eastAsia="Arial" w:hAnsi="Arial"/>
                <w:sz w:val="23"/>
                <w:szCs w:val="23"/>
                <w:b w:val="1"/>
                <w:bCs w:val="1"/>
                <w:color w:val="auto"/>
                <w:w w:val="94"/>
                <w:vertAlign w:val="superscript"/>
              </w:rPr>
              <w:t>(4)</w:t>
            </w:r>
          </w:p>
        </w:tc>
        <w:tc>
          <w:tcPr>
            <w:tcW w:w="80" w:type="dxa"/>
            <w:vAlign w:val="bottom"/>
          </w:tcPr>
          <w:p>
            <w:pPr>
              <w:spacing w:after="0"/>
              <w:rPr>
                <w:sz w:val="12"/>
                <w:szCs w:val="12"/>
                <w:color w:val="auto"/>
              </w:rPr>
            </w:pPr>
          </w:p>
        </w:tc>
        <w:tc>
          <w:tcPr>
            <w:tcW w:w="19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Type of Investment</w:t>
            </w:r>
          </w:p>
        </w:tc>
        <w:tc>
          <w:tcPr>
            <w:tcW w:w="12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Credited to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4"/>
              </w:rPr>
              <w:t xml:space="preserve">Income </w:t>
            </w:r>
            <w:r>
              <w:rPr>
                <w:rFonts w:ascii="Arial" w:cs="Arial" w:eastAsia="Arial" w:hAnsi="Arial"/>
                <w:sz w:val="20"/>
                <w:szCs w:val="20"/>
                <w:b w:val="1"/>
                <w:bCs w:val="1"/>
                <w:color w:val="auto"/>
                <w:w w:val="94"/>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20"/>
                <w:szCs w:val="20"/>
                <w:b w:val="1"/>
                <w:bCs w:val="1"/>
                <w:color w:val="auto"/>
                <w:vertAlign w:val="superscript"/>
              </w:rPr>
              <w:t>(2)</w:t>
            </w:r>
          </w:p>
        </w:tc>
        <w:tc>
          <w:tcPr>
            <w:tcW w:w="9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Reductions </w:t>
            </w:r>
            <w:r>
              <w:rPr>
                <w:rFonts w:ascii="Arial" w:cs="Arial" w:eastAsia="Arial" w:hAnsi="Arial"/>
                <w:sz w:val="20"/>
                <w:szCs w:val="20"/>
                <w:b w:val="1"/>
                <w:bCs w:val="1"/>
                <w:color w:val="auto"/>
                <w:vertAlign w:val="superscript"/>
              </w:rPr>
              <w:t>(3)</w:t>
            </w:r>
          </w:p>
        </w:tc>
        <w:tc>
          <w:tcPr>
            <w:tcW w:w="8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Gain/(Loss)</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Gain/(Loss)</w:t>
            </w:r>
          </w:p>
        </w:tc>
        <w:tc>
          <w:tcPr>
            <w:tcW w:w="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Control</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investments</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9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89"/>
              </w:rPr>
              <w:t>CableOrganizer</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Acquisition,</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Debt (12.0% Cash,</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4.0% PIK, Due 5/24/18)</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12,373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11,882</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89"/>
              </w:rPr>
              <w:t>CableOrganizer</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Acquisition,</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(21.3% fully</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89"/>
              </w:rPr>
              <w:t>CableOrganizer</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Acquisition,</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(10.0% fully diluted)</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12,183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1"/>
              </w:rPr>
              <w:t>Capitala Senior</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Liquid Loan</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(80.0%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Fund I,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Subordinated Debt (14.5% Cash</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Eastport</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(3 month LIBOR + 13.0%, 0.5%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Floor), Due 4/29/20)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16,500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Eastport</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(33.3%</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13,395</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13,054</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29,895</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12,297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42,949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Kelle's</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Transport</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Debt (4.0% Cash,</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Due 2/15/20)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Kelle's</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Transport</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Debt (1.5% Cash,</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Due 2/15/20)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13,669</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(4,109)</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Kelle's</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Transport</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Membership Units (27.5% fully</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15,669</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(4,109)</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Micro</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6"/>
              </w:rPr>
              <w:t>Precision,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Cash, Due 9/15/18)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Micro</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(14.0%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6"/>
              </w:rPr>
              <w:t>Precision,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Cash, 4.0% PIK, Due 9/15/18)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3,989</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Micro</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 (47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6"/>
              </w:rPr>
              <w:t>Precision, 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2,523</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8,374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Navis</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(15.0% Cash,</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Inc.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Due 10/30/20)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Navis</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Holdings, Inc.</w:t>
            </w:r>
          </w:p>
        </w:tc>
        <w:tc>
          <w:tcPr>
            <w:tcW w:w="19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7"/>
              </w:rPr>
              <w:t>Class A Preferred Stock (1,000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9"/>
              </w:rPr>
              <w:t>shares, 10.0% Cash Dividend)</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Navis</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(300,000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Holdings, Inc.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5,634</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(629)</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13,134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(629)</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(18.0%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 Inc.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Cash, Due 12/19/18) (6)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10,303</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1,182</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Stock</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 Inc.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(32,782 shares)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 Preferred Stock</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 Inc.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(23,648 shares)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On-Site Fuel</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Service, Inc.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5"/>
              </w:rPr>
              <w:t>Common Stock (33,058 shares)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10,303</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1,182</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(8.6% Cash (1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Portrait Studio,</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month LIBOR + 7.0%, 2.0%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Ceiling), Due 12/31/22)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1,860</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(8.6% Cash (1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Portrait Studio,</w:t>
            </w:r>
          </w:p>
        </w:tc>
        <w:tc>
          <w:tcPr>
            <w:tcW w:w="1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month LIBOR + 7.0%, 5.0%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Ceiling), Due 12/31/22)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4,500</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4"/>
              </w:rPr>
              <w:t>Portrait Studio,</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Units (4,350,000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2,450</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4"/>
              </w:rPr>
              <w:t>Portrait Studio,</w:t>
            </w:r>
          </w:p>
        </w:tc>
        <w:tc>
          <w:tcPr>
            <w:tcW w:w="19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(150,000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LLC</w:t>
            </w: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15"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8,810</w:t>
            </w:r>
          </w:p>
        </w:tc>
        <w:tc>
          <w:tcPr>
            <w:tcW w:w="4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Print Direction,</w:t>
            </w:r>
          </w:p>
        </w:tc>
        <w:tc>
          <w:tcPr>
            <w:tcW w:w="36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(10.0% Cash</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w:t>
            </w:r>
          </w:p>
        </w:tc>
        <w:tc>
          <w:tcPr>
            <w:tcW w:w="3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 PIK, due 2/24/19)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12,761</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2,087</w:t>
            </w:r>
          </w:p>
        </w:tc>
        <w:tc>
          <w:tcPr>
            <w:tcW w:w="4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(19,403)</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4,555</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Print Direction,</w:t>
            </w:r>
          </w:p>
        </w:tc>
        <w:tc>
          <w:tcPr>
            <w:tcW w:w="3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w:t>
            </w:r>
          </w:p>
        </w:tc>
        <w:tc>
          <w:tcPr>
            <w:tcW w:w="3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Stock (18,543 shares)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(3,030)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2,990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Print Direction,</w:t>
            </w:r>
          </w:p>
        </w:tc>
        <w:tc>
          <w:tcPr>
            <w:tcW w:w="36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 Warrants (820</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w:t>
            </w:r>
          </w:p>
        </w:tc>
        <w:tc>
          <w:tcPr>
            <w:tcW w:w="3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12,761</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2,127</w:t>
            </w:r>
          </w:p>
        </w:tc>
        <w:tc>
          <w:tcPr>
            <w:tcW w:w="4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(22,433)</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7,545</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i w:val="1"/>
                <w:iCs w:val="1"/>
                <w:color w:val="auto"/>
              </w:rPr>
              <w:t>Total Control</w:t>
            </w:r>
          </w:p>
        </w:tc>
        <w:tc>
          <w:tcPr>
            <w:tcW w:w="3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gridSpan w:val="3"/>
            <w:vMerge w:val="restart"/>
            <w:shd w:val="clear" w:color="auto" w:fill="CCEEFF"/>
          </w:tcPr>
          <w:p>
            <w:pPr>
              <w:jc w:val="right"/>
              <w:ind w:right="160"/>
              <w:spacing w:after="0" w:line="277" w:lineRule="exact"/>
              <w:rPr>
                <w:sz w:val="20"/>
                <w:szCs w:val="20"/>
                <w:color w:val="auto"/>
              </w:rPr>
            </w:pPr>
            <w:r>
              <w:rPr>
                <w:rFonts w:ascii="Arial" w:cs="Arial" w:eastAsia="Arial" w:hAnsi="Arial"/>
                <w:sz w:val="14"/>
                <w:szCs w:val="14"/>
                <w:color w:val="auto"/>
              </w:rPr>
              <w:t>(22,433</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86"/>
              </w:rPr>
              <w:t>investments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680" w:type="dxa"/>
            <w:vAlign w:val="bottom"/>
            <w:tcBorders>
              <w:top w:val="single" w:sz="8" w:color="CCEEFF"/>
              <w:bottom w:val="single" w:sz="8" w:color="CCEEFF"/>
            </w:tcBorders>
            <w:gridSpan w:val="2"/>
            <w:shd w:val="clear" w:color="auto" w:fill="CCEEFF"/>
          </w:tcPr>
          <w:p>
            <w:pPr>
              <w:ind w:left="3320"/>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7,251</w:t>
            </w:r>
          </w:p>
        </w:tc>
        <w:tc>
          <w:tcPr>
            <w:tcW w:w="36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86,650</w:t>
            </w:r>
          </w:p>
        </w:tc>
        <w:tc>
          <w:tcPr>
            <w:tcW w:w="220" w:type="dxa"/>
            <w:vAlign w:val="bottom"/>
            <w:tcBorders>
              <w:top w:val="single" w:sz="8" w:color="CCEEFF"/>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CEEFF"/>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29,201</w:t>
            </w:r>
          </w:p>
        </w:tc>
        <w:tc>
          <w:tcPr>
            <w:tcW w:w="440" w:type="dxa"/>
            <w:vAlign w:val="bottom"/>
            <w:tcBorders>
              <w:top w:val="single" w:sz="8" w:color="CCEEFF"/>
              <w:bottom w:val="single" w:sz="8" w:color="CCEEFF"/>
            </w:tcBorders>
            <w:shd w:val="clear" w:color="auto" w:fill="CCEEFF"/>
          </w:tcPr>
          <w:p>
            <w:pPr>
              <w:jc w:val="right"/>
              <w:ind w:right="288"/>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bottom w:val="single" w:sz="8" w:color="CCEEFF"/>
            </w:tcBorders>
            <w:gridSpan w:val="3"/>
            <w:shd w:val="clear" w:color="auto" w:fill="CCEEFF"/>
          </w:tcPr>
          <w:p>
            <w:pPr>
              <w:ind w:left="360"/>
              <w:spacing w:after="0" w:line="129" w:lineRule="exact"/>
              <w:rPr>
                <w:sz w:val="20"/>
                <w:szCs w:val="20"/>
                <w:color w:val="auto"/>
              </w:rPr>
            </w:pPr>
            <w:r>
              <w:rPr>
                <w:rFonts w:ascii="Arial" w:cs="Arial" w:eastAsia="Arial" w:hAnsi="Arial"/>
                <w:sz w:val="14"/>
                <w:szCs w:val="14"/>
                <w:color w:val="auto"/>
              </w:rPr>
              <w:t>-   $</w:t>
            </w:r>
          </w:p>
        </w:tc>
        <w:tc>
          <w:tcPr>
            <w:tcW w:w="1020" w:type="dxa"/>
            <w:vAlign w:val="bottom"/>
            <w:tcBorders>
              <w:top w:val="single" w:sz="8" w:color="CCEEFF"/>
              <w:bottom w:val="single" w:sz="8" w:color="CCEEFF"/>
            </w:tcBorders>
            <w:gridSpan w:val="3"/>
            <w:vMerge w:val="continue"/>
            <w:shd w:val="clear" w:color="auto" w:fill="CCEEFF"/>
          </w:tcPr>
          <w:p>
            <w:pPr>
              <w:spacing w:after="0"/>
              <w:rPr>
                <w:sz w:val="14"/>
                <w:szCs w:val="14"/>
                <w:color w:val="auto"/>
              </w:rPr>
            </w:pPr>
          </w:p>
        </w:tc>
        <w:tc>
          <w:tcPr>
            <w:tcW w:w="760" w:type="dxa"/>
            <w:vAlign w:val="bottom"/>
            <w:tcBorders>
              <w:top w:val="single" w:sz="8" w:color="CCEEFF"/>
              <w:bottom w:val="single" w:sz="8" w:color="CCEEFF"/>
            </w:tcBorders>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14,190</w:t>
            </w:r>
          </w:p>
        </w:tc>
        <w:tc>
          <w:tcPr>
            <w:tcW w:w="220" w:type="dxa"/>
            <w:vAlign w:val="bottom"/>
            <w:tcBorders>
              <w:top w:val="single" w:sz="8" w:color="CCEEFF"/>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CCEEFF"/>
              <w:bottom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107,608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8"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credited to income for the portion of the year an investment was included in Control or Affiliate categories, respectively.</w:t>
      </w:r>
    </w:p>
    <w:p>
      <w:pPr>
        <w:spacing w:after="0" w:line="1" w:lineRule="exact"/>
        <w:rPr>
          <w:rFonts w:ascii="Arial" w:cs="Arial" w:eastAsia="Arial" w:hAnsi="Arial"/>
          <w:sz w:val="18"/>
          <w:szCs w:val="18"/>
          <w:color w:val="auto"/>
        </w:rPr>
      </w:pPr>
    </w:p>
    <w:p>
      <w:pPr>
        <w:ind w:right="520" w:firstLine="8"/>
        <w:spacing w:after="0" w:line="250"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and accrued PIK interest. Gross additions also include transfers into an affiliate or control classification.</w:t>
      </w: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total cost basis of investments resulting from principal or PIK repayments and sales.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a majority of our non-interested directors, at an in-person meeting on July 26, 2018.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800" w:hanging="144"/>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auto"/>
        </w:rPr>
      </w:pPr>
    </w:p>
    <w:p>
      <w:pPr>
        <w:ind w:right="20" w:firstLine="656"/>
        <w:spacing w:after="0" w:line="277" w:lineRule="auto"/>
        <w:tabs>
          <w:tab w:leader="none" w:pos="8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69" w:lineRule="exact"/>
        <w:rPr>
          <w:sz w:val="20"/>
          <w:szCs w:val="20"/>
          <w:color w:val="auto"/>
        </w:rPr>
      </w:pPr>
    </w:p>
    <w:p>
      <w:pPr>
        <w:ind w:left="5640" w:right="1280" w:hanging="4984"/>
        <w:spacing w:after="0" w:line="778" w:lineRule="auto"/>
        <w:tabs>
          <w:tab w:leader="none" w:pos="8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ind w:firstLine="656"/>
        <w:spacing w:after="0" w:line="279" w:lineRule="auto"/>
        <w:tabs>
          <w:tab w:leader="none" w:pos="8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71" w:lineRule="exact"/>
        <w:rPr>
          <w:rFonts w:ascii="Arial" w:cs="Arial" w:eastAsia="Arial" w:hAnsi="Arial"/>
          <w:sz w:val="17"/>
          <w:szCs w:val="17"/>
          <w:color w:val="auto"/>
        </w:rPr>
      </w:pPr>
    </w:p>
    <w:p>
      <w:pPr>
        <w:jc w:val="both"/>
        <w:ind w:firstLine="656"/>
        <w:spacing w:after="0" w:line="264" w:lineRule="auto"/>
        <w:tabs>
          <w:tab w:leader="none" w:pos="7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September 30, 2018 and December 31, 2017, the Company had incentive fees payable to the Investment Advisor of $2.5 million and $2.2 million, respectively.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September 30, 2018 and 2017, the Company incurred $2.3 million and $2.4 million in base management fees, respectively. The Company incurred $0.0 million and $0.0 million in incentive fees related to pre-incentive fee net investment income for the three months ended September 30, 2018 and 2017, respectively. For the three months ended September 30, 2018 and 2017, our Investment Advisor waived incentive fees of $0.0 million and $0.0 million, respectively.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2018 and 2017, the Company incurred $6.9 million and $7.4 million in base management fees, respectively. The Company incurred $0.2 million and $1.3 million in incentive fees related to pre-incentive fee net investment income for the nine months ended September 30, 2018 and 2017, respectively. For the nine months ended September 30, 2018 and 2017, our Investment Advisor waived incentive fees of $0.0 million and $1.0 million, respectively.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and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July 26, 2018.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and nine months ended September 30, 2018, the Company paid the Administrator $0.4 million and $1.1 million, respectively, for the Company’s allocable portion of the Administrator’s overhead. For the three and nine months ended September 30, 2017, the Company paid the Administrator $0.3 million and $0.8 million, respectively, for the Company’s allocable portion of the Administrator’s overhead.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2018 and December 31, 2017, the Company had the following receivables from (payables to) related parties relating to certain management fees, incentive fees, reimbursable expenses, and other payments owed to related parties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December 31, 2017</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CapitalSouth Corporation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CapitalSouth Partners Florida Sidecar Fund II, L.P.</w:t>
            </w:r>
          </w:p>
        </w:tc>
        <w:tc>
          <w:tcPr>
            <w:tcW w:w="12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3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Capitala Investment Advisors, LLC</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(2,172)</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amounts are reflected in the accompanying consolidated statements of assets and liabilities under the captions, “Due from related parties” and “Management and incentive fees payable.”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The Administrator also serves as the administrator to FSC II. See Note 4 for a further description of this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through its two wholly owned subsidiaries, uses debenture leverage provided through the SBA to fund a portion of its investment portfolio. As of September 30, 2018 and December 31, 2017, the Company had $165.7 million and $170.7 million, respectively, of SBA-guaranteed debentures outstanding.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September 30, 2018 and December 31, 2017, Fund II and Fund III had total assets of approximately $331.8 million and $341.5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table summarizes the interest expense and annual charges, deferred financing costs, average balance outstanding, and average stated interest and annual charge rate on the SBA-guaranteed debentures for the three and nine months ended September 30, 2018 and 2017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394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0"/>
              </w:rPr>
              <w:t>September 30, 2017</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0"/>
              </w:rPr>
              <w:t>September 30,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169,069</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170,151</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Average stated interest and annual charge</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rate</w:t>
            </w:r>
          </w:p>
        </w:tc>
        <w:tc>
          <w:tcPr>
            <w:tcW w:w="14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right"/>
              <w:ind w:right="120"/>
              <w:spacing w:after="0" w:line="271" w:lineRule="exact"/>
              <w:rPr>
                <w:sz w:val="20"/>
                <w:szCs w:val="20"/>
                <w:color w:val="auto"/>
              </w:rPr>
            </w:pPr>
            <w:r>
              <w:rPr>
                <w:rFonts w:ascii="Arial" w:cs="Arial" w:eastAsia="Arial" w:hAnsi="Arial"/>
                <w:sz w:val="16"/>
                <w:szCs w:val="16"/>
                <w:color w:val="auto"/>
              </w:rPr>
              <w:t>3.69</w:t>
            </w:r>
            <w:r>
              <w:rPr>
                <w:rFonts w:ascii="Arial" w:cs="Arial" w:eastAsia="Arial" w:hAnsi="Arial"/>
                <w:sz w:val="31"/>
                <w:szCs w:val="31"/>
                <w:color w:val="auto"/>
                <w:vertAlign w:val="superscript"/>
              </w:rPr>
              <w:t>%</w:t>
            </w:r>
          </w:p>
        </w:tc>
        <w:tc>
          <w:tcPr>
            <w:tcW w:w="1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ind w:right="120"/>
              <w:spacing w:after="0" w:line="271" w:lineRule="exact"/>
              <w:rPr>
                <w:sz w:val="20"/>
                <w:szCs w:val="20"/>
                <w:color w:val="auto"/>
              </w:rPr>
            </w:pPr>
            <w:r>
              <w:rPr>
                <w:rFonts w:ascii="Arial" w:cs="Arial" w:eastAsia="Arial" w:hAnsi="Arial"/>
                <w:sz w:val="16"/>
                <w:szCs w:val="16"/>
                <w:color w:val="auto"/>
              </w:rPr>
              <w:t>3.71</w:t>
            </w:r>
            <w:r>
              <w:rPr>
                <w:rFonts w:ascii="Arial" w:cs="Arial" w:eastAsia="Arial" w:hAnsi="Arial"/>
                <w:sz w:val="31"/>
                <w:szCs w:val="31"/>
                <w:color w:val="auto"/>
                <w:vertAlign w:val="superscript"/>
              </w:rPr>
              <w:t>%</w:t>
            </w:r>
          </w:p>
        </w:tc>
        <w:tc>
          <w:tcPr>
            <w:tcW w:w="1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ind w:right="120"/>
              <w:spacing w:after="0" w:line="271" w:lineRule="exact"/>
              <w:rPr>
                <w:sz w:val="20"/>
                <w:szCs w:val="20"/>
                <w:color w:val="auto"/>
              </w:rPr>
            </w:pPr>
            <w:r>
              <w:rPr>
                <w:rFonts w:ascii="Arial" w:cs="Arial" w:eastAsia="Arial" w:hAnsi="Arial"/>
                <w:sz w:val="16"/>
                <w:szCs w:val="16"/>
                <w:color w:val="auto"/>
              </w:rPr>
              <w:t>3.71</w:t>
            </w:r>
            <w:r>
              <w:rPr>
                <w:rFonts w:ascii="Arial" w:cs="Arial" w:eastAsia="Arial" w:hAnsi="Arial"/>
                <w:sz w:val="31"/>
                <w:szCs w:val="31"/>
                <w:color w:val="auto"/>
                <w:vertAlign w:val="superscript"/>
              </w:rPr>
              <w:t>%</w:t>
            </w:r>
          </w:p>
        </w:tc>
        <w:tc>
          <w:tcPr>
            <w:tcW w:w="12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0"/>
              <w:spacing w:after="0" w:line="271" w:lineRule="exact"/>
              <w:rPr>
                <w:sz w:val="20"/>
                <w:szCs w:val="20"/>
                <w:color w:val="auto"/>
              </w:rPr>
            </w:pPr>
            <w:r>
              <w:rPr>
                <w:rFonts w:ascii="Arial" w:cs="Arial" w:eastAsia="Arial" w:hAnsi="Arial"/>
                <w:sz w:val="16"/>
                <w:szCs w:val="16"/>
                <w:color w:val="auto"/>
              </w:rPr>
              <w:t>3.71</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648"/>
        </w:trPr>
        <w:tc>
          <w:tcPr>
            <w:tcW w:w="3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191"/>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color w:val="auto"/>
        </w:rPr>
        <w:t>As of September 30, 2018 and December 31, 2017,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SBA Annual</w:t>
            </w:r>
          </w:p>
        </w:tc>
        <w:tc>
          <w:tcPr>
            <w:tcW w:w="6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March 1, 2019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September 1, 2020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3.215%</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r>
      <w:tr>
        <w:trPr>
          <w:trHeight w:val="23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Notes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June 16, 2014, the Company issued $113.4 million in aggregate principal amount of 7.125% fixed-rate notes due 2021 (the “2021 Notes”). On May 26, 2017, the Company caused notices to be issued to the holders of its 2021 Notes regarding the Company’s exercise of its option to redeem all of the issued and outstanding 2021 Notes. The Company redeemed all $113.4 million in aggregate principal amount of the 2021 Notes on June 25, 2017. The Notes were redeemed at 100% of their principal amount ($25 per Note), plus the accrued and unpaid interest thereon from June 16, 2017, through, but excluding, June 25, 2017. As a result of the redemption, the Company recognized a loss on the extinguishment of debt of $0.0 million and $2.7 million, respectively, for the three and nine months ended September 30, 2017, due to the amortization of the deferred financing costs remaining on the 2021 Notes.</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2021 Notes for the three and nine months ended September 30, 2018 and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5"/>
          </w:tcPr>
          <w:p>
            <w:pPr>
              <w:ind w:left="76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3940" w:type="dxa"/>
            <w:vAlign w:val="bottom"/>
            <w:gridSpan w:val="5"/>
          </w:tcPr>
          <w:p>
            <w:pPr>
              <w:ind w:left="8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September 30, 2017</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September 30,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9"/>
                <w:szCs w:val="19"/>
                <w:color w:val="auto"/>
              </w:rPr>
            </w:pPr>
          </w:p>
        </w:tc>
        <w:tc>
          <w:tcPr>
            <w:tcW w:w="19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ind w:left="15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ind w:left="15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152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152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0"/>
              <w:spacing w:after="0" w:line="256" w:lineRule="exact"/>
              <w:rPr>
                <w:sz w:val="20"/>
                <w:szCs w:val="20"/>
                <w:color w:val="auto"/>
              </w:rPr>
            </w:pPr>
            <w:r>
              <w:rPr>
                <w:rFonts w:ascii="Arial" w:cs="Arial" w:eastAsia="Arial" w:hAnsi="Arial"/>
                <w:sz w:val="16"/>
                <w:szCs w:val="16"/>
                <w:color w:val="auto"/>
              </w:rPr>
              <w:t>7.125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was payable quarterly beginning August 31, 2017.</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and nine months ended September 30, 2018 and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394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September 30, 2017</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September 30,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6.0</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6.0</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6.0</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0"/>
              <w:spacing w:after="0" w:line="256" w:lineRule="exact"/>
              <w:rPr>
                <w:sz w:val="20"/>
                <w:szCs w:val="20"/>
                <w:color w:val="auto"/>
              </w:rPr>
            </w:pPr>
            <w:r>
              <w:rPr>
                <w:rFonts w:ascii="Arial" w:cs="Arial" w:eastAsia="Arial" w:hAnsi="Arial"/>
                <w:sz w:val="16"/>
                <w:szCs w:val="16"/>
                <w:color w:val="auto"/>
              </w:rPr>
              <w:t>6.0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648"/>
        </w:trPr>
        <w:tc>
          <w:tcPr>
            <w:tcW w:w="3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 Interest was payable quarterly beginning August 31, 2017.</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and nine months ended September 30, 2018 and 2017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394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September 30, 2017</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September 30,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52,088</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52,088</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52,088</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5.75</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5.75</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5.75</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0"/>
              <w:spacing w:after="0" w:line="256" w:lineRule="exact"/>
              <w:rPr>
                <w:sz w:val="20"/>
                <w:szCs w:val="20"/>
                <w:color w:val="auto"/>
              </w:rPr>
            </w:pPr>
            <w:r>
              <w:rPr>
                <w:rFonts w:ascii="Arial" w:cs="Arial" w:eastAsia="Arial" w:hAnsi="Arial"/>
                <w:sz w:val="16"/>
                <w:szCs w:val="16"/>
                <w:color w:val="auto"/>
              </w:rPr>
              <w:t>5.75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October 17, 2014, the Company entered into a senior secured revolving credit agreement (the “Credit Facility”) with ING Capital, LLC, as administrative agent, arranger, and bookrunner, and the lenders party thereto. The Credit Facility was amended on May 22, 2015, June 16, 2017, and July 19, 2018 (the “Amendments”). The Amendments were affected, among other things, in order to increase the total borrowings allowed under the Credit Facility, allow for stock repurchases, extend the maturity date, and to reduce the minimum required interest coverage ratio. The Credit Facility currently provides for borrowings up to $114.5 million and may be increased up to $200.0 million pursuant to its “accordion” feature. The Credit Facility matures on June 16, 2021.</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Credit Facility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648"/>
        <w:spacing w:after="0" w:line="308" w:lineRule="auto"/>
        <w:rPr>
          <w:sz w:val="20"/>
          <w:szCs w:val="20"/>
          <w:color w:val="auto"/>
        </w:rPr>
      </w:pPr>
      <w:r>
        <w:rPr>
          <w:rFonts w:ascii="Arial" w:cs="Arial" w:eastAsia="Arial" w:hAnsi="Arial"/>
          <w:sz w:val="17"/>
          <w:szCs w:val="17"/>
          <w:color w:val="auto"/>
        </w:rPr>
        <w:t>The following table summarizes the interest expense, deferred financing costs, unused commitment fees, average outstanding balance, and average stated interest rate on the Credit Facility for the three and nine months ended September 30, 2018 and 2017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394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For the nine months ended</w:t>
            </w:r>
          </w:p>
        </w:tc>
      </w:tr>
      <w:tr>
        <w:trPr>
          <w:trHeight w:val="223"/>
        </w:trPr>
        <w:tc>
          <w:tcPr>
            <w:tcW w:w="3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2017</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2017</w:t>
            </w:r>
          </w:p>
        </w:tc>
        <w:tc>
          <w:tcPr>
            <w:tcW w:w="160" w:type="dxa"/>
            <w:vAlign w:val="bottom"/>
          </w:tcPr>
          <w:p>
            <w:pPr>
              <w:spacing w:after="0"/>
              <w:rPr>
                <w:sz w:val="19"/>
                <w:szCs w:val="19"/>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r>
      <w:tr>
        <w:trPr>
          <w:trHeight w:val="25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r>
      <w:tr>
        <w:trPr>
          <w:trHeight w:val="263"/>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60" w:type="dxa"/>
            <w:vAlign w:val="bottom"/>
            <w:tcBorders>
              <w:bottom w:val="single" w:sz="8" w:color="CCEEFF"/>
            </w:tcBorders>
          </w:tcPr>
          <w:p>
            <w:pPr>
              <w:spacing w:after="0"/>
              <w:rPr>
                <w:sz w:val="22"/>
                <w:szCs w:val="22"/>
                <w:color w:val="auto"/>
              </w:rPr>
            </w:pPr>
          </w:p>
        </w:tc>
      </w:tr>
      <w:tr>
        <w:trPr>
          <w:trHeight w:val="210"/>
        </w:trPr>
        <w:tc>
          <w:tcPr>
            <w:tcW w:w="32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Average outstanding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29,055</w:t>
            </w:r>
          </w:p>
        </w:tc>
        <w:tc>
          <w:tcPr>
            <w:tcW w:w="160" w:type="dxa"/>
            <w:vAlign w:val="bottom"/>
            <w:shd w:val="clear" w:color="auto" w:fill="CCEEFF"/>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140" w:type="dxa"/>
            <w:vAlign w:val="bottom"/>
          </w:tcPr>
          <w:p>
            <w:pPr>
              <w:spacing w:after="0"/>
              <w:rPr>
                <w:sz w:val="20"/>
                <w:szCs w:val="20"/>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2018 and December 31, 2017, the Company had $0.0 million and $9.0 million, respectively, outstanding under the Credit Facility. The Credit Facility is secured by investments and cash held by the Company, exclusive of assets held at our two SBIC subsidiaries. Assets pledged to secure the Credit Facility had a carrying value of $161.9 million and $192.4 million, respectively, at September 30, 2018 and December 31, 2017.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the level of each financial liability within the fair value hierarchy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3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480"/>
              <w:spacing w:after="0" w:line="271" w:lineRule="exact"/>
              <w:rPr>
                <w:sz w:val="20"/>
                <w:szCs w:val="20"/>
                <w:color w:val="auto"/>
              </w:rPr>
            </w:pPr>
            <w:r>
              <w:rPr>
                <w:rFonts w:ascii="Arial" w:cs="Arial" w:eastAsia="Arial" w:hAnsi="Arial"/>
                <w:sz w:val="18"/>
                <w:szCs w:val="18"/>
                <w:b w:val="1"/>
                <w:bCs w:val="1"/>
                <w:color w:val="auto"/>
                <w:w w:val="95"/>
              </w:rPr>
              <w:t xml:space="preserve">Value </w:t>
            </w:r>
            <w:r>
              <w:rPr>
                <w:rFonts w:ascii="Arial" w:cs="Arial" w:eastAsia="Arial" w:hAnsi="Arial"/>
                <w:sz w:val="30"/>
                <w:szCs w:val="30"/>
                <w:b w:val="1"/>
                <w:bCs w:val="1"/>
                <w:color w:val="auto"/>
                <w:w w:val="95"/>
                <w:vertAlign w:val="superscript"/>
              </w:rPr>
              <w:t>(1)</w:t>
            </w:r>
          </w:p>
        </w:tc>
        <w:tc>
          <w:tcPr>
            <w:tcW w:w="140" w:type="dxa"/>
            <w:vAlign w:val="bottom"/>
          </w:tcPr>
          <w:p>
            <w:pPr>
              <w:spacing w:after="0"/>
              <w:rPr>
                <w:sz w:val="23"/>
                <w:szCs w:val="2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2022 Notes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74,820</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74,820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Credit Facility</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the level of each financial liability within the fair value hierarchy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ind w:right="400"/>
              <w:spacing w:after="0" w:line="271"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30"/>
                <w:szCs w:val="30"/>
                <w:b w:val="1"/>
                <w:bCs w:val="1"/>
                <w:color w:val="auto"/>
                <w:w w:val="82"/>
                <w:vertAlign w:val="superscript"/>
              </w:rPr>
              <w:t>(1)</w:t>
            </w:r>
          </w:p>
        </w:tc>
        <w:tc>
          <w:tcPr>
            <w:tcW w:w="140" w:type="dxa"/>
            <w:vAlign w:val="bottom"/>
          </w:tcPr>
          <w:p>
            <w:pPr>
              <w:spacing w:after="0"/>
              <w:rPr>
                <w:sz w:val="23"/>
                <w:szCs w:val="2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3"/>
                <w:szCs w:val="23"/>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3"/>
                <w:szCs w:val="23"/>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9,038</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9,038</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fair value of the Credit Facility was based on future contractual cash payments discounted at estimated market interest rates for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nine months ended September 30, 2018, the Company recognized directors’ fees expense of $0.1 million and $0.3 million, respectively. For the three and nine months ended September 30, 2017, the Company recognized directors’ fees expense of $0.1 million and $0.3 million, respectively. No compensation is expected to be paid to directors who are “interested persons” of the Company, as such term is defined in Section 2(a)(19) of the 1940 Act.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437"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three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September 30, 2018 and December 31, 2017, and for the nine months ended September 30, 2018 and September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AAE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AAE Acquisition, LLC, formed on May 21, 2004 as a Delaware limited liability company, is an aerial equipment rental and services business primarily serving the Gulf Coast region. The income the Company generated from AAE Acquisition, LLC, which includes all interest, dividends, PIK interest and PIK dividends, fees, and unrealized appreciation (depreciation), was $1.7 million and $1.1 million for the nine months ended September 30, 2018 and September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(loss) the Company generated from CableOrganizer Acquisition, LLC, which includes all interest, dividends, PIK interest and PIK dividends, fees, and unrealized appreciation (depreciation), was $(0.2) million and $1.3 million for the nine months ended September 30, 2018 and September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 Precision, LLC, formed on August 5, 2011 as a Delaware limited liability company, is a prime contractor supplying critical parts and mechanical assemblies to the U.S. Department of Defense as well as designer and manufacturer of locomotive air horns. The income (loss) the Company generated from Micro Precision, LLC, which includes all interest, dividends, PIK interest and PIK dividends, fees, and unrealized appreciation (depreciation), was $1.9 million and $(0.2) million for the nine months ended September 30, 2018 and September 30, 2017,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w w:val="95"/>
              </w:rPr>
              <w:t>September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Balance Sheet – AAE Acquisition,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24,838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53,009</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For the nine months ended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95"/>
              </w:rPr>
              <w:t>September 30,</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10"/>
              <w:spacing w:after="0" w:line="205" w:lineRule="exact"/>
              <w:rPr>
                <w:sz w:val="20"/>
                <w:szCs w:val="20"/>
                <w:color w:val="auto"/>
              </w:rPr>
            </w:pPr>
            <w:r>
              <w:rPr>
                <w:rFonts w:ascii="Arial" w:cs="Arial" w:eastAsia="Arial" w:hAnsi="Arial"/>
                <w:sz w:val="18"/>
                <w:szCs w:val="18"/>
                <w:b w:val="1"/>
                <w:bCs w:val="1"/>
                <w:color w:val="auto"/>
                <w:w w:val="95"/>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 of Operations – AAE Acquisition, LLC</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goods sold</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14,386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15,242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70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0" w:name="page51"/>
    <w:bookmarkEnd w:id="5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Balance Sheet – CableOrganizer Acquisition,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8,534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9,601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6,022</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Balance Sheet – Micro Precision,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19,494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13,958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6"/>
          </w:tcPr>
          <w:p>
            <w:pPr>
              <w:ind w:left="58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4,565</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4,251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In accordance with the provisions of ASC Topic 260 -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earnings per share on a diluted basis. For the three and nine months ended September 30, 2018 and September 30, 2017, 3.3 million in convertible shares related to the 2022 Convertible Notes were considered anti-dilutive.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1" w:name="page52"/>
    <w:bookmarkEnd w:id="51"/>
    <w:p>
      <w:pPr>
        <w:ind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decrease in net assets from operations per share for the three and nine months ended September 30, 2018 and September 30, 2017 (dollars in thousands, except share and per share data):</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340" w:type="dxa"/>
            <w:vAlign w:val="bottom"/>
          </w:tcPr>
          <w:p>
            <w:pPr>
              <w:spacing w:after="0"/>
              <w:rPr>
                <w:sz w:val="20"/>
                <w:szCs w:val="20"/>
                <w:color w:val="auto"/>
              </w:rPr>
            </w:pPr>
          </w:p>
        </w:tc>
        <w:tc>
          <w:tcPr>
            <w:tcW w:w="29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7"/>
              </w:rPr>
              <w:t>For the nine months ended</w:t>
            </w: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8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September 30, 2018</w:t>
            </w: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September 30, 2017</w:t>
            </w:r>
          </w:p>
        </w:tc>
        <w:tc>
          <w:tcPr>
            <w:tcW w:w="180" w:type="dxa"/>
            <w:vAlign w:val="bottom"/>
          </w:tcPr>
          <w:p>
            <w:pPr>
              <w:spacing w:after="0"/>
              <w:rPr>
                <w:sz w:val="19"/>
                <w:szCs w:val="19"/>
                <w:color w:val="auto"/>
              </w:rPr>
            </w:pPr>
          </w:p>
        </w:tc>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September 30, 2018</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30, 2017</w:t>
            </w:r>
          </w:p>
        </w:tc>
        <w:tc>
          <w:tcPr>
            <w:tcW w:w="100" w:type="dxa"/>
            <w:vAlign w:val="bottom"/>
          </w:tcPr>
          <w:p>
            <w:pPr>
              <w:spacing w:after="0"/>
              <w:rPr>
                <w:sz w:val="19"/>
                <w:szCs w:val="19"/>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decrease in net assets from operations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1"/>
              </w:rPr>
              <w:t>Weighted average common stock outstanding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16,001,919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15,911,160</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15,981,154</w:t>
            </w:r>
          </w:p>
        </w:tc>
        <w:tc>
          <w:tcPr>
            <w:tcW w:w="3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15,891,636</w:t>
            </w: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in net assets per share from</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operations – basic and diluted</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(0.74)</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distributions are recorded as payable on the declaration date. Stockholders have the option to receive payment of the distribution in cash, shares of common stock, or a combination of cash and common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nine months ended September 30, 2018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rPr>
              <w:t>DRIP</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Cash</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w:t>
            </w:r>
          </w:p>
        </w:tc>
      </w:tr>
      <w:tr>
        <w:trPr>
          <w:trHeight w:val="234"/>
        </w:trPr>
        <w:tc>
          <w:tcPr>
            <w:tcW w:w="2300" w:type="dxa"/>
            <w:vAlign w:val="bottom"/>
          </w:tcPr>
          <w:p>
            <w:pPr>
              <w:ind w:left="62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080" w:type="dxa"/>
            <w:vAlign w:val="bottom"/>
            <w:gridSpan w:val="2"/>
          </w:tcPr>
          <w:p>
            <w:pPr>
              <w:ind w:left="500"/>
              <w:spacing w:after="0"/>
              <w:rPr>
                <w:sz w:val="20"/>
                <w:szCs w:val="20"/>
                <w:color w:val="auto"/>
              </w:rPr>
            </w:pPr>
            <w:r>
              <w:rPr>
                <w:rFonts w:ascii="Arial" w:cs="Arial" w:eastAsia="Arial" w:hAnsi="Arial"/>
                <w:sz w:val="18"/>
                <w:szCs w:val="18"/>
                <w:b w:val="1"/>
                <w:bCs w:val="1"/>
                <w:color w:val="auto"/>
              </w:rPr>
              <w:t>Record Date</w:t>
            </w:r>
          </w:p>
        </w:tc>
        <w:tc>
          <w:tcPr>
            <w:tcW w:w="2160" w:type="dxa"/>
            <w:vAlign w:val="bottom"/>
          </w:tcPr>
          <w:p>
            <w:pPr>
              <w:ind w:left="54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Issued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rPr>
              <w:t>Value</w:t>
            </w: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January 2, 2018</w:t>
            </w: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February 20, 2018</w:t>
            </w:r>
          </w:p>
        </w:tc>
        <w:tc>
          <w:tcPr>
            <w:tcW w:w="2160" w:type="dxa"/>
            <w:vAlign w:val="bottom"/>
          </w:tcPr>
          <w:p>
            <w:pPr>
              <w:spacing w:after="0"/>
              <w:rPr>
                <w:sz w:val="20"/>
                <w:szCs w:val="20"/>
                <w:color w:val="auto"/>
              </w:rPr>
            </w:pPr>
            <w:r>
              <w:rPr>
                <w:rFonts w:ascii="Arial" w:cs="Arial" w:eastAsia="Arial" w:hAnsi="Arial"/>
                <w:sz w:val="18"/>
                <w:szCs w:val="18"/>
                <w:color w:val="auto"/>
              </w:rPr>
              <w:t>February 27,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1,275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23, 2018</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March 29, 2018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April 2, 2018</w:t>
            </w: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April 19, 2018</w:t>
            </w:r>
          </w:p>
        </w:tc>
        <w:tc>
          <w:tcPr>
            <w:tcW w:w="2160" w:type="dxa"/>
            <w:vAlign w:val="bottom"/>
          </w:tcPr>
          <w:p>
            <w:pPr>
              <w:spacing w:after="0"/>
              <w:rPr>
                <w:sz w:val="20"/>
                <w:szCs w:val="20"/>
                <w:color w:val="auto"/>
              </w:rPr>
            </w:pPr>
            <w:r>
              <w:rPr>
                <w:rFonts w:ascii="Arial" w:cs="Arial" w:eastAsia="Arial" w:hAnsi="Arial"/>
                <w:sz w:val="18"/>
                <w:szCs w:val="18"/>
                <w:color w:val="auto"/>
              </w:rPr>
              <w:t>April 27,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1,278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April 2, 2018</w:t>
            </w: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22, 2018</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May 30, 2018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April 2, 2018</w:t>
            </w: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June 20, 2018</w:t>
            </w:r>
          </w:p>
        </w:tc>
        <w:tc>
          <w:tcPr>
            <w:tcW w:w="2160" w:type="dxa"/>
            <w:vAlign w:val="bottom"/>
          </w:tcPr>
          <w:p>
            <w:pPr>
              <w:spacing w:after="0"/>
              <w:rPr>
                <w:sz w:val="20"/>
                <w:szCs w:val="20"/>
                <w:color w:val="auto"/>
              </w:rPr>
            </w:pPr>
            <w:r>
              <w:rPr>
                <w:rFonts w:ascii="Arial" w:cs="Arial" w:eastAsia="Arial" w:hAnsi="Arial"/>
                <w:sz w:val="18"/>
                <w:szCs w:val="18"/>
                <w:color w:val="auto"/>
              </w:rPr>
              <w:t>June 28, 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July 2, 2018</w:t>
            </w: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July 23, 2018</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July 30, 2018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July 2, 2018</w:t>
            </w: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August 23, 2018</w:t>
            </w:r>
          </w:p>
        </w:tc>
        <w:tc>
          <w:tcPr>
            <w:tcW w:w="2160" w:type="dxa"/>
            <w:vAlign w:val="bottom"/>
          </w:tcPr>
          <w:p>
            <w:pPr>
              <w:spacing w:after="0"/>
              <w:rPr>
                <w:sz w:val="20"/>
                <w:szCs w:val="20"/>
                <w:color w:val="auto"/>
              </w:rPr>
            </w:pPr>
            <w:r>
              <w:rPr>
                <w:rFonts w:ascii="Arial" w:cs="Arial" w:eastAsia="Arial" w:hAnsi="Arial"/>
                <w:sz w:val="18"/>
                <w:szCs w:val="18"/>
                <w:color w:val="auto"/>
              </w:rPr>
              <w:t>August 30, 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1,277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July 2, 2018</w:t>
            </w: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20, 2018</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10,066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r>
      <w:tr>
        <w:trPr>
          <w:trHeight w:val="223"/>
        </w:trPr>
        <w:tc>
          <w:tcPr>
            <w:tcW w:w="4500" w:type="dxa"/>
            <w:vAlign w:val="bottom"/>
            <w:gridSpan w:val="4"/>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11,464</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nine months ended September 30, 2017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DRIP</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Cash</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34"/>
        </w:trPr>
        <w:tc>
          <w:tcPr>
            <w:tcW w:w="2300" w:type="dxa"/>
            <w:vAlign w:val="bottom"/>
          </w:tcPr>
          <w:p>
            <w:pPr>
              <w:ind w:left="62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080" w:type="dxa"/>
            <w:vAlign w:val="bottom"/>
            <w:gridSpan w:val="2"/>
          </w:tcPr>
          <w:p>
            <w:pPr>
              <w:ind w:left="500"/>
              <w:spacing w:after="0"/>
              <w:rPr>
                <w:sz w:val="20"/>
                <w:szCs w:val="20"/>
                <w:color w:val="auto"/>
              </w:rPr>
            </w:pPr>
            <w:r>
              <w:rPr>
                <w:rFonts w:ascii="Arial" w:cs="Arial" w:eastAsia="Arial" w:hAnsi="Arial"/>
                <w:sz w:val="18"/>
                <w:szCs w:val="18"/>
                <w:b w:val="1"/>
                <w:bCs w:val="1"/>
                <w:color w:val="auto"/>
              </w:rPr>
              <w:t>Record Date</w:t>
            </w:r>
          </w:p>
        </w:tc>
        <w:tc>
          <w:tcPr>
            <w:tcW w:w="2160" w:type="dxa"/>
            <w:vAlign w:val="bottom"/>
          </w:tcPr>
          <w:p>
            <w:pPr>
              <w:ind w:left="54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January 3, 2017</w:t>
            </w: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February 20, 2017</w:t>
            </w:r>
          </w:p>
        </w:tc>
        <w:tc>
          <w:tcPr>
            <w:tcW w:w="2160" w:type="dxa"/>
            <w:vAlign w:val="bottom"/>
          </w:tcPr>
          <w:p>
            <w:pPr>
              <w:spacing w:after="0"/>
              <w:rPr>
                <w:sz w:val="20"/>
                <w:szCs w:val="20"/>
                <w:color w:val="auto"/>
              </w:rPr>
            </w:pPr>
            <w:r>
              <w:rPr>
                <w:rFonts w:ascii="Arial" w:cs="Arial" w:eastAsia="Arial" w:hAnsi="Arial"/>
                <w:sz w:val="18"/>
                <w:szCs w:val="18"/>
                <w:color w:val="auto"/>
              </w:rPr>
              <w:t>February 27,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1,993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5,195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23, 2017</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March 30, 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April 3, 2017</w:t>
            </w: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April 19, 2017</w:t>
            </w:r>
          </w:p>
        </w:tc>
        <w:tc>
          <w:tcPr>
            <w:tcW w:w="2160" w:type="dxa"/>
            <w:vAlign w:val="bottom"/>
          </w:tcPr>
          <w:p>
            <w:pPr>
              <w:spacing w:after="0"/>
              <w:rPr>
                <w:sz w:val="20"/>
                <w:szCs w:val="20"/>
                <w:color w:val="auto"/>
              </w:rPr>
            </w:pPr>
            <w:r>
              <w:rPr>
                <w:rFonts w:ascii="Arial" w:cs="Arial" w:eastAsia="Arial" w:hAnsi="Arial"/>
                <w:sz w:val="18"/>
                <w:szCs w:val="18"/>
                <w:color w:val="auto"/>
              </w:rPr>
              <w:t>April 27,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1,996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5,164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April 3, 2017</w:t>
            </w: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23, 2017</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May 29, 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April 3, 2017</w:t>
            </w: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June 21, 2017</w:t>
            </w:r>
          </w:p>
        </w:tc>
        <w:tc>
          <w:tcPr>
            <w:tcW w:w="2160" w:type="dxa"/>
            <w:vAlign w:val="bottom"/>
          </w:tcPr>
          <w:p>
            <w:pPr>
              <w:spacing w:after="0"/>
              <w:rPr>
                <w:sz w:val="20"/>
                <w:szCs w:val="20"/>
                <w:color w:val="auto"/>
              </w:rPr>
            </w:pPr>
            <w:r>
              <w:rPr>
                <w:rFonts w:ascii="Arial" w:cs="Arial" w:eastAsia="Arial" w:hAnsi="Arial"/>
                <w:sz w:val="18"/>
                <w:szCs w:val="18"/>
                <w:color w:val="auto"/>
              </w:rPr>
              <w:t>June 29, 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1,969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7,959</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July 21, 2017</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July 28, 2017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5,889</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July 3, 2017</w:t>
            </w: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August 23, 2017</w:t>
            </w:r>
          </w:p>
        </w:tc>
        <w:tc>
          <w:tcPr>
            <w:tcW w:w="2160" w:type="dxa"/>
            <w:vAlign w:val="bottom"/>
          </w:tcPr>
          <w:p>
            <w:pPr>
              <w:spacing w:after="0"/>
              <w:rPr>
                <w:sz w:val="20"/>
                <w:szCs w:val="20"/>
                <w:color w:val="auto"/>
              </w:rPr>
            </w:pPr>
            <w:r>
              <w:rPr>
                <w:rFonts w:ascii="Arial" w:cs="Arial" w:eastAsia="Arial" w:hAnsi="Arial"/>
                <w:sz w:val="18"/>
                <w:szCs w:val="18"/>
                <w:color w:val="auto"/>
              </w:rPr>
              <w:t>August 30, 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1,957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13,162</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20, 2017</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September 28, 2017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9,085</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500" w:type="dxa"/>
            <w:vAlign w:val="bottom"/>
            <w:gridSpan w:val="4"/>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17,880</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62,586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vMerge w:val="restart"/>
          </w:tcPr>
          <w:p>
            <w:pPr>
              <w:ind w:left="11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nine months ended September 30, 2018 and 2017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2018</w:t>
            </w: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13.91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r>
      <w:tr>
        <w:trPr>
          <w:trHeight w:val="257"/>
        </w:trPr>
        <w:tc>
          <w:tcPr>
            <w:tcW w:w="7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0.78</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0.71</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Net realized loss on investments</w:t>
            </w:r>
            <w:r>
              <w:rPr>
                <w:rFonts w:ascii="Arial" w:cs="Arial" w:eastAsia="Arial" w:hAnsi="Arial"/>
                <w:sz w:val="29"/>
                <w:szCs w:val="29"/>
                <w:color w:val="auto"/>
                <w:vertAlign w:val="superscript"/>
              </w:rPr>
              <w:t>(1)</w:t>
            </w:r>
          </w:p>
        </w:tc>
        <w:tc>
          <w:tcPr>
            <w:tcW w:w="40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r>
      <w:tr>
        <w:trPr>
          <w:trHeight w:val="257"/>
        </w:trPr>
        <w:tc>
          <w:tcPr>
            <w:tcW w:w="7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depreciation on investments</w:t>
            </w:r>
            <w:r>
              <w:rPr>
                <w:rFonts w:ascii="Arial" w:cs="Arial" w:eastAsia="Arial" w:hAnsi="Arial"/>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Net unrealized appreciation (depreciation) on Written Call Option</w:t>
            </w:r>
            <w:r>
              <w:rPr>
                <w:rFonts w:ascii="Arial" w:cs="Arial" w:eastAsia="Arial" w:hAnsi="Arial"/>
                <w:sz w:val="29"/>
                <w:szCs w:val="29"/>
                <w:color w:val="auto"/>
                <w:vertAlign w:val="superscript"/>
              </w:rPr>
              <w:t>(1)</w:t>
            </w:r>
          </w:p>
        </w:tc>
        <w:tc>
          <w:tcPr>
            <w:tcW w:w="40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0.43</w:t>
            </w:r>
          </w:p>
        </w:tc>
        <w:tc>
          <w:tcPr>
            <w:tcW w:w="40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r>
      <w:tr>
        <w:trPr>
          <w:trHeight w:val="257"/>
        </w:trPr>
        <w:tc>
          <w:tcPr>
            <w:tcW w:w="7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benefit (provision)</w:t>
            </w:r>
            <w:r>
              <w:rPr>
                <w:rFonts w:ascii="Arial" w:cs="Arial" w:eastAsia="Arial" w:hAnsi="Arial"/>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4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(0.75)</w:t>
            </w:r>
          </w:p>
        </w:tc>
        <w:tc>
          <w:tcPr>
            <w:tcW w:w="4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r>
      <w:tr>
        <w:trPr>
          <w:trHeight w:val="270"/>
        </w:trPr>
        <w:tc>
          <w:tcPr>
            <w:tcW w:w="78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(7)</w:t>
            </w:r>
          </w:p>
        </w:tc>
        <w:tc>
          <w:tcPr>
            <w:tcW w:w="4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Borders>
              <w:bottom w:val="single" w:sz="8" w:color="CCEEFF"/>
            </w:tcBorders>
          </w:tcPr>
          <w:p>
            <w:pPr>
              <w:spacing w:after="0"/>
              <w:rPr>
                <w:sz w:val="18"/>
                <w:szCs w:val="18"/>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203,596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226,307</w:t>
            </w:r>
          </w:p>
        </w:tc>
        <w:tc>
          <w:tcPr>
            <w:tcW w:w="2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4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16,017,970</w:t>
            </w:r>
          </w:p>
        </w:tc>
        <w:tc>
          <w:tcPr>
            <w:tcW w:w="4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15,930,631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40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31.81%</w:t>
            </w:r>
          </w:p>
        </w:tc>
        <w:tc>
          <w:tcPr>
            <w:tcW w:w="4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(18.50)%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(9)</w:t>
            </w:r>
          </w:p>
        </w:tc>
        <w:tc>
          <w:tcPr>
            <w:tcW w:w="40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c>
          <w:tcPr>
            <w:tcW w:w="40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r>
      <w:tr>
        <w:trPr>
          <w:trHeight w:val="257"/>
        </w:trPr>
        <w:tc>
          <w:tcPr>
            <w:tcW w:w="7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incentive fee, net of incentive fee waiver, to average net assets</w:t>
            </w:r>
            <w:r>
              <w:rPr>
                <w:rFonts w:ascii="Arial" w:cs="Arial" w:eastAsia="Arial" w:hAnsi="Arial"/>
                <w:sz w:val="29"/>
                <w:szCs w:val="29"/>
                <w:color w:val="auto"/>
                <w:vertAlign w:val="superscript"/>
              </w:rPr>
              <w:t>(6)(10)</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(8)</w:t>
            </w:r>
          </w:p>
        </w:tc>
        <w:tc>
          <w:tcPr>
            <w:tcW w:w="40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8.06%</w:t>
            </w:r>
          </w:p>
        </w:tc>
        <w:tc>
          <w:tcPr>
            <w:tcW w:w="40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r>
      <w:tr>
        <w:trPr>
          <w:trHeight w:val="257"/>
        </w:trPr>
        <w:tc>
          <w:tcPr>
            <w:tcW w:w="7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loss on extinguishment of debt to average net assets</w:t>
            </w:r>
            <w:r>
              <w:rPr>
                <w:rFonts w:ascii="Arial" w:cs="Arial" w:eastAsia="Arial" w:hAnsi="Arial"/>
                <w:sz w:val="29"/>
                <w:szCs w:val="29"/>
                <w:color w:val="auto"/>
                <w:vertAlign w:val="superscript"/>
              </w:rPr>
              <w:t>(10)</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Ratio of tax (benefit) provision to average net assets</w:t>
            </w:r>
            <w:r>
              <w:rPr>
                <w:rFonts w:ascii="Arial" w:cs="Arial" w:eastAsia="Arial" w:hAnsi="Arial"/>
                <w:sz w:val="29"/>
                <w:szCs w:val="29"/>
                <w:color w:val="auto"/>
                <w:vertAlign w:val="superscript"/>
              </w:rPr>
              <w:t>(8)</w:t>
            </w:r>
          </w:p>
        </w:tc>
        <w:tc>
          <w:tcPr>
            <w:tcW w:w="40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(0.73)%</w:t>
            </w:r>
          </w:p>
        </w:tc>
        <w:tc>
          <w:tcPr>
            <w:tcW w:w="40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57"/>
        </w:trPr>
        <w:tc>
          <w:tcPr>
            <w:tcW w:w="7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(8)</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Ratio of total expenses including tax benefit, net of fee waivers, to average net assets</w:t>
            </w:r>
            <w:r>
              <w:rPr>
                <w:rFonts w:ascii="Arial" w:cs="Arial" w:eastAsia="Arial" w:hAnsi="Arial"/>
                <w:sz w:val="29"/>
                <w:szCs w:val="29"/>
                <w:color w:val="auto"/>
                <w:vertAlign w:val="superscript"/>
              </w:rPr>
              <w:t>(6)(9)</w:t>
            </w:r>
          </w:p>
        </w:tc>
        <w:tc>
          <w:tcPr>
            <w:tcW w:w="40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40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r>
      <w:tr>
        <w:trPr>
          <w:trHeight w:val="257"/>
        </w:trPr>
        <w:tc>
          <w:tcPr>
            <w:tcW w:w="7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(3)</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w:t>
            </w:r>
          </w:p>
        </w:tc>
      </w:tr>
      <w:tr>
        <w:trPr>
          <w:trHeight w:val="257"/>
        </w:trPr>
        <w:tc>
          <w:tcPr>
            <w:tcW w:w="7880" w:type="dxa"/>
            <w:vAlign w:val="bottom"/>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305,337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333,572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w:t>
            </w:r>
          </w:p>
        </w:tc>
      </w:tr>
      <w:tr>
        <w:trPr>
          <w:trHeight w:val="390"/>
        </w:trPr>
        <w:tc>
          <w:tcPr>
            <w:tcW w:w="7880" w:type="dxa"/>
            <w:vAlign w:val="bottom"/>
          </w:tcPr>
          <w:p>
            <w:pPr>
              <w:spacing w:after="0"/>
              <w:rPr>
                <w:sz w:val="20"/>
                <w:szCs w:val="20"/>
                <w:color w:val="auto"/>
              </w:rPr>
            </w:pPr>
            <w:r>
              <w:rPr>
                <w:rFonts w:ascii="Arial" w:cs="Arial" w:eastAsia="Arial" w:hAnsi="Arial"/>
                <w:sz w:val="18"/>
                <w:szCs w:val="18"/>
                <w:color w:val="auto"/>
              </w:rPr>
              <w:t>Asset coverage ratio per unit</w:t>
            </w:r>
            <w:r>
              <w:rPr>
                <w:rFonts w:ascii="Arial" w:cs="Arial" w:eastAsia="Arial" w:hAnsi="Arial"/>
                <w:sz w:val="30"/>
                <w:szCs w:val="30"/>
                <w:color w:val="auto"/>
                <w:vertAlign w:val="superscript"/>
              </w:rPr>
              <w:t>(5)</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2,602</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2,781</w:t>
            </w:r>
          </w:p>
        </w:tc>
      </w:tr>
    </w:tbl>
    <w:p>
      <w:pPr>
        <w:spacing w:after="0" w:line="68" w:lineRule="exact"/>
        <w:rPr>
          <w:sz w:val="20"/>
          <w:szCs w:val="20"/>
          <w:color w:val="auto"/>
        </w:rPr>
      </w:pPr>
    </w:p>
    <w:p>
      <w:pPr>
        <w:ind w:left="420" w:hanging="317"/>
        <w:spacing w:after="0"/>
        <w:tabs>
          <w:tab w:leader="none" w:pos="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jc w:val="both"/>
        <w:ind w:left="380" w:hanging="318"/>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80" w:right="20" w:hanging="318"/>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420" w:hanging="317"/>
        <w:spacing w:after="0"/>
        <w:tabs>
          <w:tab w:leader="none" w:pos="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sz w:val="20"/>
          <w:szCs w:val="20"/>
          <w:color w:val="auto"/>
        </w:rPr>
      </w:pPr>
    </w:p>
    <w:p>
      <w:pPr>
        <w:jc w:val="both"/>
        <w:ind w:left="380" w:hanging="318"/>
        <w:spacing w:after="0" w:line="265"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September 30, 2018 and September 30, 2017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1" w:lineRule="exact"/>
        <w:rPr>
          <w:rFonts w:ascii="Arial" w:cs="Arial" w:eastAsia="Arial" w:hAnsi="Arial"/>
          <w:sz w:val="17"/>
          <w:szCs w:val="17"/>
          <w:color w:val="auto"/>
        </w:rPr>
      </w:pPr>
    </w:p>
    <w:p>
      <w:pPr>
        <w:ind w:left="380" w:hanging="318"/>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ratio of waived incentive fees to average net assets was 0.00% and 0.40%, for the nine months ended September 30, 2018 and September 30, 2017.</w:t>
      </w:r>
    </w:p>
    <w:p>
      <w:pPr>
        <w:spacing w:after="0" w:line="32" w:lineRule="exact"/>
        <w:rPr>
          <w:rFonts w:ascii="Arial" w:cs="Arial" w:eastAsia="Arial" w:hAnsi="Arial"/>
          <w:sz w:val="16"/>
          <w:szCs w:val="16"/>
          <w:color w:val="auto"/>
        </w:rPr>
      </w:pPr>
    </w:p>
    <w:p>
      <w:pPr>
        <w:ind w:left="380" w:hanging="318"/>
        <w:spacing w:after="0" w:line="281"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sz w:val="20"/>
          <w:szCs w:val="20"/>
          <w:color w:val="auto"/>
        </w:rPr>
      </w:pPr>
    </w:p>
    <w:p>
      <w:pPr>
        <w:ind w:left="680" w:hanging="321"/>
        <w:spacing w:after="0"/>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40" w:right="540" w:hanging="278"/>
        <w:spacing w:after="0" w:line="261" w:lineRule="auto"/>
        <w:tabs>
          <w:tab w:leader="none" w:pos="3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annualized. Incentive fees, net of incentive fees waiver and loss on extinguishment of debt included within the ratio are not annualized. (10) Ratio is not annualized.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September 30,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1, 2018, the Company’s Board declared normal monthly distributions for October, November, and December of 2018 as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340"/>
              <w:spacing w:after="0"/>
              <w:rPr>
                <w:sz w:val="20"/>
                <w:szCs w:val="20"/>
                <w:color w:val="auto"/>
              </w:rPr>
            </w:pPr>
            <w:r>
              <w:rPr>
                <w:rFonts w:ascii="Arial" w:cs="Arial" w:eastAsia="Arial" w:hAnsi="Arial"/>
                <w:sz w:val="18"/>
                <w:szCs w:val="18"/>
                <w:b w:val="1"/>
                <w:bCs w:val="1"/>
                <w:color w:val="auto"/>
              </w:rPr>
              <w:t>Date Declared</w:t>
            </w:r>
          </w:p>
        </w:tc>
        <w:tc>
          <w:tcPr>
            <w:tcW w:w="2640" w:type="dxa"/>
            <w:vAlign w:val="bottom"/>
          </w:tcPr>
          <w:p>
            <w:pPr>
              <w:ind w:left="84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2620" w:type="dxa"/>
            <w:vAlign w:val="bottom"/>
          </w:tcPr>
          <w:p>
            <w:pPr>
              <w:ind w:left="76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20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Distributions per Share</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23, 2018</w:t>
            </w:r>
          </w:p>
        </w:tc>
        <w:tc>
          <w:tcPr>
            <w:tcW w:w="1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30, 2018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640" w:type="dxa"/>
            <w:vAlign w:val="bottom"/>
          </w:tcPr>
          <w:p>
            <w:pPr>
              <w:spacing w:after="0"/>
              <w:rPr>
                <w:sz w:val="20"/>
                <w:szCs w:val="20"/>
                <w:color w:val="auto"/>
              </w:rPr>
            </w:pPr>
            <w:r>
              <w:rPr>
                <w:rFonts w:ascii="Arial" w:cs="Arial" w:eastAsia="Arial" w:hAnsi="Arial"/>
                <w:sz w:val="18"/>
                <w:szCs w:val="18"/>
                <w:color w:val="auto"/>
              </w:rPr>
              <w:t>November 21, 2018</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November 29, 2018</w:t>
            </w:r>
          </w:p>
        </w:tc>
        <w:tc>
          <w:tcPr>
            <w:tcW w:w="8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December 20, 2018</w:t>
            </w:r>
          </w:p>
        </w:tc>
        <w:tc>
          <w:tcPr>
            <w:tcW w:w="2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28, 2018</w:t>
            </w:r>
          </w:p>
        </w:tc>
        <w:tc>
          <w:tcPr>
            <w:tcW w:w="8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Asset Coverage Ratio</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1, 2018, the Board, including a ‘‘required majority’’ (as such term is defined in Section 57(o) of the 1940 Act) approved the application of the modified asset coverage requirements set forth in Section 61(a)(2) of the 1940 Act, as amended by the Small Business Credit Availability Act. As a result, our asset coverage requirements for senior securities will be changed from 200% to 150%, effective November 1, 2019.</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660" w:right="20" w:hanging="342"/>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660" w:hanging="342"/>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660" w:right="20" w:hanging="342"/>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 and in this quarterly report on Form 10-Q.</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2017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 million in trailing twelve-month earnings before interest, tax, depreciation, and amortization (“EBITDA”).</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invest in first lien loans, second lien loans, and subordinated loans. Most of our debt investments are coupled with equity interests, whether in the form of detachable “penny” warrants or equity co-investments made pari-passu with our borrowers’ financial sponsors.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(or 150%, if certain requirements are met) after such borrowing, with certain limited exceptions.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will be changed from 200% to 150%, effective November 1, 2019.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We have two subsidiaries licensed under the Small Business Investment Company (“SBIC”) Act that have elected to be regulated as BDCs under the 1940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 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Florida Sidecar,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September 30, 2018 and December 31, 2017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Florida Sidecar, and the Taxable Subsidiaries) in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income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The Company has loans in the portfolio that contain a payment-in-kind interest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the maturity date are recorded as income upon receipt.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648"/>
        <w:spacing w:after="0" w:line="264" w:lineRule="auto"/>
        <w:rPr>
          <w:sz w:val="20"/>
          <w:szCs w:val="20"/>
          <w:color w:val="auto"/>
        </w:rPr>
      </w:pPr>
      <w:r>
        <w:rPr>
          <w:rFonts w:ascii="Arial" w:cs="Arial" w:eastAsia="Arial" w:hAnsi="Arial"/>
          <w:sz w:val="18"/>
          <w:szCs w:val="18"/>
          <w:color w:val="auto"/>
        </w:rPr>
        <w:t>The Company elected to amend its tax year end from August 31 to December 31 and has filed a tax return for the four months ended December 31, 2017. The election to change tax year end is not expected to have a material impact on the Company’s consolidated statements of operations, the Company’s tax status as a RIC, or the nature of distributions paid to our stockholders.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years ended December 31, 2017, August 31, 2017, August 31, 2016, and August 31, 2015 remain subject to examination by U.S. federal, state, and local tax authorities. No interest expense or penalties have been assessed for the periods ended September 30, 2018 and September 30, 2017. If the Company was required to recognize interest and penalties, if any, related to unrecognized tax benefits this would be recognized as income tax expense in the consolidated statements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U.S. federal income tax purposes, as of September 30, 2018, the aggregate net unrealized appreciation for all securities was $27.4 million. As of September 30, 2018, gross unrealized appreciation was $63.7 million and gross unrealized depreciation was $36.3 million. The aggregate cost of securities for U.S. federal income tax purposes was $412.0 million as of September 30, 2018. For U.S. federal income tax purposes, as of December 31, 2017, the aggregate net unrealized appreciation for all securities was $34.9 million. As of December 31, 2017, gross unrealized appreciation was $81.4 million and gross unrealized depreciation was $46.5 million. The aggregate cost of securities for U.S. federal income tax purposes was $465.0 million as of December 31, 2017.</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September 30, 2018 and December 31, 2017, the Company recorded a net deferred tax liability of $0.1 million and $1.3 million, respectively. For the three months ended September 30, 2018, the Company recorded a tax provision of $(0.1) million. For the nine months ended September 30, 2018, the Company recorded a tax benefit of $1.2 million. For the three and nine months ended September 30, 2017, the Company recorded a tax provision of $(2.7) million.</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2018 and December 31, 2017,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September 30, 2018 and December 31, 2017.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December 22, 2017, the United States enacted tax reform legislation through the Tax Cuts and Jobs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25%. This estimate incorporates assumptions made based on the Taxable Subsidiaries’ current interpretation of the Tax Cuts and Jobs Act and may change, possibly materially, as we complete our analysis and receive additional clarification and implementation guidance.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left="120"/>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Most of the Company’s debt investments are coupled with equity interests, whether in the form of detachable “penny” warrants or equity co-investments made pari-passu with our borrowers’ financial sponsors. As of September 30, 2018, our portfolio consisted of investments in 42 portfolio companies with a fair value of approximately $439.4 million.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September 30, 2018, 9.8% of the fair value of our first lien loans consisted of last-out loans. As of December 31, 2017, 13.7% of the fair value of our first lien loans consisted of last-out loans. In some cases, first lien loans may be subordinated, solely with respect to the payment of cash interest, to an asset based revolving credit facility.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September 30, 2018, we made approximately $19.9 million of investments and had approximately $42.6 million in repayments and sales of investments, resulting in net repayments and sales of approximately $22.7 million for the period. During the three months ended September 30, 2017, we made approximately $11.4 million of investments and had approximately $22.4 million in repayments and sales, resulting in net repayments and sales of approximately $11.0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2018, we made approximately $58.9 million of investments and had approximately $96.3 million in repayments and sales of investments, resulting in net repayments and sales of approximately $37.4 million for the period. During the nine months ended September 30, 2017, we made approximately $39.7 million of investments and had approximately $104.7 million in repayments and sales, resulting in net repayments and sales of approximately $65.0 million for the period.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we received cash consideration of $47.6 million from an affiliated third-party purchaser in exchange for 100% of the partnership interests of FSC II. These assets were sold to FSC II at their June 30, 2016 fair market values, resulting in a net realized gain of $0.1 million. Our Board pre-approved this transaction pursuant to Section 57(f) of the 1940 Act.</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Written Call Option granted FSC II the right to purchase up to 31.25% of the Company’s equity investment in Eastport Holdings, LLC. The Written Call Option had a strike price of $1.5 million and a termination date of August 31, 2018. On August 27, 2018, FSC II exercised its option at a strike price of $1.5 million. The fair value of the Written Call Option, which has been treated as a derivative liability and is recorded in the financial statement line item Written Call Option at fair value in the Company’s consolidated statements of assets and liabilities, was approximately $0.0 million and $6.8 million as of September 30, 2018, and December 31, 2017, respectively. For purposes of determining the fair value of the Written Call Option, the Company calculated the difference in the fair value of the underlying equity investment in Eastport Holdings, LLC and the strike price of the Written Call Option, or intrinsic value. The Written Call Option was classified as a Level 3 financial instrument.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2018, our debt investment portfolio, which represented 76.7% of our total portfolio, had a weighted average annualized yield of approximately 12.0%. As of September 30, 2018, 45.3% of our debt investment portfolio was bearing a fixed rate of interest. As of December 31, 2017, our debt investment portfolio, which represented 75.5% of our total portfolio, had a weighted average annualized yield of approximately 11.9%. As of December 31, 2017, 51.7% of our debt investment portfolio was bearing a fixed rate of interest.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both"/>
        <w:ind w:firstLine="648"/>
        <w:spacing w:after="0" w:line="259" w:lineRule="auto"/>
        <w:rPr>
          <w:sz w:val="20"/>
          <w:szCs w:val="20"/>
          <w:color w:val="auto"/>
        </w:rPr>
      </w:pPr>
      <w:r>
        <w:rPr>
          <w:rFonts w:ascii="Arial" w:cs="Arial" w:eastAsia="Arial" w:hAnsi="Arial"/>
          <w:sz w:val="18"/>
          <w:szCs w:val="18"/>
          <w:color w:val="auto"/>
        </w:rPr>
        <w:t>The weighted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September 30,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244,792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224,703</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33,017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32,148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79,966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80,339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53,882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102,231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50,456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462,113</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489,877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37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Lien Debt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32,465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30,794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120,235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103,385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Equity and Warrants</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55,180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122,271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23.0</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496,248</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531,160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3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56</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 2018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558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tcPr>
          <w:p>
            <w:pPr>
              <w:spacing w:after="0"/>
              <w:rPr>
                <w:sz w:val="16"/>
                <w:szCs w:val="16"/>
                <w:color w:val="auto"/>
              </w:rPr>
            </w:pPr>
          </w:p>
        </w:tc>
      </w:tr>
      <w:tr>
        <w:trPr>
          <w:trHeight w:val="234"/>
        </w:trPr>
        <w:tc>
          <w:tcPr>
            <w:tcW w:w="5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Consumer Products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28,358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29,612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24,761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25,030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26,920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27,774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Healthcare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19,428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21,368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16,781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16,222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 Rental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Footwear Retail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15,310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17,748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Healthcare Management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9,014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Textile Equipment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Telecommunications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Government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12,125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10,320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9,564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8,810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Conglomerate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8,845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5,157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Produce Distribution</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6,120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6,170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Farming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Restaurant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4,897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4,880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Medical Device Distributor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QSR Franchisor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4,355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7,650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Logistics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Home Repair Parts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Household Product Manufacturer</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Specialty Retail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Fuel Transportation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11,588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Refrigeration/HVAC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8,736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Bowling Products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Consumer Electronics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3,498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Replacement Window Manufacturer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In-Home Healthcare Services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Retail Display &amp; Security Services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Dental Practice Management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September 30, 2018 and December 31, 2017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September 30, 2018 and December 31, 2017 (dollars in thousands):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45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Investments at</w:t>
            </w:r>
          </w:p>
        </w:tc>
        <w:tc>
          <w:tcPr>
            <w:tcW w:w="12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Percentage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Investments at</w:t>
            </w:r>
          </w:p>
        </w:tc>
        <w:tc>
          <w:tcPr>
            <w:tcW w:w="1220" w:type="dxa"/>
            <w:vAlign w:val="bottom"/>
            <w:tcBorders>
              <w:top w:val="single" w:sz="8" w:color="auto"/>
            </w:tcBorders>
            <w:gridSpan w:val="2"/>
          </w:tcPr>
          <w:p>
            <w:pPr>
              <w:jc w:val="right"/>
              <w:ind w:right="100"/>
              <w:spacing w:after="0" w:line="191" w:lineRule="exact"/>
              <w:rPr>
                <w:sz w:val="20"/>
                <w:szCs w:val="20"/>
                <w:color w:val="auto"/>
              </w:rPr>
            </w:pPr>
            <w:r>
              <w:rPr>
                <w:rFonts w:ascii="Arial" w:cs="Arial" w:eastAsia="Arial" w:hAnsi="Arial"/>
                <w:sz w:val="18"/>
                <w:szCs w:val="18"/>
                <w:b w:val="1"/>
                <w:bCs w:val="1"/>
                <w:color w:val="auto"/>
                <w:w w:val="92"/>
              </w:rPr>
              <w:t>Percentage of</w:t>
            </w:r>
          </w:p>
        </w:tc>
        <w:tc>
          <w:tcPr>
            <w:tcW w:w="160" w:type="dxa"/>
            <w:vAlign w:val="bottom"/>
          </w:tcPr>
          <w:p>
            <w:pPr>
              <w:spacing w:after="0"/>
              <w:rPr>
                <w:sz w:val="16"/>
                <w:szCs w:val="16"/>
                <w:color w:val="auto"/>
              </w:rPr>
            </w:pPr>
          </w:p>
        </w:tc>
      </w:tr>
      <w:tr>
        <w:trPr>
          <w:trHeight w:val="234"/>
        </w:trPr>
        <w:tc>
          <w:tcPr>
            <w:tcW w:w="45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Total 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3"/>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235,770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254,829</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Midwest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75,123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84,832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Northeast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53,252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44,428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2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439,421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499,939</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w:t>
      </w:r>
    </w:p>
    <w:p>
      <w:pPr>
        <w:sectPr>
          <w:pgSz w:w="11900" w:h="16838" w:orient="portrait"/>
          <w:cols w:equalWidth="0" w:num="1">
            <w:col w:w="11420"/>
          </w:cols>
          <w:pgMar w:left="240" w:top="909" w:right="239" w:bottom="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color w:val="auto"/>
        </w:rPr>
        <w:t>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Investment</w:t>
      </w:r>
    </w:p>
    <w:p>
      <w:pPr>
        <w:spacing w:after="0" w:line="27" w:lineRule="exact"/>
        <w:rPr>
          <w:sz w:val="20"/>
          <w:szCs w:val="20"/>
          <w:color w:val="auto"/>
        </w:rPr>
      </w:pPr>
    </w:p>
    <w:p>
      <w:pPr>
        <w:ind w:left="180"/>
        <w:spacing w:after="0"/>
        <w:tabs>
          <w:tab w:leader="none" w:pos="5800" w:val="left"/>
        </w:tabs>
        <w:rPr>
          <w:sz w:val="20"/>
          <w:szCs w:val="20"/>
          <w:color w:val="auto"/>
        </w:rPr>
      </w:pPr>
      <w:r>
        <w:rPr>
          <w:rFonts w:ascii="Arial" w:cs="Arial" w:eastAsia="Arial" w:hAnsi="Arial"/>
          <w:sz w:val="18"/>
          <w:szCs w:val="18"/>
          <w:b w:val="1"/>
          <w:bCs w:val="1"/>
          <w:color w:val="auto"/>
        </w:rPr>
        <w:t>Rating</w:t>
      </w:r>
      <w:r>
        <w:rPr>
          <w:sz w:val="20"/>
          <w:szCs w:val="20"/>
          <w:color w:val="auto"/>
        </w:rPr>
        <w:tab/>
      </w:r>
      <w:r>
        <w:rPr>
          <w:rFonts w:ascii="Arial" w:cs="Arial" w:eastAsia="Arial" w:hAnsi="Arial"/>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p>
      <w:pPr>
        <w:ind w:left="1000" w:hanging="605"/>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0" w:lineRule="exact"/>
        <w:rPr>
          <w:sz w:val="20"/>
          <w:szCs w:val="20"/>
          <w:color w:val="auto"/>
        </w:rPr>
      </w:pPr>
    </w:p>
    <w:p>
      <w:pPr>
        <w:jc w:val="both"/>
        <w:ind w:left="1000" w:hanging="605"/>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24" w:lineRule="exact"/>
        <w:rPr>
          <w:sz w:val="20"/>
          <w:szCs w:val="20"/>
          <w:color w:val="auto"/>
        </w:rPr>
      </w:pPr>
    </w:p>
    <w:p>
      <w:pPr>
        <w:jc w:val="both"/>
        <w:ind w:left="1000" w:hanging="605"/>
        <w:spacing w:after="0" w:line="264"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000" w:hanging="605"/>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000" w:hanging="605"/>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distribution of our investments on the 1 to 5 investment rating scale at fair value as of September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9"/>
              </w:rPr>
              <w:t>As of September 30, 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As of December 31, 2017</w:t>
            </w: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Investments</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7"/>
              </w:rPr>
              <w:t>Investments</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191,204</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131,310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186,445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97,917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12,686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24,981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439,421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499,939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2018, we had debt investments in three portfolio companies on non-accrual status with an amortized cost of $31.8 million and a fair value of $12.7 million, which represented 7.7% and 2.9% of the investment portfolio, respectively. As of December 31, 2017, we had debt investments in four portfolio companies on non-accrual status with an amortized cost of $50.1 million and a fair value of $25.0 million, which represented 10.8% and 5.0% of the investment portfolio,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nine months ended September 30, 2018 and 2017 were as follows (dollars in thousands):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 income</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Total expenses, net of incentive fee waivers Net investment income</w:t>
      </w:r>
    </w:p>
    <w:p>
      <w:pPr>
        <w:ind w:right="80"/>
        <w:spacing w:after="0" w:line="265" w:lineRule="auto"/>
        <w:rPr>
          <w:sz w:val="20"/>
          <w:szCs w:val="20"/>
          <w:color w:val="auto"/>
        </w:rPr>
      </w:pPr>
      <w:r>
        <w:rPr>
          <w:rFonts w:ascii="Arial" w:cs="Arial" w:eastAsia="Arial" w:hAnsi="Arial"/>
          <w:sz w:val="17"/>
          <w:szCs w:val="17"/>
          <w:color w:val="auto"/>
        </w:rPr>
        <w:t>Net realized gain (loss) on investments Net unrealized appreciation (depreciation) on investments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Net unrealized appreciation (depreciation) on Written Call Option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Tax benefit (provision)</w:t>
      </w:r>
    </w:p>
    <w:p>
      <w:pPr>
        <w:spacing w:after="0" w:line="23"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Net decrease in net assets resulting from operations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9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7"/>
          </w:tcPr>
          <w:p>
            <w:pPr>
              <w:jc w:val="right"/>
              <w:ind w:right="960"/>
              <w:spacing w:after="0"/>
              <w:rPr>
                <w:sz w:val="20"/>
                <w:szCs w:val="20"/>
                <w:color w:val="auto"/>
              </w:rPr>
            </w:pPr>
            <w:r>
              <w:rPr>
                <w:rFonts w:ascii="Arial" w:cs="Arial" w:eastAsia="Arial" w:hAnsi="Arial"/>
                <w:sz w:val="18"/>
                <w:szCs w:val="18"/>
                <w:b w:val="1"/>
                <w:bCs w:val="1"/>
                <w:color w:val="auto"/>
              </w:rPr>
              <w:t>For the nine months ended</w:t>
            </w:r>
          </w:p>
        </w:tc>
      </w:tr>
      <w:tr>
        <w:trPr>
          <w:trHeight w:val="223"/>
        </w:trPr>
        <w:tc>
          <w:tcPr>
            <w:tcW w:w="1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 2018</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0"/>
              </w:rPr>
              <w:t>September 30, 2018</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2017</w:t>
            </w:r>
          </w:p>
        </w:tc>
        <w:tc>
          <w:tcPr>
            <w:tcW w:w="60" w:type="dxa"/>
            <w:vAlign w:val="bottom"/>
            <w:gridSpan w:val="2"/>
          </w:tcPr>
          <w:p>
            <w:pPr>
              <w:spacing w:after="0"/>
              <w:rPr>
                <w:sz w:val="19"/>
                <w:szCs w:val="19"/>
                <w:color w:val="auto"/>
              </w:rPr>
            </w:pPr>
          </w:p>
        </w:tc>
      </w:tr>
      <w:tr>
        <w:trPr>
          <w:trHeight w:val="209"/>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7,679</w:t>
            </w:r>
          </w:p>
        </w:tc>
        <w:tc>
          <w:tcPr>
            <w:tcW w:w="120" w:type="dxa"/>
            <w:vAlign w:val="bottom"/>
          </w:tcPr>
          <w:p>
            <w:pPr>
              <w:spacing w:after="0"/>
              <w:rPr>
                <w:sz w:val="20"/>
                <w:szCs w:val="20"/>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7,902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23,464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28,185</w:t>
            </w:r>
          </w:p>
        </w:tc>
        <w:tc>
          <w:tcPr>
            <w:tcW w:w="40" w:type="dxa"/>
            <w:vAlign w:val="bottom"/>
          </w:tcPr>
          <w:p>
            <w:pPr>
              <w:spacing w:after="0"/>
              <w:rPr>
                <w:sz w:val="20"/>
                <w:szCs w:val="20"/>
                <w:color w:val="auto"/>
              </w:rPr>
            </w:pPr>
          </w:p>
        </w:tc>
      </w:tr>
      <w:tr>
        <w:trPr>
          <w:trHeight w:val="195"/>
        </w:trPr>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3,851</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4,410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12,520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11,304</w:t>
            </w:r>
          </w:p>
        </w:tc>
        <w:tc>
          <w:tcPr>
            <w:tcW w:w="4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6,298</w:t>
            </w:r>
          </w:p>
        </w:tc>
        <w:tc>
          <w:tcPr>
            <w:tcW w:w="12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(10,283)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(20,179)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(749)</w:t>
            </w:r>
          </w:p>
        </w:tc>
      </w:tr>
      <w:tr>
        <w:trPr>
          <w:trHeight w:val="432"/>
        </w:trPr>
        <w:tc>
          <w:tcPr>
            <w:tcW w:w="12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(28,750)</w:t>
            </w:r>
          </w:p>
        </w:tc>
        <w:tc>
          <w:tcPr>
            <w:tcW w:w="120" w:type="dxa"/>
            <w:vAlign w:val="bottom"/>
          </w:tcPr>
          <w:p>
            <w:pPr>
              <w:spacing w:after="0"/>
              <w:rPr>
                <w:sz w:val="24"/>
                <w:szCs w:val="24"/>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3,187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(7,148)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(11,471)</w:t>
            </w:r>
          </w:p>
        </w:tc>
      </w:tr>
      <w:tr>
        <w:trPr>
          <w:trHeight w:val="431"/>
        </w:trPr>
        <w:tc>
          <w:tcPr>
            <w:tcW w:w="120" w:type="dxa"/>
            <w:vAlign w:val="bottom"/>
          </w:tcPr>
          <w:p>
            <w:pPr>
              <w:spacing w:after="0"/>
              <w:rPr>
                <w:sz w:val="24"/>
                <w:szCs w:val="24"/>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6,795</w:t>
            </w:r>
          </w:p>
        </w:tc>
        <w:tc>
          <w:tcPr>
            <w:tcW w:w="120" w:type="dxa"/>
            <w:vAlign w:val="bottom"/>
          </w:tcPr>
          <w:p>
            <w:pPr>
              <w:spacing w:after="0"/>
              <w:rPr>
                <w:sz w:val="24"/>
                <w:szCs w:val="24"/>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6,795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(2,819)</w:t>
            </w:r>
          </w:p>
        </w:tc>
      </w:tr>
      <w:tr>
        <w:trPr>
          <w:trHeight w:val="244"/>
        </w:trPr>
        <w:tc>
          <w:tcPr>
            <w:tcW w:w="12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(2,660)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(2,660)</w:t>
            </w:r>
          </w:p>
        </w:tc>
      </w:tr>
      <w:tr>
        <w:trPr>
          <w:trHeight w:val="20"/>
        </w:trPr>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(11,916)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(5,753)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(6,827)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(6,395)</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-1594485</wp:posOffset>
            </wp:positionV>
            <wp:extent cx="72466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-1303020</wp:posOffset>
            </wp:positionV>
            <wp:extent cx="72466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-1019810</wp:posOffset>
            </wp:positionV>
            <wp:extent cx="72466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-462280</wp:posOffset>
            </wp:positionV>
            <wp:extent cx="72466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00"/>
            <w:col w:w="8080"/>
          </w:cols>
          <w:pgMar w:left="240" w:top="908"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investment income for the three and nine months ended September 30, 2018 and 2017 was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89"/>
              </w:rPr>
              <w:t>For the three months ended</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0"/>
              </w:rPr>
              <w:t>For the nine months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2018</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2017</w:t>
            </w:r>
          </w:p>
        </w:tc>
        <w:tc>
          <w:tcPr>
            <w:tcW w:w="2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2018</w:t>
            </w: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w w:val="88"/>
              </w:rPr>
              <w:t>September 30, 2017</w:t>
            </w:r>
          </w:p>
        </w:tc>
        <w:tc>
          <w:tcPr>
            <w:tcW w:w="10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Fee income</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Dividend income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Interest from cash and cash equivalents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income reported as interest income and PIK interest and PIK dividend income is generally based on the stated rates as disclosed in our consolidated schedule of investments. Accretion of discounts received for purchased loans are included in interest income as an adjustment to yield. As a general rule, our interest income and PIK interest and PIK dividend income are recurring in nature.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three months ended September 30, 2018, total investment income decreased by $0.8 million, or 6.4%, compared to the three months ended September 30, 2017. Interest income increased $0.4 million, from $9.5 million for the three months ended September 30, 2017 to $9.9 million for the three months ended September 30, 2018. The increase from the prior period is primarily related to a higher average cash interest rate during the three months ended September 30, 2018 compared to the three months ended September 30, 2017. Fee income increased from $0.2 million for the three months ended September 30, 2017 to $0.6 million for the three months ended September 30, 2018. For the three months ended September 30, 2018, we generated $0.5 million in origination fees from new deployments and $0.1 million in other fees. Comparatively, for the three months ended September 30, 2017, we generated $0.2 million in origination fees from new deployments and $45 thousand in non-origination fees. The increase in interest income and fee income was offset by a $0.9 million decline in PIK income. PIK income declined from $1.9 million for the three months ended September 30, 2017 to $1.0 million for the three months ended September 30, 2018, primarily due to a decrease in investments with a contractual PIK rate. Dividend income decreased from $0.6 million for the three months ended September 30, 2017 to $0.1 million for the three months ended September 30, 2018, mostly driven by a one-time dividend paid during the three months ended September 30, 2017.</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nine months ended September 30, 2018, total investment income decreased by $3.5 million, or 8.9%, compared to the nine months ended September 30, 2017. The decrease from the prior period was driven primarily by a $2.3 million decline in PIK income, from $5.6 million for the nine months ended September 30, 2017, to $3.3 million for the nine months ended September 30, 2018. The decline in PIK income was primarily due to a decrease in investments with a contractual PIK rate. Interest income decreased from $31.3 million for the nine months ended September 30, 2017 to $31.1 million for the nine months ended September 30, 2018. The decrease in interest income was driven by a decline in average debt investments, partially offset by the impact of income reversal on non-accrual loans added during the nine months ended September 30, 2017. Fee income was consistent with the prior period. For the nine months ended September 30, 2018, we generated $0.9 million in origination fees from new deployments and $0.3 million in other fees. Comparatively, for the nine months ended September 30, 2017, we generated $0.6 million in origination fees from new deployments and $0.6 million in non-origination fees. Dividend income decreased from $1.1 million for the nine months ended September 30, 2017 to $0.2 million for the nine months ended September 30, 2018, mostly driven by one-time dividends paid during the nine months ended September 30, 2017.</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composition of our expenses for the three and nine months ended September 30, 2018 and September 30, 2017 was as follows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0"/>
              </w:rPr>
              <w:t>For the three months ended</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0"/>
              </w:rPr>
              <w:t>For the nine months ended</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2018</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2017</w:t>
            </w:r>
          </w:p>
        </w:tc>
        <w:tc>
          <w:tcPr>
            <w:tcW w:w="22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2018</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88"/>
              </w:rPr>
              <w:t>September 30, 2017</w:t>
            </w:r>
          </w:p>
        </w:tc>
        <w:tc>
          <w:tcPr>
            <w:tcW w:w="100" w:type="dxa"/>
            <w:vAlign w:val="bottom"/>
            <w:gridSpan w:val="2"/>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2,732</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6,871</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7,436</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Incentive fees, net of incentive fee waiver</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w:t>
            </w:r>
          </w:p>
        </w:tc>
        <w:tc>
          <w:tcPr>
            <w:tcW w:w="80" w:type="dxa"/>
            <w:vAlign w:val="bottom"/>
            <w:shd w:val="clear" w:color="auto" w:fill="CCEEFF"/>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expenses, net of incentive fee waiver</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28,185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months ended September 30, 2018, operating expenses decreased $0.2 million, or 2.8%, compared to the three months ended September 30, 2017. For the three months ended September 30, 2018, interest and financing expenses decreased $0.3 million compared to the three months ended September 30, 2017, due primarily to a lower average outstanding debt balance. Management fees declined from $2.4 million for the three months ended September 30, 2017 to $2.3 million for the three months ended September 30, 2018, due to lower average assets under management. General and administrative expenses increased $0.2 million, from $0.9 million for the three months ended September 30, 2017 to $1.1 million for the three months ended September 30, 2018, due primarily to higher legal expenses.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nine months ended September 30, 2018, operating expenses decreased $4.7 million, or 16.8%, compared to the nine months ended September 30, 2017. For the nine months ended September 30, 2017, we recognized a $2.7 million loss on extinguishment of debt related to repayment of our 7.125% Notes due 2021 (the “2021 Notes”). For the nine months ended September 30, 2018, interest and financing expenses decreased $1.7 million compared to the nine months ended September 30, 2017, due primarily to a larger average outstanding debt balance and a higher weighted average interest rate for the nine months ended September 30, 2017. Management fees declined from $7.4 million for the nine months ended September 30, 2017 to $6.9 million for the nine months ended September 30, 2018, due to lower average assets under management. Incentive fees, net of incentive fee waiver, declined by $0.1 million for the nine months ended September 30, 2018 compared to the nine months ended September 30, 2017, due to lower pre-incentive fee net investment income. General and administrative expenses increased $0.4 million, from $2.9 million for the nine months ended September 30, 2017 to $3.3 million for the three months ended September 30, 2018, due primarily to higher legal expenses and payments made to the Administrator.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(losses) on sales of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nine months ended September 30, 2018 we recognized $6.3 million and $(20.2) million, respectively, of net realized gains (losses) on our portfolio investments. During the three and nine months ended September 30, 2017 we recognized $(10.3) million and $(0.7) million, respectively, of net realized losses on our portfolio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and nine months ended September 30, 2018 we had net unrealized depreciation of $(28.8) million and $(7.1) million, respectively. For the three and nine months ended September 30, 2017 we had net unrealized depreciation of $3.2 million and $(11.5)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Written Call Option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nine months ended September 30, 2018 we had net unrealized appreciation on the Written Call Option of $6.8 million and $6.8 million, respectively. For the three and nine months ended September 30, 2017 we had net unrealized depreciation on the Written Call Option of $(0.4) million and $(2.8) million,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Tax benefit (provision)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and nine months ended September 30, 2018 we recorded a tax provision of $(0.1) million and a tax benefit of $1.2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2017 a tax provision of $(2.7) million was recorded.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three and nine months ended September 30, 2018 we recorded a net decrease in net assets resulting from operations of $(11.9) million and $(6.8) million, respectively. Based on the weighted average shares of common stock outstanding for the three and nine months ended September 30, 2018 our per share net decrease in net assets resulting from operations was $(0.74) and $(0.43), respectively.</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three and nine months ended September 30, 2017 we recorded a net decrease in net assets resulting from operations of $(5.8) million and $(6.4) million, respectively. Based on the weighted average shares of common stock outstanding for the three and nine months ended September 30, 2017 our per share net decrease in net assets resulting from operations was $(0.36) and $(0.40), respectively.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three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September 30, 2018 and December 31, 2017, and for the nine months ended September 30, 2018 and September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AAE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AAE Acquisition, LLC, formed on May 21, 2004 as a Delaware limited liability company, is an aerial equipment rental and services business primarily serving the Gulf Coast region. The income the Company generated from AAE Acquisition, LLC, which includes all interest, dividends, PIK interest and PIK dividends, fees, and unrealized appreciation (depreciation), was $1.7 million and $1.1 million for the nine months ended September 30, 2018 and September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(loss) the Company generated from CableOrganizer Acquisition, LLC, which includes all interest, dividends, PIK interest and PIK dividends, fees, and unrealized appreciation (depreciation), was $(0.2) million and $1.3 million for the nine months ended September 30, 2018 and September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 Precision, LLC, formed on August 5, 2011 as a Delaware limited liability company, is a prime contractor supplying critical parts and mechanical assemblies to the U.S. Department of Defense as well as designer and manufacturer of locomotive air horns. The income (loss) the Company generated from Micro Precision, LLC, which includes all interest, dividends, PIK interest and PIK dividends, fees, and unrealized appreciation (depreciation), was $1.9 million and $(0.2) million for the nine months ended September 30, 2018 and September 30, 2017,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w w:val="95"/>
              </w:rPr>
              <w:t>September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 – AAE Acquisition, LLC</w:t>
            </w: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Noncurrent assets</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24,838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27,668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0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53,009</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51,428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10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(19,945)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w w:val="95"/>
              </w:rPr>
              <w:t>September 30,</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10"/>
              <w:spacing w:after="0" w:line="205" w:lineRule="exact"/>
              <w:rPr>
                <w:sz w:val="20"/>
                <w:szCs w:val="20"/>
                <w:color w:val="auto"/>
              </w:rPr>
            </w:pPr>
            <w:r>
              <w:rPr>
                <w:rFonts w:ascii="Arial" w:cs="Arial" w:eastAsia="Arial" w:hAnsi="Arial"/>
                <w:sz w:val="18"/>
                <w:szCs w:val="18"/>
                <w:b w:val="1"/>
                <w:bCs w:val="1"/>
                <w:color w:val="auto"/>
                <w:w w:val="95"/>
              </w:rPr>
              <w:t>September 30,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 AAE Acquisition,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14,386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9,327</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(3,936)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Balance Sheet – CableOrganizer Acquisition,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8,534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9,601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6,022</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Balance Sheet – Micro Precision, LLC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19,494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13,958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For the nine months ended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Statements of Operations – Micro Precision, 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goods sold</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4,565</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7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 (loss)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0" w:type="dxa"/>
            <w:vAlign w:val="bottom"/>
            <w:vMerge w:val="restart"/>
          </w:tcPr>
          <w:p>
            <w:pPr>
              <w:jc w:val="right"/>
              <w:ind w:right="15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468"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2013, we issued 4,000,000 shares at $20.00 per share in our IPO, yielding net proceeds of $74.25 million.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The Credit Facility was amended on May 22, 2015, June 16, 2017, and July 19, 2018 (the “Amendments”). The Amendments were affected, among other things, in order to increase the total borrowings allowed under the Credit Facility, allow for stock repurchases, extend the maturity date, and to reduce the minimum required interest coverage ratio. The Credit Facility currently provides for borrowings up to $114.5 million and may be increased up to $200.0 million pursuant to its “accordion” feature. The Credit Facility matures on June 16, 2021. As of September 30, 2018, we had $0.0 million outstanding and $114.5 million available under the Credit Facility.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13, 2015, we completed an underwritten offering of 3,500,000 shares of our common stock at a public offering price of $18.32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proceeds received in the offering net of underwriting discounts and offering costs were approximately $61.7 million.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is payable quarterly beginning August 31, 2017. The 2022 Notes are listed on the NASDAQ Global Select Market under the trading symbol “CPTAL” with a par value $25.00 per share.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is payable quarterly beginning August 31, 2017. The 2022 Convertible Notes are listed on the NASDAQ Capital Market under the trading symbol “CPTAG” with a par value $25.00 per share.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September 30, 2018, Fund II had $26.2 million in regulatory capital and $15.7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we had $50.5 million in cash and cash equivalents, and our net assets totaled $203.6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A summary of our significant contractual payment obligations as of September 30, 2018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8"/>
                <w:szCs w:val="18"/>
                <w:b w:val="1"/>
                <w:bCs w:val="1"/>
                <w:color w:val="auto"/>
                <w:w w:val="97"/>
              </w:rPr>
              <w:t>Contractual Obligations Payments Due by Period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89"/>
              </w:rPr>
              <w:t>Less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1 – 3</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More Than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1 Year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5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ind w:lef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2022 Notes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52,088</w:t>
            </w:r>
          </w:p>
        </w:tc>
        <w:tc>
          <w:tcPr>
            <w:tcW w:w="80" w:type="dxa"/>
            <w:vAlign w:val="bottom"/>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212,088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summarize our distributions declared from January 4, 2016 through September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3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1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2018</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23, 2018</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19, 2018</w:t>
            </w: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April 27,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22, 2018</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2018</w:t>
            </w: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June 28,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23, 2018</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July 2, 2018</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23, 2018</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August 30,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2018</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 Distributions Declared and Distributed for 2018</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vMerge w:val="restart"/>
          </w:tcPr>
          <w:p>
            <w:pPr>
              <w:jc w:val="right"/>
              <w:ind w:right="12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3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23,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19,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April 27,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23,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29, 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24,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June 29,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21,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23,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August 30,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28, 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23,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21, 2017</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 2017</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December 28, 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5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2017</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3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2016</w:t>
            </w:r>
          </w:p>
        </w:tc>
        <w:tc>
          <w:tcPr>
            <w:tcW w:w="1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19,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22,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22,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April 28, 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23,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21,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22,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29, 2016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22,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August 30, 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22,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29, 2016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21,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October 28, 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2016</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21, 2016</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21, 2016</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December 29, 2016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23"/>
        </w:trPr>
        <w:tc>
          <w:tcPr>
            <w:tcW w:w="5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2016</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an affiliate of the Investment Advisor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V and/or CSLC given their similar investment strategies.</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w:t>
      </w:r>
    </w:p>
    <w:p>
      <w:pPr>
        <w:spacing w:after="0" w:line="3" w:lineRule="exact"/>
        <w:rPr>
          <w:sz w:val="20"/>
          <w:szCs w:val="20"/>
          <w:color w:val="auto"/>
        </w:rPr>
      </w:pPr>
    </w:p>
    <w:p>
      <w:pPr>
        <w:ind w:firstLine="8"/>
        <w:spacing w:after="0" w:line="261" w:lineRule="auto"/>
        <w:tabs>
          <w:tab w:leader="none" w:pos="2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co-investment transaction is consistent with the interests of our stockholders and is consistent with our then-current investment objective and strategies.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2018, the Company had outstanding unfunded commitments related to debt investments in existing portfolio companies of $2.4 million (Portrait Studio, LLC), $1.1 million (MC Sign Lessor, Corp), $0.7 million (U.S. Well Services, LLC) and $0.3 million (CableOrganizer Acquisition, LLC). As of December 31, 2017, the Company had outstanding unfunded commitments related to debt investments in existing portfolio companies of $3.1 million (Portrait Studio, LLC), $2.0 million (CIS Secure Computing, Inc.), $1.0 million (Kelle’s Transport Service, LLC), and $0.7 million (U.S. Well Services, LLC).</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1, 2018 our Board declared the following distributions: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340"/>
              <w:spacing w:after="0"/>
              <w:rPr>
                <w:sz w:val="20"/>
                <w:szCs w:val="20"/>
                <w:color w:val="auto"/>
              </w:rPr>
            </w:pPr>
            <w:r>
              <w:rPr>
                <w:rFonts w:ascii="Arial" w:cs="Arial" w:eastAsia="Arial" w:hAnsi="Arial"/>
                <w:sz w:val="18"/>
                <w:szCs w:val="18"/>
                <w:b w:val="1"/>
                <w:bCs w:val="1"/>
                <w:color w:val="auto"/>
              </w:rPr>
              <w:t>Date Declared</w:t>
            </w:r>
          </w:p>
        </w:tc>
        <w:tc>
          <w:tcPr>
            <w:tcW w:w="2640" w:type="dxa"/>
            <w:vAlign w:val="bottom"/>
          </w:tcPr>
          <w:p>
            <w:pPr>
              <w:ind w:left="84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2620" w:type="dxa"/>
            <w:vAlign w:val="bottom"/>
          </w:tcPr>
          <w:p>
            <w:pPr>
              <w:ind w:left="76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20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Distributions per Share</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23, 2018</w:t>
            </w:r>
          </w:p>
        </w:tc>
        <w:tc>
          <w:tcPr>
            <w:tcW w:w="1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30, 2018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640" w:type="dxa"/>
            <w:vAlign w:val="bottom"/>
          </w:tcPr>
          <w:p>
            <w:pPr>
              <w:spacing w:after="0"/>
              <w:rPr>
                <w:sz w:val="20"/>
                <w:szCs w:val="20"/>
                <w:color w:val="auto"/>
              </w:rPr>
            </w:pPr>
            <w:r>
              <w:rPr>
                <w:rFonts w:ascii="Arial" w:cs="Arial" w:eastAsia="Arial" w:hAnsi="Arial"/>
                <w:sz w:val="18"/>
                <w:szCs w:val="18"/>
                <w:color w:val="auto"/>
              </w:rPr>
              <w:t>November 21, 2018</w:t>
            </w: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November 29, 2018</w:t>
            </w:r>
          </w:p>
        </w:tc>
        <w:tc>
          <w:tcPr>
            <w:tcW w:w="8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December 20, 2018</w:t>
            </w:r>
          </w:p>
        </w:tc>
        <w:tc>
          <w:tcPr>
            <w:tcW w:w="2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28, 2018</w:t>
            </w:r>
          </w:p>
        </w:tc>
        <w:tc>
          <w:tcPr>
            <w:tcW w:w="8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Asset Coverage Ratio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1, 2018, the Board, including a ‘‘required majority’’ (as such term is defined in Section 57(o) of the 1940 Act) approved the application of the modified asset coverage requirements set forth in Section 61(a)(2) of the 1940 Act, as amended by the SBCA. As a result, our asset coverage requirements for senior securities will be changed from 200% to 150%, effective November 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nine months ended September 30, 2018, we did not engage in hedging activities.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2018, we held 22 securities bearing a variable rate of interest. Our variable rate investments represent approximately 54.7% of the fair value of total debt investments. As of September 30, 2018, 6.1% of variable rate securities were yielding interest at a rate equal to the established interest rate floor or interest rate ceiling and 93.9% of variable rate securities were yielding interest at a rate above its interest rate floor or were not subject to an interest rate floor. As of September 30, 2018, we had $0.0 million outstanding on our Credit Facility, which has a variable rate of interest at one-month LIBOR + 3.0%. As of September 30, 2018, all of our other interest paying liabilities, consisting of $165.7 million in SBA-guaranteed debentures, $75.0 million in 2022 Notes, and $52.1 million in 2022 Convertible Notes, were bearing interest at a fixed rate.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648"/>
        <w:spacing w:after="0" w:line="264" w:lineRule="auto"/>
        <w:rPr>
          <w:sz w:val="20"/>
          <w:szCs w:val="20"/>
          <w:color w:val="auto"/>
        </w:rPr>
      </w:pPr>
      <w:r>
        <w:rPr>
          <w:rFonts w:ascii="Arial" w:cs="Arial" w:eastAsia="Arial" w:hAnsi="Arial"/>
          <w:sz w:val="18"/>
          <w:szCs w:val="18"/>
          <w:color w:val="auto"/>
        </w:rPr>
        <w:t>Based on our September 30, 2018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Increase)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decrease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Increase</w:t>
            </w: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6980" w:type="dxa"/>
            <w:vAlign w:val="bottom"/>
          </w:tcPr>
          <w:p>
            <w:pPr>
              <w:ind w:left="2740"/>
              <w:spacing w:after="0"/>
              <w:rPr>
                <w:sz w:val="20"/>
                <w:szCs w:val="20"/>
                <w:color w:val="auto"/>
              </w:rPr>
            </w:pPr>
            <w:r>
              <w:rPr>
                <w:rFonts w:ascii="Arial" w:cs="Arial" w:eastAsia="Arial" w:hAnsi="Arial"/>
                <w:sz w:val="18"/>
                <w:szCs w:val="18"/>
                <w:b w:val="1"/>
                <w:bCs w:val="1"/>
                <w:color w:val="auto"/>
              </w:rPr>
              <w:t>Basis Point Change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income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 net income</w:t>
            </w: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Up 200 basis points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Down 100 basis points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(1,661)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(2,309)</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Down 300 basis points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(2,309)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September 30, 2018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third quarter of 2018 that has materially affected, or is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than as described below, 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complaint, as currently amended, alleges certain violations of the securities laws, including, </w:t>
      </w:r>
      <w:r>
        <w:rPr>
          <w:rFonts w:ascii="Arial" w:cs="Arial" w:eastAsia="Arial" w:hAnsi="Arial"/>
          <w:sz w:val="17"/>
          <w:szCs w:val="17"/>
          <w:i w:val="1"/>
          <w:iCs w:val="1"/>
          <w:color w:val="auto"/>
        </w:rPr>
        <w:t>inter alia</w:t>
      </w:r>
      <w:r>
        <w:rPr>
          <w:rFonts w:ascii="Arial" w:cs="Arial" w:eastAsia="Arial" w:hAnsi="Arial"/>
          <w:sz w:val="17"/>
          <w:szCs w:val="17"/>
          <w:color w:val="auto"/>
        </w:rPr>
        <w:t>, that the defendants made certain materially false and misleading statements and omissions regarding the Company’s business, operations, and prospects between January 4, 2016 and August 7, 2017. The plaintiffs in the Paskowitz Action seek compensatory damages and attorneys’ fees and costs, among other relief, but did not specify the amount of damages being sought. Defendants have moved to dismiss the amended complaint. While the Company intends to vigorously defend itself in this litigation, the outcome of these legal proceedings cannot be predicted with certainty.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adversely affect the Company’s financial condition, results of operations or cash flows in any particular reporting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2017, which could materially affect our business, financial condition and/or operating results.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During the nine months ended September 30, 2018, there have been no material changes from the risk factors set forth in our Annual Report on Form 10-K for the year ended December 31, 2017 except for the following: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use of leverage magnifies the potential for gain or loss on amounts invested and, therefore, increases the risks associated with investing in our securities. In addition to the existing SBA-guaranteed debentures, the 2022 Notes, the 2022 Convertible Notes and the Credit Facility,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Advisor will be payable based on our gross assets, including those assets acquired through the use of leverage, our Investment Advisor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Advisor.</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tax treatment as a RIC under the Code. Even though our Board has approved a resolution permitting the Company to be subject to a 150% asset coverage ratio to be effective on November 1, 2019, contractual leverage limitations under our existing Credit Facility or future borrowings may limit our ability to incur additional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1940 Act generally prohibits us from incurring indebtedness unless immediately after such borrowing we have an asset coverage for total borrowings of at least 200% (i.e., the amount of debt may not exceed 50% of the value of our total assets). However,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requirements set forth in Section 61(a)(2) of the 1940 Act, as amended by the SBCA. As a result, our asset coverage requirements for senior securities will be changed from 200% to 150%, effective November 1, 2019. The Board may also recommend the submission of a proposal for stockholders to approve the application of the 150% minimum asset coverage ratio to the Company at an annual or special meeting of stockholders. The Board has not recommended the submission of any such proposal. If any such stockholder proposal is approved by the required votes of the Company’s stockholders at such meeting of stockholders, the Company would become subject to the 150% minimum asset coverage ratio the day after such stockholder approval. Changing the asset coverage ratio would permit the Company to double its leverage, which would result in increased leverage risk and increased expenses.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648"/>
        <w:spacing w:after="0" w:line="270" w:lineRule="auto"/>
        <w:rPr>
          <w:sz w:val="20"/>
          <w:szCs w:val="20"/>
          <w:color w:val="auto"/>
        </w:rPr>
      </w:pPr>
      <w:r>
        <w:rPr>
          <w:rFonts w:ascii="Arial" w:cs="Arial" w:eastAsia="Arial" w:hAnsi="Arial"/>
          <w:sz w:val="17"/>
          <w:szCs w:val="17"/>
          <w:color w:val="auto"/>
        </w:rPr>
        <w:t>As a result of this legislation,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quarter ended September 30, 2018, we issued 23,280 shares of common stock under our DRIP. The issuances were not subject to the registration requirements under the Securities Act of 1933, as amended. The cash paid for shares of common stock issued under our DRIP during the quarter ended September 30, 2018 was approximately $0.2 million. Other than the shares issued under our DRIP during the quarter ended September 30, 2018, we did not sell any unregistered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spacing w:after="0" w:line="209" w:lineRule="auto"/>
        <w:framePr w:w="400" w:h="160" w:wrap="auto" w:vAnchor="page" w:hAnchor="page" w:x="200" w:y="7272"/>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32.1</w:t>
        </w:r>
      </w:hyperlink>
    </w:p>
    <w:p>
      <w:pPr>
        <w:spacing w:after="0" w:line="209" w:lineRule="auto"/>
        <w:framePr w:w="400" w:h="160" w:wrap="auto" w:vAnchor="page" w:hAnchor="page" w:x="200" w:y="6624"/>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31.2</w:t>
        </w:r>
      </w:hyperlink>
    </w:p>
    <w:p>
      <w:pPr>
        <w:spacing w:after="0" w:line="196" w:lineRule="auto"/>
        <w:framePr w:w="320" w:h="160" w:wrap="auto" w:vAnchor="page" w:hAnchor="page" w:x="200" w:y="5071"/>
        <w:rPr>
          <w:rFonts w:ascii="Arial" w:cs="Arial" w:eastAsia="Arial" w:hAnsi="Arial"/>
          <w:sz w:val="17"/>
          <w:szCs w:val="17"/>
          <w:u w:val="single" w:color="auto"/>
          <w:color w:val="0000EE"/>
        </w:rPr>
      </w:pPr>
      <w:hyperlink r:id="rId132">
        <w:r>
          <w:rPr>
            <w:rFonts w:ascii="Arial" w:cs="Arial" w:eastAsia="Arial" w:hAnsi="Arial"/>
            <w:sz w:val="17"/>
            <w:szCs w:val="17"/>
            <w:u w:val="single" w:color="auto"/>
            <w:color w:val="0000EE"/>
          </w:rPr>
          <w:t>4.1</w:t>
        </w:r>
      </w:hyperlink>
    </w:p>
    <w:p>
      <w:pPr>
        <w:spacing w:after="0" w:line="209" w:lineRule="auto"/>
        <w:framePr w:w="400" w:h="160" w:wrap="auto" w:vAnchor="page" w:hAnchor="page" w:x="200" w:y="5544"/>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11.1</w:t>
        </w:r>
      </w:hyperlink>
    </w:p>
    <w:p>
      <w:pPr>
        <w:spacing w:after="0" w:line="209" w:lineRule="auto"/>
        <w:framePr w:w="400" w:h="160" w:wrap="auto" w:vAnchor="page" w:hAnchor="page" w:x="200" w:y="5976"/>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31.1</w:t>
        </w:r>
      </w:hyperlink>
    </w:p>
    <w:p>
      <w:pPr>
        <w:jc w:val="both"/>
        <w:spacing w:after="0" w:line="263" w:lineRule="auto"/>
        <w:framePr w:w="720" w:h="606" w:wrap="auto" w:vAnchor="page" w:hAnchor="page" w:x="200" w:y="1789"/>
        <w:rPr>
          <w:rFonts w:ascii="Arial" w:cs="Arial" w:eastAsia="Arial" w:hAnsi="Arial"/>
          <w:sz w:val="16"/>
          <w:szCs w:val="16"/>
          <w:u w:val="single" w:color="auto"/>
          <w:color w:val="0000EE"/>
        </w:rPr>
      </w:pPr>
      <w:r>
        <w:rPr>
          <w:rFonts w:ascii="Arial" w:cs="Arial" w:eastAsia="Arial" w:hAnsi="Arial"/>
          <w:sz w:val="16"/>
          <w:szCs w:val="16"/>
          <w:b w:val="1"/>
          <w:bCs w:val="1"/>
          <w:u w:val="single" w:color="auto"/>
          <w:color w:val="0000EE"/>
        </w:rPr>
        <w:t xml:space="preserve">Exhibit Number </w:t>
      </w:r>
      <w:hyperlink r:id="rId133">
        <w:r>
          <w:rPr>
            <w:rFonts w:ascii="Arial" w:cs="Arial" w:eastAsia="Arial" w:hAnsi="Arial"/>
            <w:sz w:val="16"/>
            <w:szCs w:val="16"/>
            <w:u w:val="single" w:color="auto"/>
            <w:color w:val="0000EE"/>
          </w:rPr>
          <w:t>3.1</w:t>
        </w:r>
      </w:hyperlink>
    </w:p>
    <w:p>
      <w:pPr>
        <w:spacing w:after="0" w:line="196" w:lineRule="auto"/>
        <w:framePr w:w="320" w:h="160" w:wrap="auto" w:vAnchor="page" w:hAnchor="page" w:x="200" w:y="2708"/>
        <w:rPr>
          <w:rFonts w:ascii="Arial" w:cs="Arial" w:eastAsia="Arial" w:hAnsi="Arial"/>
          <w:sz w:val="17"/>
          <w:szCs w:val="17"/>
          <w:u w:val="single" w:color="auto"/>
          <w:color w:val="0000EE"/>
        </w:rPr>
      </w:pPr>
      <w:hyperlink r:id="rId134">
        <w:r>
          <w:rPr>
            <w:rFonts w:ascii="Arial" w:cs="Arial" w:eastAsia="Arial" w:hAnsi="Arial"/>
            <w:sz w:val="17"/>
            <w:szCs w:val="17"/>
            <w:u w:val="single" w:color="auto"/>
            <w:color w:val="0000EE"/>
          </w:rPr>
          <w:t>3.2</w:t>
        </w:r>
      </w:hyperlink>
    </w:p>
    <w:p>
      <w:pPr>
        <w:spacing w:after="0" w:line="196" w:lineRule="auto"/>
        <w:framePr w:w="320" w:h="160" w:wrap="auto" w:vAnchor="page" w:hAnchor="page" w:x="200" w:y="3180"/>
        <w:rPr>
          <w:rFonts w:ascii="Arial" w:cs="Arial" w:eastAsia="Arial" w:hAnsi="Arial"/>
          <w:sz w:val="17"/>
          <w:szCs w:val="17"/>
          <w:u w:val="single" w:color="auto"/>
          <w:color w:val="0000EE"/>
        </w:rPr>
      </w:pPr>
      <w:hyperlink r:id="rId135">
        <w:r>
          <w:rPr>
            <w:rFonts w:ascii="Arial" w:cs="Arial" w:eastAsia="Arial" w:hAnsi="Arial"/>
            <w:sz w:val="17"/>
            <w:szCs w:val="17"/>
            <w:u w:val="single" w:color="auto"/>
            <w:color w:val="0000EE"/>
          </w:rPr>
          <w:t>3.3</w:t>
        </w:r>
      </w:hyperlink>
    </w:p>
    <w:p>
      <w:pPr>
        <w:spacing w:after="0" w:line="196" w:lineRule="auto"/>
        <w:framePr w:w="320" w:h="160" w:wrap="auto" w:vAnchor="page" w:hAnchor="page" w:x="200" w:y="3653"/>
        <w:rPr>
          <w:rFonts w:ascii="Arial" w:cs="Arial" w:eastAsia="Arial" w:hAnsi="Arial"/>
          <w:sz w:val="17"/>
          <w:szCs w:val="17"/>
          <w:u w:val="single" w:color="auto"/>
          <w:color w:val="0000EE"/>
        </w:rPr>
      </w:pPr>
      <w:hyperlink r:id="rId136">
        <w:r>
          <w:rPr>
            <w:rFonts w:ascii="Arial" w:cs="Arial" w:eastAsia="Arial" w:hAnsi="Arial"/>
            <w:sz w:val="17"/>
            <w:szCs w:val="17"/>
            <w:u w:val="single" w:color="auto"/>
            <w:color w:val="0000EE"/>
          </w:rPr>
          <w:t>3.4</w:t>
        </w:r>
      </w:hyperlink>
    </w:p>
    <w:p>
      <w:pPr>
        <w:spacing w:after="0" w:line="196" w:lineRule="auto"/>
        <w:framePr w:w="320" w:h="160" w:wrap="auto" w:vAnchor="page" w:hAnchor="page" w:x="200" w:y="4126"/>
        <w:rPr>
          <w:rFonts w:ascii="Arial" w:cs="Arial" w:eastAsia="Arial" w:hAnsi="Arial"/>
          <w:sz w:val="17"/>
          <w:szCs w:val="17"/>
          <w:u w:val="single" w:color="auto"/>
          <w:color w:val="0000EE"/>
        </w:rPr>
      </w:pPr>
      <w:hyperlink r:id="rId137">
        <w:r>
          <w:rPr>
            <w:rFonts w:ascii="Arial" w:cs="Arial" w:eastAsia="Arial" w:hAnsi="Arial"/>
            <w:sz w:val="17"/>
            <w:szCs w:val="17"/>
            <w:u w:val="single" w:color="auto"/>
            <w:color w:val="0000EE"/>
          </w:rPr>
          <w:t>3.5</w:t>
        </w:r>
      </w:hyperlink>
    </w:p>
    <w:p>
      <w:pPr>
        <w:spacing w:after="0" w:line="196" w:lineRule="auto"/>
        <w:framePr w:w="320" w:h="160" w:wrap="auto" w:vAnchor="page" w:hAnchor="page" w:x="200" w:y="4598"/>
        <w:rPr>
          <w:rFonts w:ascii="Arial" w:cs="Arial" w:eastAsia="Arial" w:hAnsi="Arial"/>
          <w:sz w:val="17"/>
          <w:szCs w:val="17"/>
          <w:u w:val="single" w:color="auto"/>
          <w:color w:val="0000EE"/>
        </w:rPr>
      </w:pPr>
      <w:hyperlink r:id="rId138">
        <w:r>
          <w:rPr>
            <w:rFonts w:ascii="Arial" w:cs="Arial" w:eastAsia="Arial" w:hAnsi="Arial"/>
            <w:sz w:val="17"/>
            <w:szCs w:val="17"/>
            <w:u w:val="single" w:color="auto"/>
            <w:color w:val="0000EE"/>
          </w:rPr>
          <w:t>3.6</w:t>
        </w:r>
      </w:hyperlink>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rFonts w:ascii="Arial" w:cs="Arial" w:eastAsia="Arial" w:hAnsi="Arial"/>
          <w:sz w:val="17"/>
          <w:szCs w:val="17"/>
          <w:u w:val="single" w:color="auto"/>
          <w:color w:val="0000EE"/>
        </w:rPr>
      </w:pPr>
    </w:p>
    <w:p>
      <w:pPr>
        <w:ind w:left="66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00" w:lineRule="exact"/>
        <w:rPr>
          <w:rFonts w:ascii="Arial" w:cs="Arial" w:eastAsia="Arial" w:hAnsi="Arial"/>
          <w:sz w:val="17"/>
          <w:szCs w:val="17"/>
          <w:u w:val="single" w:color="auto"/>
          <w:color w:val="0000EE"/>
        </w:rPr>
      </w:pPr>
    </w:p>
    <w:p>
      <w:pPr>
        <w:spacing w:after="0" w:line="237" w:lineRule="exact"/>
        <w:rPr>
          <w:rFonts w:ascii="Arial" w:cs="Arial" w:eastAsia="Arial" w:hAnsi="Arial"/>
          <w:sz w:val="17"/>
          <w:szCs w:val="17"/>
          <w:u w:val="single" w:color="auto"/>
          <w:color w:val="0000EE"/>
        </w:rPr>
      </w:pPr>
    </w:p>
    <w:p>
      <w:pPr>
        <w:ind w:left="522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rFonts w:ascii="Arial" w:cs="Arial" w:eastAsia="Arial" w:hAnsi="Arial"/>
          <w:sz w:val="17"/>
          <w:szCs w:val="17"/>
          <w:u w:val="single" w:color="auto"/>
          <w:color w:val="0000EE"/>
        </w:rPr>
      </w:pPr>
    </w:p>
    <w:p>
      <w:pPr>
        <w:ind w:left="960"/>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 xml:space="preserve">Articles of Amendment and Restatement </w:t>
        </w:r>
      </w:hyperlink>
      <w:r>
        <w:rPr>
          <w:rFonts w:ascii="Arial" w:cs="Arial" w:eastAsia="Arial" w:hAnsi="Arial"/>
          <w:sz w:val="30"/>
          <w:szCs w:val="30"/>
          <w:u w:val="single" w:color="auto"/>
          <w:color w:val="0000EE"/>
          <w:vertAlign w:val="superscript"/>
        </w:rPr>
        <w:t>(1)</w:t>
      </w:r>
    </w:p>
    <w:p>
      <w:pPr>
        <w:spacing w:after="0" w:line="128" w:lineRule="exact"/>
        <w:rPr>
          <w:rFonts w:ascii="Arial" w:cs="Arial" w:eastAsia="Arial" w:hAnsi="Arial"/>
          <w:sz w:val="17"/>
          <w:szCs w:val="17"/>
          <w:u w:val="single" w:color="auto"/>
          <w:color w:val="0000EE"/>
        </w:rPr>
      </w:pPr>
    </w:p>
    <w:p>
      <w:pPr>
        <w:ind w:left="960"/>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 xml:space="preserve">Certificate of Limited Partnership of CapitalSouth Partners Fund II Limited Partnership </w:t>
        </w:r>
      </w:hyperlink>
      <w:r>
        <w:rPr>
          <w:rFonts w:ascii="Arial" w:cs="Arial" w:eastAsia="Arial" w:hAnsi="Arial"/>
          <w:sz w:val="30"/>
          <w:szCs w:val="30"/>
          <w:u w:val="single" w:color="auto"/>
          <w:color w:val="0000EE"/>
          <w:vertAlign w:val="superscript"/>
        </w:rPr>
        <w:t>(2)</w:t>
      </w:r>
    </w:p>
    <w:p>
      <w:pPr>
        <w:spacing w:after="0" w:line="128" w:lineRule="exact"/>
        <w:rPr>
          <w:rFonts w:ascii="Arial" w:cs="Arial" w:eastAsia="Arial" w:hAnsi="Arial"/>
          <w:sz w:val="17"/>
          <w:szCs w:val="17"/>
          <w:u w:val="single" w:color="auto"/>
          <w:color w:val="0000EE"/>
        </w:rPr>
      </w:pPr>
    </w:p>
    <w:p>
      <w:pPr>
        <w:ind w:left="960"/>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 xml:space="preserve">Certificate of Limited Partnership of CapitalSouth Partners SBIC Fund III, L.P. </w:t>
        </w:r>
      </w:hyperlink>
      <w:r>
        <w:rPr>
          <w:rFonts w:ascii="Arial" w:cs="Arial" w:eastAsia="Arial" w:hAnsi="Arial"/>
          <w:sz w:val="30"/>
          <w:szCs w:val="30"/>
          <w:u w:val="single" w:color="auto"/>
          <w:color w:val="0000EE"/>
          <w:vertAlign w:val="superscript"/>
        </w:rPr>
        <w:t>(2)</w:t>
      </w:r>
    </w:p>
    <w:p>
      <w:pPr>
        <w:spacing w:after="0" w:line="128" w:lineRule="exact"/>
        <w:rPr>
          <w:rFonts w:ascii="Arial" w:cs="Arial" w:eastAsia="Arial" w:hAnsi="Arial"/>
          <w:sz w:val="17"/>
          <w:szCs w:val="17"/>
          <w:u w:val="single" w:color="auto"/>
          <w:color w:val="0000EE"/>
        </w:rPr>
      </w:pPr>
    </w:p>
    <w:p>
      <w:pPr>
        <w:ind w:left="96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 xml:space="preserve">Bylaws </w:t>
        </w:r>
      </w:hyperlink>
      <w:r>
        <w:rPr>
          <w:rFonts w:ascii="Arial" w:cs="Arial" w:eastAsia="Arial" w:hAnsi="Arial"/>
          <w:sz w:val="30"/>
          <w:szCs w:val="30"/>
          <w:u w:val="single" w:color="auto"/>
          <w:color w:val="0000EE"/>
          <w:vertAlign w:val="superscript"/>
        </w:rPr>
        <w:t>(1)</w:t>
      </w:r>
    </w:p>
    <w:p>
      <w:pPr>
        <w:spacing w:after="0" w:line="128" w:lineRule="exact"/>
        <w:rPr>
          <w:rFonts w:ascii="Arial" w:cs="Arial" w:eastAsia="Arial" w:hAnsi="Arial"/>
          <w:sz w:val="17"/>
          <w:szCs w:val="17"/>
          <w:u w:val="single" w:color="auto"/>
          <w:color w:val="0000EE"/>
        </w:rPr>
      </w:pPr>
    </w:p>
    <w:p>
      <w:pPr>
        <w:ind w:left="960"/>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 xml:space="preserve">Form of Amended and Restated Limited Partnership Agreement of CapitalSouth Partners Fund II Limited Partnership </w:t>
        </w:r>
      </w:hyperlink>
      <w:r>
        <w:rPr>
          <w:rFonts w:ascii="Arial" w:cs="Arial" w:eastAsia="Arial" w:hAnsi="Arial"/>
          <w:sz w:val="30"/>
          <w:szCs w:val="30"/>
          <w:u w:val="single" w:color="auto"/>
          <w:color w:val="0000EE"/>
          <w:vertAlign w:val="superscript"/>
        </w:rPr>
        <w:t>(3)</w:t>
      </w:r>
    </w:p>
    <w:p>
      <w:pPr>
        <w:spacing w:after="0" w:line="128" w:lineRule="exact"/>
        <w:rPr>
          <w:rFonts w:ascii="Arial" w:cs="Arial" w:eastAsia="Arial" w:hAnsi="Arial"/>
          <w:sz w:val="17"/>
          <w:szCs w:val="17"/>
          <w:u w:val="single" w:color="auto"/>
          <w:color w:val="0000EE"/>
        </w:rPr>
      </w:pPr>
    </w:p>
    <w:p>
      <w:pPr>
        <w:ind w:left="96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 xml:space="preserve">Form of Amended and Restated Agreement of Limited Partnership of CapitalSouth Partners SBIC Fund III, L.P. </w:t>
        </w:r>
      </w:hyperlink>
      <w:r>
        <w:rPr>
          <w:rFonts w:ascii="Arial" w:cs="Arial" w:eastAsia="Arial" w:hAnsi="Arial"/>
          <w:sz w:val="30"/>
          <w:szCs w:val="30"/>
          <w:u w:val="single" w:color="auto"/>
          <w:color w:val="0000EE"/>
          <w:vertAlign w:val="superscript"/>
        </w:rPr>
        <w:t>(3)</w:t>
      </w:r>
    </w:p>
    <w:p>
      <w:pPr>
        <w:spacing w:after="0" w:line="128" w:lineRule="exact"/>
        <w:rPr>
          <w:rFonts w:ascii="Arial" w:cs="Arial" w:eastAsia="Arial" w:hAnsi="Arial"/>
          <w:sz w:val="17"/>
          <w:szCs w:val="17"/>
          <w:u w:val="single" w:color="auto"/>
          <w:color w:val="0000EE"/>
        </w:rPr>
      </w:pPr>
    </w:p>
    <w:p>
      <w:pPr>
        <w:ind w:left="960"/>
        <w:spacing w:after="0"/>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 xml:space="preserve">Form of Common Stock Certificate </w:t>
        </w:r>
      </w:hyperlink>
      <w:r>
        <w:rPr>
          <w:rFonts w:ascii="Arial" w:cs="Arial" w:eastAsia="Arial" w:hAnsi="Arial"/>
          <w:sz w:val="30"/>
          <w:szCs w:val="30"/>
          <w:u w:val="single" w:color="auto"/>
          <w:color w:val="0000EE"/>
          <w:vertAlign w:val="superscript"/>
        </w:rPr>
        <w:t>(1)</w:t>
      </w:r>
    </w:p>
    <w:p>
      <w:pPr>
        <w:spacing w:after="0" w:line="124" w:lineRule="exact"/>
        <w:rPr>
          <w:rFonts w:ascii="Arial" w:cs="Arial" w:eastAsia="Arial" w:hAnsi="Arial"/>
          <w:sz w:val="17"/>
          <w:szCs w:val="17"/>
          <w:u w:val="single" w:color="auto"/>
          <w:color w:val="0000EE"/>
        </w:rPr>
      </w:pPr>
    </w:p>
    <w:p>
      <w:pPr>
        <w:ind w:left="9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Computation of Per Share Earnings (included in the notes to the consolidated financial statements contained in this report)</w:t>
        </w:r>
      </w:hyperlink>
    </w:p>
    <w:p>
      <w:pPr>
        <w:spacing w:after="0" w:line="225" w:lineRule="exact"/>
        <w:rPr>
          <w:rFonts w:ascii="Arial" w:cs="Arial" w:eastAsia="Arial" w:hAnsi="Arial"/>
          <w:sz w:val="17"/>
          <w:szCs w:val="17"/>
          <w:u w:val="single" w:color="auto"/>
          <w:color w:val="0000EE"/>
        </w:rPr>
      </w:pPr>
    </w:p>
    <w:p>
      <w:pPr>
        <w:ind w:left="960"/>
        <w:spacing w:after="0" w:line="277" w:lineRule="auto"/>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Certification of Chief Executive Officer pursuant to Rule 13a-14 of the Securities Exchange Act of 1934, as adopted pursuant to Section 302 of</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the Sarbanes-Oxley Act of 2002 (filed herewith)</w:t>
        </w:r>
      </w:hyperlink>
    </w:p>
    <w:p>
      <w:pPr>
        <w:spacing w:after="0" w:line="170" w:lineRule="exact"/>
        <w:rPr>
          <w:sz w:val="20"/>
          <w:szCs w:val="20"/>
          <w:color w:val="auto"/>
        </w:rPr>
      </w:pPr>
    </w:p>
    <w:p>
      <w:pPr>
        <w:ind w:left="960"/>
        <w:spacing w:after="0" w:line="277" w:lineRule="auto"/>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Certification of Chief Financial Officer pursuant to Rule 13a-14 of the Securities Exchange Act of 1934, as adopted pursuant to Section 302 of</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the Sarbanes-Oxley Act of 2002 (filed herewith)</w:t>
        </w:r>
      </w:hyperlink>
    </w:p>
    <w:p>
      <w:pPr>
        <w:spacing w:after="0" w:line="170" w:lineRule="exact"/>
        <w:rPr>
          <w:sz w:val="20"/>
          <w:szCs w:val="20"/>
          <w:color w:val="auto"/>
        </w:rPr>
      </w:pPr>
    </w:p>
    <w:p>
      <w:pPr>
        <w:ind w:left="960"/>
        <w:spacing w:after="0" w:line="277" w:lineRule="auto"/>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Certification of Chief Executive Officer 18 U.S.C. Section 1350, as adopted pursuant to section 906 of the Sarbanes-Oxley Act of 2002 (filed</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herewith)</w:t>
        </w:r>
      </w:hyperlink>
    </w:p>
    <w:p>
      <w:pPr>
        <w:spacing w:after="0" w:line="170" w:lineRule="exact"/>
        <w:rPr>
          <w:sz w:val="20"/>
          <w:szCs w:val="20"/>
          <w:color w:val="auto"/>
        </w:rPr>
      </w:pPr>
    </w:p>
    <w:p>
      <w:pPr>
        <w:ind w:left="960" w:hanging="944"/>
        <w:spacing w:after="0" w:line="277" w:lineRule="auto"/>
        <w:tabs>
          <w:tab w:leader="none" w:pos="940" w:val="left"/>
        </w:tabs>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83">
        <w:r>
          <w:rPr>
            <w:rFonts w:ascii="Arial" w:cs="Arial" w:eastAsia="Arial" w:hAnsi="Arial"/>
            <w:sz w:val="18"/>
            <w:szCs w:val="18"/>
            <w:u w:val="single" w:color="auto"/>
            <w:color w:val="0000EE"/>
          </w:rPr>
          <w:t>Certification of Chief Financial Officer 18 U.S.C. Section 1350, as adopted pursuant to section 906 of the Sarbanes-Oxley Act of 2002 (filed</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herewith)</w:t>
        </w:r>
      </w:hyperlink>
    </w:p>
    <w:p>
      <w:pPr>
        <w:spacing w:after="0" w:line="170" w:lineRule="exact"/>
        <w:rPr>
          <w:rFonts w:ascii="Arial" w:cs="Arial" w:eastAsia="Arial" w:hAnsi="Arial"/>
          <w:sz w:val="18"/>
          <w:szCs w:val="18"/>
          <w:u w:val="single" w:color="auto"/>
          <w:color w:val="0000EE"/>
        </w:rPr>
      </w:pPr>
    </w:p>
    <w:p>
      <w:pPr>
        <w:ind w:left="960" w:hanging="95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960" w:hanging="95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960" w:hanging="95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387"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November 5, 2018</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2018</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71</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2"/>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2"/>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2"/>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September 30, 2018,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September 30, 2018,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lvl w:ilvl="1">
      <w:lvlJc w:val="left"/>
      <w:lvlText w:val="(%2)"/>
      <w:numFmt w:val="decimal"/>
      <w:start w:val="1"/>
    </w:lvl>
  </w:abstractNum>
  <w:abstractNum w:abstractNumId="12">
    <w:nsid w:val="2D1D5AE9"/>
    <w:multiLevelType w:val="hybridMultilevel"/>
    <w:lvl w:ilvl="0">
      <w:lvlJc w:val="left"/>
      <w:lvlText w:val="(%1)"/>
      <w:numFmt w:val="decimal"/>
      <w:start w:val="2"/>
    </w:lvl>
    <w:lvl w:ilvl="1">
      <w:lvlJc w:val="left"/>
      <w:lvlText w:val="(%2)"/>
      <w:numFmt w:val="decimal"/>
      <w:start w:val="4"/>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1"/>
    </w:lvl>
    <w:lvl w:ilvl="1">
      <w:lvlJc w:val="left"/>
      <w:lvlText w:val="(%2)"/>
      <w:numFmt w:val="decimal"/>
      <w:start w:val="8"/>
    </w:lvl>
  </w:abstractNum>
  <w:abstractNum w:abstractNumId="15">
    <w:nsid w:val="8EDBDAB"/>
    <w:multiLevelType w:val="hybridMultilevel"/>
    <w:lvl w:ilvl="0">
      <w:lvlJc w:val="left"/>
      <w:lvlText w:val="(%1)"/>
      <w:numFmt w:val="decimal"/>
      <w:start w:val="9"/>
    </w:lvl>
    <w:lvl w:ilvl="1">
      <w:lvlJc w:val="left"/>
      <w:lvlText w:val="%2"/>
      <w:numFmt w:val="decimal"/>
      <w:start w:val="1"/>
    </w:lvl>
  </w:abstractNum>
  <w:abstractNum w:abstractNumId="16">
    <w:nsid w:val="79838CB2"/>
    <w:multiLevelType w:val="hybridMultilevel"/>
    <w:lvl w:ilvl="0">
      <w:lvlJc w:val="left"/>
      <w:lvlText w:val="·"/>
      <w:numFmt w:val="bullet"/>
      <w:start w:val="1"/>
    </w:lvl>
    <w:lvl w:ilvl="1">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bullet"/>
      <w:start w:val="1"/>
    </w:lvl>
  </w:abstractNum>
  <w:abstractNum w:abstractNumId="21">
    <w:nsid w:val="71F32454"/>
    <w:multiLevelType w:val="hybridMultilevel"/>
    <w:lvl w:ilvl="0">
      <w:lvlJc w:val="left"/>
      <w:lvlText w:val="2"/>
      <w:numFmt w:val="bullet"/>
      <w:start w:val="1"/>
    </w:lvl>
  </w:abstractNum>
  <w:abstractNum w:abstractNumId="22">
    <w:nsid w:val="2CA88611"/>
    <w:multiLevelType w:val="hybridMultilevel"/>
    <w:lvl w:ilvl="0">
      <w:lvlJc w:val="left"/>
      <w:lvlText w:val="3"/>
      <w:numFmt w:val="bullet"/>
      <w:start w:val="1"/>
    </w:lvl>
  </w:abstractNum>
  <w:abstractNum w:abstractNumId="23">
    <w:nsid w:val="836C40E"/>
    <w:multiLevelType w:val="hybridMultilevel"/>
    <w:lvl w:ilvl="0">
      <w:lvlJc w:val="left"/>
      <w:lvlText w:val="4"/>
      <w:numFmt w:val="bullet"/>
      <w:start w:val="1"/>
    </w:lvl>
  </w:abstractNum>
  <w:abstractNum w:abstractNumId="24">
    <w:nsid w:val="2901D82"/>
    <w:multiLevelType w:val="hybridMultilevel"/>
    <w:lvl w:ilvl="0">
      <w:lvlJc w:val="left"/>
      <w:lvlText w:val="5"/>
      <w:numFmt w:val="bullet"/>
      <w:start w:val="1"/>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8">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0">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
    <w:nsid w:val="22221A70"/>
    <w:multiLevelType w:val="hybridMultilevel"/>
    <w:lvl w:ilvl="0">
      <w:lvlJc w:val="left"/>
      <w:lvlText w:val="%1."/>
      <w:numFmt w:val="decimal"/>
      <w:start w:val="1"/>
    </w:lvl>
    <w:lvl w:ilvl="1">
      <w:lvlJc w:val="left"/>
      <w:lvlText w:val="%2."/>
      <w:numFmt w:val="decimal"/>
      <w:start w:val="2"/>
    </w:lvl>
  </w:abstractNum>
  <w:abstractNum w:abstractNumId="32">
    <w:nsid w:val="4516DDE9"/>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32" Type="http://schemas.openxmlformats.org/officeDocument/2006/relationships/hyperlink" Target="http://www.sec.gov/Archives/edgar/data/1221483/000119312513361263/d505298dex99d1.htm" TargetMode="External"/><Relationship Id="rId133" Type="http://schemas.openxmlformats.org/officeDocument/2006/relationships/hyperlink" Target="http://www.sec.gov/Archives/edgar/data/1221483/000119312513361263/d505298dex99a1.htm" TargetMode="External"/><Relationship Id="rId134" Type="http://schemas.openxmlformats.org/officeDocument/2006/relationships/hyperlink" Target="http://www.sec.gov/Archives/edgar/data/1221483/000119312513368161/d505298dex99a2.htm" TargetMode="External"/><Relationship Id="rId135" Type="http://schemas.openxmlformats.org/officeDocument/2006/relationships/hyperlink" Target="http://www.sec.gov/Archives/edgar/data/1221483/000119312513368161/d505298dex99a3.htm" TargetMode="External"/><Relationship Id="rId136" Type="http://schemas.openxmlformats.org/officeDocument/2006/relationships/hyperlink" Target="http://www.sec.gov/Archives/edgar/data/1221483/000119312513361263/d505298dex99b1.htm" TargetMode="External"/><Relationship Id="rId137" Type="http://schemas.openxmlformats.org/officeDocument/2006/relationships/hyperlink" Target="http://www.sec.gov/Archives/edgar/data/1571329/000119312513376445/d505298dex99b2.htm" TargetMode="External"/><Relationship Id="rId138" Type="http://schemas.openxmlformats.org/officeDocument/2006/relationships/hyperlink" Target="http://www.sec.gov/Archives/edgar/data/1571329/000119312513376445/d505298dex99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2019-12-28T18:23:56Z</dcterms:created>
  <dcterms:modified xsi:type="dcterms:W3CDTF">2019-12-28T18:23:56Z</dcterms:modified>
</cp:coreProperties>
</file>