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740" w:right="3340" w:hanging="3084"/>
        <w:spacing w:after="0" w:line="545" w:lineRule="auto"/>
        <w:tabs>
          <w:tab w:leader="none" w:pos="13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2019</w:t>
      </w:r>
    </w:p>
    <w:p>
      <w:pPr>
        <w:spacing w:after="0" w:line="29"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675" w:right="239" w:bottom="1440" w:gutter="0" w:footer="0" w:header="0"/>
        </w:sectPr>
      </w:pPr>
    </w:p>
    <w:p>
      <w:pPr>
        <w:spacing w:after="0" w:line="200" w:lineRule="exact"/>
        <w:rPr>
          <w:sz w:val="24"/>
          <w:szCs w:val="24"/>
          <w:color w:val="auto"/>
        </w:rPr>
      </w:pPr>
    </w:p>
    <w:p>
      <w:pPr>
        <w:spacing w:after="0" w:line="264" w:lineRule="exact"/>
        <w:rPr>
          <w:sz w:val="24"/>
          <w:szCs w:val="24"/>
          <w:color w:val="auto"/>
        </w:rPr>
      </w:pPr>
    </w:p>
    <w:p>
      <w:pPr>
        <w:ind w:left="680"/>
        <w:spacing w:after="0"/>
        <w:rPr>
          <w:sz w:val="20"/>
          <w:szCs w:val="20"/>
          <w:color w:val="auto"/>
        </w:rPr>
      </w:pPr>
      <w:r>
        <w:rPr>
          <w:rFonts w:ascii="Arial" w:cs="Arial" w:eastAsia="Arial" w:hAnsi="Arial"/>
          <w:sz w:val="15"/>
          <w:szCs w:val="15"/>
          <w:b w:val="1"/>
          <w:bCs w:val="1"/>
          <w:color w:val="auto"/>
        </w:rPr>
        <w:t>Commission</w:t>
      </w:r>
    </w:p>
    <w:p>
      <w:pPr>
        <w:spacing w:after="0" w:line="62"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ind w:right="700" w:firstLine="355"/>
        <w:spacing w:after="0" w:line="309" w:lineRule="auto"/>
        <w:rPr>
          <w:sz w:val="20"/>
          <w:szCs w:val="20"/>
          <w:color w:val="auto"/>
        </w:rPr>
      </w:pPr>
      <w:r>
        <w:rPr>
          <w:rFonts w:ascii="Arial" w:cs="Arial" w:eastAsia="Arial" w:hAnsi="Arial"/>
          <w:sz w:val="15"/>
          <w:szCs w:val="15"/>
          <w:b w:val="1"/>
          <w:bCs w:val="1"/>
          <w:color w:val="auto"/>
        </w:rPr>
        <w:t>Exact name of registrant as specified in its charter, address of principal executive office, telephone number, and 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I.R.S. Employer</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Identification Number</w:t>
      </w:r>
    </w:p>
    <w:p>
      <w:pPr>
        <w:spacing w:after="0" w:line="32" w:lineRule="exact"/>
        <w:rPr>
          <w:sz w:val="24"/>
          <w:szCs w:val="24"/>
          <w:color w:val="auto"/>
        </w:rPr>
      </w:pPr>
    </w:p>
    <w:p>
      <w:pPr>
        <w:sectPr>
          <w:pgSz w:w="11900" w:h="16838" w:orient="portrait"/>
          <w:cols w:equalWidth="0" w:num="3">
            <w:col w:w="2680" w:space="720"/>
            <w:col w:w="5300" w:space="720"/>
            <w:col w:w="2000"/>
          </w:cols>
          <w:pgMar w:left="240" w:top="675" w:right="239" w:bottom="1440" w:gutter="0" w:footer="0" w:header="0"/>
          <w:type w:val="continuous"/>
        </w:sectPr>
      </w:pPr>
    </w:p>
    <w:p>
      <w:pPr>
        <w:ind w:left="760"/>
        <w:spacing w:after="0"/>
        <w:tabs>
          <w:tab w:leader="none" w:pos="4440" w:val="left"/>
          <w:tab w:leader="none" w:pos="9820" w:val="left"/>
        </w:tabs>
        <w:rPr>
          <w:sz w:val="20"/>
          <w:szCs w:val="20"/>
          <w:color w:val="auto"/>
        </w:rPr>
      </w:pPr>
      <w:r>
        <w:rPr>
          <w:rFonts w:ascii="Arial" w:cs="Arial" w:eastAsia="Arial" w:hAnsi="Arial"/>
          <w:sz w:val="36"/>
          <w:szCs w:val="36"/>
          <w:b w:val="1"/>
          <w:bCs w:val="1"/>
          <w:color w:val="auto"/>
          <w:vertAlign w:val="superscript"/>
        </w:rPr>
        <w:t>814-01022</w:t>
      </w:r>
      <w:r>
        <w:rPr>
          <w:sz w:val="20"/>
          <w:szCs w:val="20"/>
          <w:color w:val="auto"/>
        </w:rPr>
        <w:tab/>
      </w:r>
      <w:r>
        <w:rPr>
          <w:rFonts w:ascii="Arial" w:cs="Arial" w:eastAsia="Arial" w:hAnsi="Arial"/>
          <w:sz w:val="25"/>
          <w:szCs w:val="25"/>
          <w:b w:val="1"/>
          <w:bCs w:val="1"/>
          <w:color w:val="auto"/>
        </w:rPr>
        <w:t>Capitala Finance Corp.</w:t>
      </w:r>
      <w:r>
        <w:rPr>
          <w:sz w:val="20"/>
          <w:szCs w:val="20"/>
          <w:color w:val="auto"/>
        </w:rPr>
        <w:tab/>
      </w:r>
      <w:r>
        <w:rPr>
          <w:rFonts w:ascii="Arial" w:cs="Arial" w:eastAsia="Arial" w:hAnsi="Arial"/>
          <w:sz w:val="24"/>
          <w:szCs w:val="24"/>
          <w:b w:val="1"/>
          <w:bCs w:val="1"/>
          <w:color w:val="auto"/>
          <w:vertAlign w:val="superscript"/>
        </w:rPr>
        <w:t>90-0945675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4201 Congress St., Suite 360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Charlotte, North Carolina 28209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State of Incorporation: Maryland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(704) 376-5502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34"/>
        </w:trPr>
        <w:tc>
          <w:tcPr>
            <w:tcW w:w="4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Title of Each Class</w:t>
            </w:r>
          </w:p>
        </w:tc>
        <w:tc>
          <w:tcPr>
            <w:tcW w:w="26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Trading symbol(s)</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r>
      <w:tr>
        <w:trPr>
          <w:trHeight w:val="191"/>
        </w:trPr>
        <w:tc>
          <w:tcPr>
            <w:tcW w:w="43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25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CPTA</w:t>
            </w:r>
          </w:p>
        </w:tc>
        <w:tc>
          <w:tcPr>
            <w:tcW w:w="100" w:type="dxa"/>
            <w:vAlign w:val="bottom"/>
          </w:tcPr>
          <w:p>
            <w:pPr>
              <w:spacing w:after="0"/>
              <w:rPr>
                <w:sz w:val="16"/>
                <w:szCs w:val="16"/>
                <w:color w:val="auto"/>
              </w:rPr>
            </w:pPr>
          </w:p>
        </w:tc>
        <w:tc>
          <w:tcPr>
            <w:tcW w:w="4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NASDAQ Global Select Market</w:t>
            </w:r>
          </w:p>
        </w:tc>
      </w:tr>
      <w:tr>
        <w:trPr>
          <w:trHeight w:val="216"/>
        </w:trPr>
        <w:tc>
          <w:tcPr>
            <w:tcW w:w="4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5.75% Convertible Notes due 2022</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CPTAG</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7"/>
              </w:rPr>
              <w:t>NASDAQ Capital Market</w:t>
            </w:r>
          </w:p>
        </w:tc>
      </w:tr>
      <w:tr>
        <w:trPr>
          <w:trHeight w:val="234"/>
        </w:trPr>
        <w:tc>
          <w:tcPr>
            <w:tcW w:w="4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6.00% Notes due 2022</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CPTAL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2"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5720"/>
        <w:spacing w:after="0" w:line="207" w:lineRule="exact"/>
        <w:tabs>
          <w:tab w:leader="none" w:pos="7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1" w:lineRule="exact"/>
        <w:rPr>
          <w:sz w:val="24"/>
          <w:szCs w:val="24"/>
          <w:color w:val="auto"/>
        </w:rPr>
      </w:pPr>
    </w:p>
    <w:p>
      <w:pPr>
        <w:ind w:left="5720"/>
        <w:spacing w:after="0" w:line="207" w:lineRule="exact"/>
        <w:tabs>
          <w:tab w:leader="none" w:pos="7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75" w:right="239" w:bottom="1440" w:gutter="0" w:footer="0" w:header="0"/>
          <w:type w:val="continuous"/>
        </w:sectPr>
      </w:pPr>
    </w:p>
    <w:p>
      <w:pPr>
        <w:spacing w:after="0" w:line="181" w:lineRule="exact"/>
        <w:rPr>
          <w:sz w:val="24"/>
          <w:szCs w:val="24"/>
          <w:color w:val="auto"/>
        </w:rPr>
      </w:pPr>
    </w:p>
    <w:p>
      <w:pPr>
        <w:ind w:left="26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4260" w:space="660"/>
            <w:col w:w="1340" w:space="720"/>
            <w:col w:w="2580" w:space="720"/>
            <w:col w:w="1140"/>
          </w:cols>
          <w:pgMar w:left="240" w:top="675" w:right="239" w:bottom="1440" w:gutter="0" w:footer="0" w:header="0"/>
          <w:type w:val="continuous"/>
        </w:sectPr>
      </w:pPr>
    </w:p>
    <w:p>
      <w:pPr>
        <w:spacing w:after="0" w:line="48" w:lineRule="exact"/>
        <w:rPr>
          <w:sz w:val="24"/>
          <w:szCs w:val="24"/>
          <w:color w:val="auto"/>
        </w:rPr>
      </w:pPr>
    </w:p>
    <w:p>
      <w:pPr>
        <w:ind w:left="26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4200" w:space="720"/>
            <w:col w:w="1340" w:space="720"/>
            <w:col w:w="2580" w:space="720"/>
            <w:col w:w="1140"/>
          </w:cols>
          <w:pgMar w:left="240" w:top="675" w:right="239" w:bottom="1440" w:gutter="0" w:footer="0" w:header="0"/>
          <w:type w:val="continuous"/>
        </w:sectPr>
      </w:pPr>
    </w:p>
    <w:p>
      <w:pPr>
        <w:spacing w:after="0" w:line="48"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9560" w:space="720"/>
            <w:col w:w="1140"/>
          </w:cols>
          <w:pgMar w:left="240" w:top="675" w:right="239" w:bottom="1440" w:gutter="0" w:footer="0" w:header="0"/>
          <w:type w:val="continuous"/>
        </w:sectPr>
      </w:pPr>
    </w:p>
    <w:p>
      <w:pPr>
        <w:spacing w:after="0" w:line="48"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420"/>
          </w:cols>
          <w:pgMar w:left="240" w:top="675" w:right="239" w:bottom="1440" w:gutter="0" w:footer="0" w:header="0"/>
          <w:type w:val="continuous"/>
        </w:sectPr>
      </w:pP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5980" w:space="100"/>
            <w:col w:w="1200" w:space="720"/>
            <w:col w:w="220" w:space="140"/>
            <w:col w:w="3060"/>
          </w:cols>
          <w:pgMar w:left="240" w:top="675" w:right="239" w:bottom="1440" w:gutter="0" w:footer="0" w:header="0"/>
          <w:type w:val="continuous"/>
        </w:sectPr>
      </w:pPr>
    </w:p>
    <w:p>
      <w:pPr>
        <w:spacing w:after="0" w:line="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number of shares of Capitala Finance Corp.’s common stock, $0.01 par value, outstanding as of November 1, 2019 was 16,175,557.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gridSpan w:val="9"/>
          </w:tcPr>
          <w:p>
            <w:pPr>
              <w:ind w:left="134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6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4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54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September 30, 2019 (unaudited) and December 31, 2018</w:t>
              </w:r>
            </w:hyperlink>
          </w:p>
        </w:tc>
        <w:tc>
          <w:tcPr>
            <w:tcW w:w="54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and nine months ended September 30, 2019 and 2018 (unaudited)</w:t>
              </w:r>
            </w:hyperlink>
          </w:p>
        </w:tc>
        <w:tc>
          <w:tcPr>
            <w:tcW w:w="54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Consolidated Statements of Changes in Net Assets for the three and nine months ended September 30, 2019 and 2018 (unaudited)</w:t>
              </w:r>
            </w:hyperlink>
          </w:p>
        </w:tc>
        <w:tc>
          <w:tcPr>
            <w:tcW w:w="54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nine months ended September 30, 2019 and 2018 (unaudited)</w:t>
              </w:r>
            </w:hyperlink>
          </w:p>
        </w:tc>
        <w:tc>
          <w:tcPr>
            <w:tcW w:w="54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Schedules of Investments as of September 30, 2019 (unaudited) and December 31, 2018</w:t>
              </w:r>
            </w:hyperlink>
          </w:p>
        </w:tc>
        <w:tc>
          <w:tcPr>
            <w:tcW w:w="54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Notes to Consolidated Financial Statements as of September 30, 2019 (unaudited)</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20</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Item 2.</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47</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Item 3.</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68</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Item 4.</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Controls and Procedures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68</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PART II.</w:t>
              </w:r>
            </w:hyperlink>
          </w:p>
        </w:tc>
        <w:tc>
          <w:tcPr>
            <w:tcW w:w="96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OTHER INFORMATION</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69</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Item 1.</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Legal Proceedings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69</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Item 1A.</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Risk Factors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69</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2.</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Unregistered Sales of Equity Securities and Use of Proceeds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3.</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Defaults Upon Senior Securities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4.</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Mine Safety Disclosures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5.</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6.</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Exhibits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72</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920" w:type="dxa"/>
            <w:vAlign w:val="bottom"/>
            <w:tcBorders>
              <w:top w:val="single" w:sz="8" w:color="CCEEFF"/>
              <w:bottom w:val="single" w:sz="8" w:color="auto"/>
            </w:tcBorders>
            <w:gridSpan w:val="11"/>
          </w:tcPr>
          <w:p>
            <w:pPr>
              <w:ind w:left="4760"/>
              <w:spacing w:after="0"/>
              <w:rPr>
                <w:sz w:val="20"/>
                <w:szCs w:val="20"/>
                <w:color w:val="auto"/>
              </w:rPr>
            </w:pPr>
            <w:r>
              <w:rPr>
                <w:rFonts w:ascii="Arial" w:cs="Arial" w:eastAsia="Arial" w:hAnsi="Arial"/>
                <w:sz w:val="18"/>
                <w:szCs w:val="18"/>
                <w:color w:val="auto"/>
              </w:rPr>
              <w:t>2</w:t>
            </w:r>
          </w:p>
        </w:tc>
        <w:tc>
          <w:tcPr>
            <w:tcW w:w="54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60" w:type="dxa"/>
            <w:vAlign w:val="bottom"/>
          </w:tcPr>
          <w:p>
            <w:pPr>
              <w:jc w:val="center"/>
              <w:ind w:left="323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60" w:type="dxa"/>
            <w:vAlign w:val="bottom"/>
          </w:tcPr>
          <w:p>
            <w:pPr>
              <w:jc w:val="center"/>
              <w:ind w:left="3250"/>
              <w:spacing w:after="0"/>
              <w:rPr>
                <w:sz w:val="20"/>
                <w:szCs w:val="20"/>
                <w:color w:val="auto"/>
              </w:rPr>
            </w:pPr>
            <w:r>
              <w:rPr>
                <w:rFonts w:ascii="Arial" w:cs="Arial" w:eastAsia="Arial" w:hAnsi="Arial"/>
                <w:sz w:val="18"/>
                <w:szCs w:val="18"/>
                <w:b w:val="1"/>
                <w:bCs w:val="1"/>
                <w:color w:val="auto"/>
                <w:w w:val="92"/>
              </w:rPr>
              <w:t>Capitala Finance Corp.</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60" w:type="dxa"/>
            <w:vAlign w:val="bottom"/>
          </w:tcPr>
          <w:p>
            <w:pPr>
              <w:jc w:val="center"/>
              <w:ind w:left="323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tcPr>
          <w:p>
            <w:pPr>
              <w:jc w:val="center"/>
              <w:ind w:left="32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1200"/>
              <w:spacing w:after="0"/>
              <w:rPr>
                <w:sz w:val="20"/>
                <w:szCs w:val="20"/>
                <w:color w:val="auto"/>
              </w:rPr>
            </w:pPr>
            <w:r>
              <w:rPr>
                <w:rFonts w:ascii="Arial" w:cs="Arial" w:eastAsia="Arial" w:hAnsi="Arial"/>
                <w:sz w:val="18"/>
                <w:szCs w:val="18"/>
                <w:b w:val="1"/>
                <w:bCs w:val="1"/>
                <w:color w:val="auto"/>
              </w:rPr>
              <w:t>As of</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8"/>
              </w:rPr>
              <w:t>September 30, 2019</w:t>
            </w:r>
          </w:p>
        </w:tc>
        <w:tc>
          <w:tcPr>
            <w:tcW w:w="1540" w:type="dxa"/>
            <w:vAlign w:val="bottom"/>
            <w:gridSpan w:val="3"/>
          </w:tcPr>
          <w:p>
            <w:pPr>
              <w:ind w:left="80"/>
              <w:spacing w:after="0"/>
              <w:rPr>
                <w:sz w:val="20"/>
                <w:szCs w:val="20"/>
                <w:color w:val="auto"/>
              </w:rPr>
            </w:pPr>
            <w:r>
              <w:rPr>
                <w:rFonts w:ascii="Arial" w:cs="Arial" w:eastAsia="Arial" w:hAnsi="Arial"/>
                <w:sz w:val="18"/>
                <w:szCs w:val="18"/>
                <w:b w:val="1"/>
                <w:bCs w:val="1"/>
                <w:color w:val="auto"/>
                <w:w w:val="88"/>
              </w:rPr>
              <w:t>December 31,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 (amortized cost of $248,479 and $280,114, respectively)</w:t>
            </w:r>
          </w:p>
        </w:tc>
        <w:tc>
          <w:tcPr>
            <w:tcW w:w="2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259,747</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Affiliate investments (amortized cost of $74,435 and $72,300,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91,355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92,939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 (amortized cost of $36,659 and $67,556, respectively)</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20,249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Total investments at fair value (amortized cost of $359,573 and $419,970, respectively)</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62,776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Interest and dividend receivable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1,572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Deferred tax asset,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435,930</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493,165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(net of deferred financing costs of $1,129 and $1,688, respectively)</w:t>
            </w:r>
          </w:p>
        </w:tc>
        <w:tc>
          <w:tcPr>
            <w:tcW w:w="2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148,871</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2022 Notes (net of deferred financing costs of $1,585 and $1,987,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73,415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 (net of deferred financing costs of $1,003 and $1,259, respectively)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51,085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Credit Facility (net of deferred financing costs of $727 and $983,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incentive fees payable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Interest and financing fees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Trade settlement payable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284,049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$0.01, 100,000,000 common shares authorized, 16,161,075 and 16,051,547 common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shares issued and outstanding, respectively</w:t>
            </w:r>
          </w:p>
        </w:tc>
        <w:tc>
          <w:tcPr>
            <w:tcW w:w="2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242,639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Total distributable loss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(90,920)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(51,274)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assets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151,881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net assets</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435,930</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493,165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2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9.40</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060" w:type="dxa"/>
            <w:vAlign w:val="bottom"/>
          </w:tcPr>
          <w:p>
            <w:pPr>
              <w:jc w:val="center"/>
              <w:ind w:left="32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60" w:type="dxa"/>
            <w:vAlign w:val="bottom"/>
            <w:tcBorders>
              <w:bottom w:val="single" w:sz="8" w:color="auto"/>
            </w:tcBorders>
          </w:tcPr>
          <w:p>
            <w:pPr>
              <w:jc w:val="center"/>
              <w:ind w:left="3250"/>
              <w:spacing w:after="0"/>
              <w:rPr>
                <w:sz w:val="20"/>
                <w:szCs w:val="20"/>
                <w:color w:val="auto"/>
              </w:rPr>
            </w:pPr>
            <w:r>
              <w:rPr>
                <w:rFonts w:ascii="Arial" w:cs="Arial" w:eastAsia="Arial" w:hAnsi="Arial"/>
                <w:sz w:val="18"/>
                <w:szCs w:val="18"/>
                <w:color w:val="auto"/>
                <w:w w:val="79"/>
              </w:rPr>
              <w:t>3</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Capitala Finance Corp.</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60" w:type="dxa"/>
            <w:vAlign w:val="bottom"/>
            <w:gridSpan w:val="7"/>
          </w:tcPr>
          <w:p>
            <w:pPr>
              <w:jc w:val="center"/>
              <w:ind w:left="335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7"/>
          </w:tcPr>
          <w:p>
            <w:pPr>
              <w:jc w:val="center"/>
              <w:ind w:left="33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1"/>
              </w:rPr>
              <w:t>(unaudited)</w:t>
            </w: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520" w:type="dxa"/>
            <w:vAlign w:val="bottom"/>
            <w:gridSpan w:val="6"/>
          </w:tcPr>
          <w:p>
            <w:pPr>
              <w:spacing w:after="0"/>
              <w:rPr>
                <w:sz w:val="20"/>
                <w:szCs w:val="20"/>
                <w:color w:val="auto"/>
              </w:rPr>
            </w:pPr>
            <w:r>
              <w:rPr>
                <w:rFonts w:ascii="Arial" w:cs="Arial" w:eastAsia="Arial" w:hAnsi="Arial"/>
                <w:sz w:val="18"/>
                <w:szCs w:val="18"/>
                <w:b w:val="1"/>
                <w:bCs w:val="1"/>
                <w:color w:val="auto"/>
                <w:w w:val="94"/>
              </w:rPr>
              <w:t>For the Three Months Ended September 30,</w:t>
            </w:r>
          </w:p>
        </w:tc>
        <w:tc>
          <w:tcPr>
            <w:tcW w:w="3440" w:type="dxa"/>
            <w:vAlign w:val="bottom"/>
            <w:gridSpan w:val="8"/>
          </w:tcPr>
          <w:p>
            <w:pPr>
              <w:ind w:left="60"/>
              <w:spacing w:after="0"/>
              <w:rPr>
                <w:sz w:val="20"/>
                <w:szCs w:val="20"/>
                <w:color w:val="auto"/>
              </w:rPr>
            </w:pPr>
            <w:r>
              <w:rPr>
                <w:rFonts w:ascii="Arial" w:cs="Arial" w:eastAsia="Arial" w:hAnsi="Arial"/>
                <w:sz w:val="18"/>
                <w:szCs w:val="18"/>
                <w:b w:val="1"/>
                <w:bCs w:val="1"/>
                <w:color w:val="auto"/>
                <w:w w:val="92"/>
              </w:rPr>
              <w:t>For the 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6,270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6,692</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21,096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2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1,898</w:t>
            </w:r>
          </w:p>
        </w:tc>
        <w:tc>
          <w:tcPr>
            <w:tcW w:w="4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1,852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4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1,898</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 and fee income</w:t>
            </w: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8,283</w:t>
            </w:r>
          </w:p>
        </w:tc>
        <w:tc>
          <w:tcPr>
            <w:tcW w:w="2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29,095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2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388</w:t>
            </w:r>
          </w:p>
        </w:tc>
        <w:tc>
          <w:tcPr>
            <w:tcW w:w="4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payment-in-kind interest and dividend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Dividend income:</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1,134</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dividend income</w:t>
            </w: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2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investment income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10,126</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4,110</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Base management fee</w:t>
            </w:r>
          </w:p>
        </w:tc>
        <w:tc>
          <w:tcPr>
            <w:tcW w:w="2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1,925</w:t>
            </w:r>
          </w:p>
        </w:tc>
        <w:tc>
          <w:tcPr>
            <w:tcW w:w="4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2,254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1,107</w:t>
            </w:r>
          </w:p>
        </w:tc>
        <w:tc>
          <w:tcPr>
            <w:tcW w:w="4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1,105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3,236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Expenses before incentive fee waiver</w:t>
            </w: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Incentive fee waiver (See Note 6)</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 net of incentive fee waiver</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2,984</w:t>
            </w:r>
          </w:p>
        </w:tc>
        <w:tc>
          <w:tcPr>
            <w:tcW w:w="4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3,851</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 GAIN (LOSS) ON</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INVESTMENTS AND WRITTEN CALL OPTION:</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(3,669)</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Net realized gain (loss) on investments</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5"/>
              </w:rPr>
              <w:t>Net unrealized appreciation (depreciation) on investments: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2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1,518</w:t>
            </w:r>
          </w:p>
        </w:tc>
        <w:tc>
          <w:tcPr>
            <w:tcW w:w="4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(8,380)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4,539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1,218</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11,730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2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(4,015)</w:t>
            </w:r>
          </w:p>
        </w:tc>
        <w:tc>
          <w:tcPr>
            <w:tcW w:w="4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(32,100)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(17,999)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unrealized depreciation on investments</w:t>
            </w: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unrealized appreciation on written call option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6,795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4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Net realized and unrealized loss on investments and</w:t>
            </w:r>
          </w:p>
        </w:tc>
        <w:tc>
          <w:tcPr>
            <w:tcW w:w="2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written call option</w:t>
            </w: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(1,267)</w:t>
            </w: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(15,657)</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(38,091)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Tax benefit (provision)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4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w w:val="92"/>
              </w:rPr>
              <w:t>Total net realized and unrealized loss on investments and</w:t>
            </w:r>
          </w:p>
        </w:tc>
        <w:tc>
          <w:tcPr>
            <w:tcW w:w="2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written call option, net of taxes</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(1,267)</w:t>
            </w:r>
          </w:p>
        </w:tc>
        <w:tc>
          <w:tcPr>
            <w:tcW w:w="4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(15,767)</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(38,719)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NET ASSETS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RESULTING FROM OPERATIONS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(11,916)</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NET ASSETS PER</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SHARE RESULTING FROM OPERATIONS – BASIC</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AND DILUTED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(0.74)</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STOCK</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OUTSTANDING – BASIC AND DILUTED</w:t>
            </w: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16,133,365</w:t>
            </w: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16,001,919</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16,097,908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15,981,154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904" w:right="239" w:bottom="0" w:gutter="0" w:footer="0" w:header="0"/>
        </w:sectPr>
      </w:pPr>
    </w:p>
    <w:bookmarkStart w:id="4" w:name="page5"/>
    <w:bookmarkEnd w:id="4"/>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For the Three Months Ended September 30, 2019</w:t>
            </w:r>
          </w:p>
        </w:tc>
        <w:tc>
          <w:tcPr>
            <w:tcW w:w="100" w:type="dxa"/>
            <w:vAlign w:val="bottom"/>
          </w:tcPr>
          <w:p>
            <w:pPr>
              <w:spacing w:after="0"/>
              <w:rPr>
                <w:sz w:val="20"/>
                <w:szCs w:val="20"/>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Common Stock</w:t>
            </w:r>
          </w:p>
        </w:tc>
        <w:tc>
          <w:tcPr>
            <w:tcW w:w="1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Additional Paid</w:t>
            </w:r>
          </w:p>
        </w:tc>
        <w:tc>
          <w:tcPr>
            <w:tcW w:w="1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Distributable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and 2018</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Number of Shares</w:t>
            </w:r>
          </w:p>
        </w:tc>
        <w:tc>
          <w:tcPr>
            <w:tcW w:w="16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Par Value</w:t>
            </w:r>
          </w:p>
        </w:tc>
        <w:tc>
          <w:tcPr>
            <w:tcW w:w="16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in Capital</w:t>
            </w:r>
          </w:p>
        </w:tc>
        <w:tc>
          <w:tcPr>
            <w:tcW w:w="32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Loss</w:t>
            </w: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16,118,948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242,307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2,984</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gain on investments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Net unrealized depreciation on investments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(1,279)</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Shareholders: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w w:val="93"/>
              </w:rPr>
              <w:t>Stock issued under dividend reinvestment plan</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42,127</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332</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declared</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(4,032)</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September 30, 2019</w:t>
            </w:r>
          </w:p>
        </w:tc>
        <w:tc>
          <w:tcPr>
            <w:tcW w:w="10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16,161,075</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242,639</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(90,920</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151,881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BALANCE, June 30, 2018</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15,994,690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241,350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(22,193)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219,317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Net realized gain on investments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6,298</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unrealized depreciation on investments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(28,750)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w w:val="93"/>
              </w:rPr>
              <w:t>Net unrealized appreciation on written call option</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6,795</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provision</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Distributions to Shareholders: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Stock issued under dividend reinvestment plan</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23,280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Distributions declared</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(3,998)</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16,017,970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For the Nine Months Ended September 30, 2019</w:t>
            </w:r>
          </w:p>
        </w:tc>
        <w:tc>
          <w:tcPr>
            <w:tcW w:w="100" w:type="dxa"/>
            <w:vAlign w:val="bottom"/>
          </w:tcPr>
          <w:p>
            <w:pPr>
              <w:spacing w:after="0"/>
              <w:rPr>
                <w:sz w:val="20"/>
                <w:szCs w:val="20"/>
                <w:color w:val="auto"/>
              </w:rPr>
            </w:pPr>
          </w:p>
        </w:tc>
        <w:tc>
          <w:tcPr>
            <w:tcW w:w="29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Additional Paid</w:t>
            </w:r>
          </w:p>
        </w:tc>
        <w:tc>
          <w:tcPr>
            <w:tcW w:w="1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Distributable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and 2018</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Number of Shares</w:t>
            </w:r>
          </w:p>
        </w:tc>
        <w:tc>
          <w:tcPr>
            <w:tcW w:w="16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Par 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 Capital</w:t>
            </w:r>
          </w:p>
        </w:tc>
        <w:tc>
          <w:tcPr>
            <w:tcW w:w="32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Loss</w:t>
            </w:r>
          </w:p>
        </w:tc>
        <w:tc>
          <w:tcPr>
            <w:tcW w:w="260" w:type="dxa"/>
            <w:vAlign w:val="bottom"/>
          </w:tcPr>
          <w:p>
            <w:pPr>
              <w:spacing w:after="0"/>
              <w:rPr>
                <w:sz w:val="20"/>
                <w:szCs w:val="20"/>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16,051,547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241,757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11,141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loss on investments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(20,912)</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Net unrealized depreciation on investments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(17,179)</w:t>
            </w: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provision</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Distributions to Shareholders: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Stock issued under dividend reinvestment plan</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109,528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Distributions declared</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(12,068)</w:t>
            </w: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(12,068)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16,161,075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151,881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15,951,231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241,027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221,887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12,520</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12,520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loss on investments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(20,179)</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Net unrealized depreciation on investments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(7,148)</w:t>
            </w: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Net unrealized appreciation on written call option</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Tax benefit</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1,185</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Shareholders: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w w:val="93"/>
              </w:rPr>
              <w:t>Stock issued under dividend reinvestment plan</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66,739</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516</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declared</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(11,980)</w:t>
            </w: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16,017,970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241,543</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00" w:type="dxa"/>
            <w:vAlign w:val="bottom"/>
          </w:tcPr>
          <w:p>
            <w:pPr>
              <w:jc w:val="center"/>
              <w:ind w:left="3610"/>
              <w:spacing w:after="0"/>
              <w:rPr>
                <w:sz w:val="20"/>
                <w:szCs w:val="20"/>
                <w:color w:val="auto"/>
              </w:rPr>
            </w:pPr>
            <w:r>
              <w:rPr>
                <w:rFonts w:ascii="Arial" w:cs="Arial" w:eastAsia="Arial" w:hAnsi="Arial"/>
                <w:sz w:val="18"/>
                <w:szCs w:val="18"/>
                <w:b w:val="1"/>
                <w:bCs w:val="1"/>
                <w:color w:val="auto"/>
                <w:w w:val="92"/>
              </w:rPr>
              <w:t>Capitala Finance Corp.</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00" w:type="dxa"/>
            <w:vAlign w:val="bottom"/>
          </w:tcPr>
          <w:p>
            <w:pPr>
              <w:jc w:val="center"/>
              <w:ind w:left="359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jc w:val="center"/>
              <w:ind w:left="363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jc w:val="center"/>
              <w:ind w:left="363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3700" w:type="dxa"/>
            <w:vAlign w:val="bottom"/>
            <w:gridSpan w:val="8"/>
          </w:tcPr>
          <w:p>
            <w:pPr>
              <w:ind w:left="320"/>
              <w:spacing w:after="0"/>
              <w:rPr>
                <w:sz w:val="20"/>
                <w:szCs w:val="20"/>
                <w:color w:val="auto"/>
              </w:rPr>
            </w:pPr>
            <w:r>
              <w:rPr>
                <w:rFonts w:ascii="Arial" w:cs="Arial" w:eastAsia="Arial" w:hAnsi="Arial"/>
                <w:sz w:val="18"/>
                <w:szCs w:val="18"/>
                <w:b w:val="1"/>
                <w:bCs w:val="1"/>
                <w:color w:val="auto"/>
                <w:w w:val="92"/>
              </w:rPr>
              <w:t>For the 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Net decrease in net assets resulting from operations</w:t>
            </w: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(27,578)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(6,827)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Adjustments to reconcile net decrease in net assets resulting from operations to net cash provided by</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Purchase of investments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(48,785)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and sales of investments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91,320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Net realized loss on investments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20,912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unrealized depreciation on investments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17,179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Payment-in-kind interest and dividends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original issue discount on investments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Payments from written call option</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unrealized appreciation on written call option</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Amortization of deferred financing fees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(benefit) provision</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and dividend receivable</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Due from related parties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Management and incentive fees payable</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Interest and financing fees payable</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settlement payable</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60,472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Paydowns on SBA debentures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(15,700)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Credit Facility</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15,000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Repayments on Credit Facility</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paid to shareholders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(11,185)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Deferred financing fees paid</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(36,991</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jc w:val="both"/>
        <w:ind w:right="3040"/>
        <w:spacing w:after="0" w:line="295" w:lineRule="auto"/>
        <w:rPr>
          <w:sz w:val="20"/>
          <w:szCs w:val="20"/>
          <w:color w:val="auto"/>
        </w:rPr>
      </w:pPr>
      <w:r>
        <w:rPr>
          <w:rFonts w:ascii="Arial" w:cs="Arial" w:eastAsia="Arial" w:hAnsi="Arial"/>
          <w:sz w:val="17"/>
          <w:szCs w:val="17"/>
          <w:color w:val="auto"/>
        </w:rPr>
        <w:t>NET INCREASE IN CASH AND CASH EQUIVALENTS CASH AND CASH EQUIVALENTS, beginning of period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23,481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19,235</w:t>
            </w: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39,295</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31,221</w:t>
            </w:r>
          </w:p>
        </w:tc>
      </w:tr>
      <w:tr>
        <w:trPr>
          <w:trHeight w:val="223"/>
        </w:trPr>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62,776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50,456</w:t>
            </w: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20" w:space="720"/>
            <w:col w:w="338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11,906</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8"/>
              </w:rPr>
              <w:t>SUPPLEMENTAL DISCLOSURE OF NON-CASH INVESTING AND FINANCING TRANSACTIONS</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paid through dividend reinvestment plan share issuances</w:t>
            </w:r>
          </w:p>
        </w:tc>
        <w:tc>
          <w:tcPr>
            <w:tcW w:w="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883</w:t>
            </w:r>
          </w:p>
        </w:tc>
        <w:tc>
          <w:tcPr>
            <w:tcW w:w="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0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91"/>
              </w:rPr>
              <w:t xml:space="preserve">Portfolio Company, Country </w:t>
            </w:r>
            <w:r>
              <w:rPr>
                <w:rFonts w:ascii="Arial" w:cs="Arial" w:eastAsia="Arial" w:hAnsi="Arial"/>
                <w:sz w:val="20"/>
                <w:szCs w:val="20"/>
                <w:b w:val="1"/>
                <w:bCs w:val="1"/>
                <w:color w:val="auto"/>
                <w:w w:val="91"/>
                <w:vertAlign w:val="superscript"/>
              </w:rPr>
              <w:t>(1), (2), (3), (4), (5)</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Principal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30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ind w:left="460"/>
              <w:spacing w:after="0"/>
              <w:rPr>
                <w:sz w:val="20"/>
                <w:szCs w:val="20"/>
                <w:color w:val="auto"/>
              </w:rPr>
            </w:pPr>
            <w:r>
              <w:rPr>
                <w:rFonts w:ascii="Arial" w:cs="Arial" w:eastAsia="Arial" w:hAnsi="Arial"/>
                <w:sz w:val="13"/>
                <w:szCs w:val="13"/>
                <w:b w:val="1"/>
                <w:bCs w:val="1"/>
                <w:color w:val="auto"/>
              </w:rPr>
              <w:t>Industry</w:t>
            </w:r>
          </w:p>
        </w:tc>
        <w:tc>
          <w:tcPr>
            <w:tcW w:w="2260" w:type="dxa"/>
            <w:vAlign w:val="bottom"/>
          </w:tcPr>
          <w:p>
            <w:pPr>
              <w:ind w:left="860"/>
              <w:spacing w:after="0"/>
              <w:rPr>
                <w:sz w:val="20"/>
                <w:szCs w:val="20"/>
                <w:color w:val="auto"/>
              </w:rPr>
            </w:pPr>
            <w:r>
              <w:rPr>
                <w:rFonts w:ascii="Arial" w:cs="Arial" w:eastAsia="Arial" w:hAnsi="Arial"/>
                <w:sz w:val="13"/>
                <w:szCs w:val="13"/>
                <w:b w:val="1"/>
                <w:bCs w:val="1"/>
                <w:color w:val="auto"/>
              </w:rPr>
              <w:t>Type of Investment</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900" w:type="dxa"/>
            <w:vAlign w:val="bottom"/>
            <w:gridSpan w:val="2"/>
          </w:tcPr>
          <w:p>
            <w:pPr>
              <w:jc w:val="right"/>
              <w:ind w:right="162"/>
              <w:spacing w:after="0"/>
              <w:rPr>
                <w:sz w:val="20"/>
                <w:szCs w:val="20"/>
                <w:color w:val="auto"/>
              </w:rPr>
            </w:pPr>
            <w:r>
              <w:rPr>
                <w:rFonts w:ascii="Arial" w:cs="Arial" w:eastAsia="Arial" w:hAnsi="Arial"/>
                <w:sz w:val="13"/>
                <w:szCs w:val="13"/>
                <w:b w:val="1"/>
                <w:bCs w:val="1"/>
                <w:color w:val="auto"/>
                <w:w w:val="98"/>
              </w:rPr>
              <w:t>Net 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7"/>
              </w:rPr>
              <w:t>Non-control/non-affiliated investments - 171.0%</w:t>
            </w:r>
          </w:p>
        </w:tc>
        <w:tc>
          <w:tcPr>
            <w:tcW w:w="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2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86"/>
              </w:rPr>
              <w:t>Non-control/non-affiliated investments - United States</w:t>
            </w: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9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3 Bridge Solutions, LLC</w:t>
            </w:r>
          </w:p>
        </w:tc>
        <w:tc>
          <w:tcPr>
            <w:tcW w:w="166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rPr>
              <w:t>IT Consulting</w:t>
            </w:r>
          </w:p>
        </w:tc>
        <w:tc>
          <w:tcPr>
            <w:tcW w:w="27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9"/>
              </w:rPr>
              <w:t>First Lien Debt (11.1% Cash (1 month LIBOR +</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9.0%, 1.0% Floor), Due 12/4/22)</w:t>
            </w:r>
          </w:p>
        </w:tc>
        <w:tc>
          <w:tcPr>
            <w:tcW w:w="4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13,444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13,444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13,444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 Bridge Solutions, LLC</w:t>
            </w:r>
          </w:p>
        </w:tc>
        <w:tc>
          <w:tcPr>
            <w:tcW w:w="166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IT Consulting</w:t>
            </w:r>
          </w:p>
        </w:tc>
        <w:tc>
          <w:tcPr>
            <w:tcW w:w="2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Preferred Units (965 units)</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1,090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725</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 Bridge Solutions, LLC</w:t>
            </w:r>
          </w:p>
        </w:tc>
        <w:tc>
          <w:tcPr>
            <w:tcW w:w="166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IT Consulting</w:t>
            </w:r>
          </w:p>
        </w:tc>
        <w:tc>
          <w:tcPr>
            <w:tcW w:w="2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Membership Units (39,000 units)</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14,544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14,169</w:t>
            </w:r>
          </w:p>
        </w:tc>
        <w:tc>
          <w:tcPr>
            <w:tcW w:w="2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9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Alternative Biomedical Solutions, LLC</w:t>
            </w:r>
          </w:p>
        </w:tc>
        <w:tc>
          <w:tcPr>
            <w:tcW w:w="166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rPr>
              <w:t>Healthcare</w:t>
            </w:r>
          </w:p>
        </w:tc>
        <w:tc>
          <w:tcPr>
            <w:tcW w:w="2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First Lien Debt (8.0% Cash, 3.8% PIK, Due</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12/18/22)</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6,760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6,545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Alternative Biomedical Solutions, LLC</w:t>
            </w:r>
          </w:p>
        </w:tc>
        <w:tc>
          <w:tcPr>
            <w:tcW w:w="1660" w:type="dxa"/>
            <w:vAlign w:val="bottom"/>
            <w:gridSpan w:val="3"/>
            <w:shd w:val="clear" w:color="auto" w:fill="CCEEFF"/>
          </w:tcPr>
          <w:p>
            <w:pPr>
              <w:ind w:left="80"/>
              <w:spacing w:after="0" w:line="128" w:lineRule="exact"/>
              <w:rPr>
                <w:sz w:val="20"/>
                <w:szCs w:val="20"/>
                <w:color w:val="auto"/>
              </w:rPr>
            </w:pPr>
            <w:r>
              <w:rPr>
                <w:rFonts w:ascii="Arial" w:cs="Arial" w:eastAsia="Arial" w:hAnsi="Arial"/>
                <w:sz w:val="13"/>
                <w:szCs w:val="13"/>
                <w:color w:val="auto"/>
              </w:rPr>
              <w:t>Healthcare</w:t>
            </w:r>
          </w:p>
        </w:tc>
        <w:tc>
          <w:tcPr>
            <w:tcW w:w="22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90"/>
              </w:rPr>
              <w:t>First Lien Debt (8.0% Cash, 3.8% PIK, Due</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12/18/22) </w:t>
            </w:r>
            <w:r>
              <w:rPr>
                <w:rFonts w:ascii="Arial" w:cs="Arial" w:eastAsia="Arial" w:hAnsi="Arial"/>
                <w:sz w:val="20"/>
                <w:szCs w:val="20"/>
                <w:color w:val="auto"/>
                <w:vertAlign w:val="superscript"/>
              </w:rPr>
              <w:t>(6)</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10,368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Alternative Biomedical Solutions, LLC</w:t>
            </w:r>
          </w:p>
        </w:tc>
        <w:tc>
          <w:tcPr>
            <w:tcW w:w="166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Healthcare</w:t>
            </w:r>
          </w:p>
        </w:tc>
        <w:tc>
          <w:tcPr>
            <w:tcW w:w="2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Membership Units (20,092 units)</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20,345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16,913</w:t>
            </w:r>
          </w:p>
        </w:tc>
        <w:tc>
          <w:tcPr>
            <w:tcW w:w="2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American Clinical Solutions, LLC</w:t>
            </w:r>
          </w:p>
        </w:tc>
        <w:tc>
          <w:tcPr>
            <w:tcW w:w="1660" w:type="dxa"/>
            <w:vAlign w:val="bottom"/>
            <w:gridSpan w:val="3"/>
            <w:shd w:val="clear" w:color="auto" w:fill="CCEEFF"/>
          </w:tcPr>
          <w:p>
            <w:pPr>
              <w:ind w:left="80"/>
              <w:spacing w:after="0" w:line="128" w:lineRule="exact"/>
              <w:rPr>
                <w:sz w:val="20"/>
                <w:szCs w:val="20"/>
                <w:color w:val="auto"/>
              </w:rPr>
            </w:pPr>
            <w:r>
              <w:rPr>
                <w:rFonts w:ascii="Arial" w:cs="Arial" w:eastAsia="Arial" w:hAnsi="Arial"/>
                <w:sz w:val="13"/>
                <w:szCs w:val="13"/>
                <w:color w:val="auto"/>
              </w:rPr>
              <w:t>Healthcare</w:t>
            </w:r>
          </w:p>
        </w:tc>
        <w:tc>
          <w:tcPr>
            <w:tcW w:w="274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First Lien Debt (10.5% Cash, 2.0% PIK, Due</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6/11/20) </w:t>
            </w:r>
            <w:r>
              <w:rPr>
                <w:rFonts w:ascii="Arial" w:cs="Arial" w:eastAsia="Arial" w:hAnsi="Arial"/>
                <w:sz w:val="20"/>
                <w:szCs w:val="20"/>
                <w:color w:val="auto"/>
                <w:vertAlign w:val="superscript"/>
              </w:rPr>
              <w:t>(7)</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6,596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6,596</w:t>
            </w:r>
          </w:p>
        </w:tc>
        <w:tc>
          <w:tcPr>
            <w:tcW w:w="2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AmeriMark Direct, LLC</w:t>
            </w:r>
          </w:p>
        </w:tc>
        <w:tc>
          <w:tcPr>
            <w:tcW w:w="166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Consumer Products</w:t>
            </w:r>
          </w:p>
        </w:tc>
        <w:tc>
          <w:tcPr>
            <w:tcW w:w="2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First Lien Debt (13.8% Cash, Due 9/8/21)</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16,498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16,321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16,498</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16,498</w:t>
            </w:r>
          </w:p>
        </w:tc>
        <w:tc>
          <w:tcPr>
            <w:tcW w:w="2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BigMouth, Inc.</w:t>
            </w:r>
          </w:p>
        </w:tc>
        <w:tc>
          <w:tcPr>
            <w:tcW w:w="16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Consumer Products</w:t>
            </w: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8"/>
              </w:rPr>
              <w:t>First Lien Debt (14.1% Cash, Due 11/14/21)</w:t>
            </w:r>
          </w:p>
        </w:tc>
        <w:tc>
          <w:tcPr>
            <w:tcW w:w="48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0"/>
                <w:szCs w:val="10"/>
                <w:color w:val="auto"/>
                <w:w w:val="97"/>
              </w:rPr>
              <w:t>(6)</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8,572</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8,572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8,447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BigMouth, Inc.</w:t>
            </w:r>
          </w:p>
        </w:tc>
        <w:tc>
          <w:tcPr>
            <w:tcW w:w="166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Consumer Products</w:t>
            </w:r>
          </w:p>
        </w:tc>
        <w:tc>
          <w:tcPr>
            <w:tcW w:w="2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1"/>
              </w:rPr>
              <w:t>Series A Preferred Stock (350,000 shares)</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163</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8,983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8,610</w:t>
            </w:r>
          </w:p>
        </w:tc>
        <w:tc>
          <w:tcPr>
            <w:tcW w:w="2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9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Bluestem Brands, Inc.</w:t>
            </w:r>
          </w:p>
        </w:tc>
        <w:tc>
          <w:tcPr>
            <w:tcW w:w="166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rPr>
              <w:t>Online Merchandise</w:t>
            </w:r>
          </w:p>
        </w:tc>
        <w:tc>
          <w:tcPr>
            <w:tcW w:w="27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0"/>
              </w:rPr>
              <w:t>First Lien Debt (9.5% Cash (1 month LIBOR + 7.5%,</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Retailer</w:t>
            </w: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1.0% Floor), Due 11/7/20)</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3,592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3,447</w:t>
            </w:r>
          </w:p>
        </w:tc>
        <w:tc>
          <w:tcPr>
            <w:tcW w:w="2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9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Burke America Parts Group, LLC</w:t>
            </w:r>
          </w:p>
        </w:tc>
        <w:tc>
          <w:tcPr>
            <w:tcW w:w="166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rPr>
              <w:t>Home Repair Parts</w:t>
            </w:r>
          </w:p>
        </w:tc>
        <w:tc>
          <w:tcPr>
            <w:tcW w:w="2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Membership Units (14 units)</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Manufacturer</w:t>
            </w:r>
          </w:p>
        </w:tc>
        <w:tc>
          <w:tcPr>
            <w:tcW w:w="2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2,497</w:t>
            </w:r>
          </w:p>
        </w:tc>
        <w:tc>
          <w:tcPr>
            <w:tcW w:w="2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9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California Pizza Kitchen, Inc.</w:t>
            </w:r>
          </w:p>
        </w:tc>
        <w:tc>
          <w:tcPr>
            <w:tcW w:w="166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rPr>
              <w:t>Restaurant</w:t>
            </w:r>
          </w:p>
        </w:tc>
        <w:tc>
          <w:tcPr>
            <w:tcW w:w="27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3"/>
              </w:rPr>
              <w:t>Second Lien Debt (12.5% Cash (3 month LIBOR +</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10.0%, 1.0% Floor), Due 8/23/23)</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4,800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4,800</w:t>
            </w:r>
          </w:p>
        </w:tc>
        <w:tc>
          <w:tcPr>
            <w:tcW w:w="2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vMerge w:val="restart"/>
          </w:tcPr>
          <w:p>
            <w:pPr>
              <w:spacing w:after="0"/>
              <w:rPr>
                <w:sz w:val="20"/>
                <w:szCs w:val="20"/>
                <w:color w:val="auto"/>
              </w:rPr>
            </w:pPr>
            <w:r>
              <w:rPr>
                <w:rFonts w:ascii="Arial" w:cs="Arial" w:eastAsia="Arial" w:hAnsi="Arial"/>
                <w:sz w:val="13"/>
                <w:szCs w:val="13"/>
                <w:b w:val="1"/>
                <w:bCs w:val="1"/>
                <w:color w:val="auto"/>
                <w:w w:val="82"/>
              </w:rPr>
              <w:t xml:space="preserve">Portfolio Company, Country </w:t>
            </w:r>
            <w:r>
              <w:rPr>
                <w:rFonts w:ascii="Arial" w:cs="Arial" w:eastAsia="Arial" w:hAnsi="Arial"/>
                <w:sz w:val="20"/>
                <w:szCs w:val="20"/>
                <w:b w:val="1"/>
                <w:bCs w:val="1"/>
                <w:color w:val="auto"/>
                <w:w w:val="82"/>
                <w:vertAlign w:val="superscript"/>
              </w:rPr>
              <w:t>(1)</w:t>
            </w:r>
            <w:r>
              <w:rPr>
                <w:rFonts w:ascii="Arial" w:cs="Arial" w:eastAsia="Arial" w:hAnsi="Arial"/>
                <w:sz w:val="20"/>
                <w:szCs w:val="20"/>
                <w:b w:val="1"/>
                <w:bCs w:val="1"/>
                <w:u w:val="single" w:color="auto"/>
                <w:color w:val="auto"/>
                <w:w w:val="82"/>
                <w:vertAlign w:val="superscript"/>
              </w:rPr>
              <w:t>,</w:t>
            </w:r>
            <w:r>
              <w:rPr>
                <w:rFonts w:ascii="Arial" w:cs="Arial" w:eastAsia="Arial" w:hAnsi="Arial"/>
                <w:sz w:val="13"/>
                <w:szCs w:val="13"/>
                <w:b w:val="1"/>
                <w:bCs w:val="1"/>
                <w:color w:val="auto"/>
                <w:w w:val="82"/>
              </w:rPr>
              <w:t xml:space="preserve"> </w:t>
            </w:r>
            <w:r>
              <w:rPr>
                <w:rFonts w:ascii="Arial" w:cs="Arial" w:eastAsia="Arial" w:hAnsi="Arial"/>
                <w:sz w:val="20"/>
                <w:szCs w:val="20"/>
                <w:b w:val="1"/>
                <w:bCs w:val="1"/>
                <w:color w:val="auto"/>
                <w:w w:val="82"/>
                <w:vertAlign w:val="superscript"/>
              </w:rPr>
              <w:t>(2), (3), (4), (5)</w:t>
            </w: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Principal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2"/>
          </w:tcPr>
          <w:p>
            <w:pPr>
              <w:ind w:left="640"/>
              <w:spacing w:after="0"/>
              <w:rPr>
                <w:sz w:val="20"/>
                <w:szCs w:val="20"/>
                <w:color w:val="auto"/>
              </w:rPr>
            </w:pPr>
            <w:r>
              <w:rPr>
                <w:rFonts w:ascii="Arial" w:cs="Arial" w:eastAsia="Arial" w:hAnsi="Arial"/>
                <w:sz w:val="13"/>
                <w:szCs w:val="13"/>
                <w:b w:val="1"/>
                <w:bCs w:val="1"/>
                <w:color w:val="auto"/>
              </w:rPr>
              <w:t>Industry</w:t>
            </w:r>
          </w:p>
        </w:tc>
        <w:tc>
          <w:tcPr>
            <w:tcW w:w="2120" w:type="dxa"/>
            <w:vAlign w:val="bottom"/>
          </w:tcPr>
          <w:p>
            <w:pPr>
              <w:ind w:left="980"/>
              <w:spacing w:after="0"/>
              <w:rPr>
                <w:sz w:val="20"/>
                <w:szCs w:val="20"/>
                <w:color w:val="auto"/>
              </w:rPr>
            </w:pPr>
            <w:r>
              <w:rPr>
                <w:rFonts w:ascii="Arial" w:cs="Arial" w:eastAsia="Arial" w:hAnsi="Arial"/>
                <w:sz w:val="13"/>
                <w:szCs w:val="13"/>
                <w:b w:val="1"/>
                <w:bCs w:val="1"/>
                <w:color w:val="auto"/>
                <w:w w:val="94"/>
              </w:rPr>
              <w:t>Type of Investment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6"/>
              </w:rPr>
              <w:t>Fair Value</w:t>
            </w:r>
          </w:p>
        </w:tc>
        <w:tc>
          <w:tcPr>
            <w:tcW w:w="70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Chicken Soup for the Soul, LLC</w:t>
            </w:r>
          </w:p>
        </w:tc>
        <w:tc>
          <w:tcPr>
            <w:tcW w:w="180" w:type="dxa"/>
            <w:vAlign w:val="bottom"/>
            <w:tcBorders>
              <w:top w:val="single" w:sz="8" w:color="CCEEFF"/>
            </w:tcBorders>
            <w:shd w:val="clear" w:color="auto" w:fill="CCEEFF"/>
          </w:tcPr>
          <w:p>
            <w:pPr>
              <w:spacing w:after="0"/>
              <w:rPr>
                <w:sz w:val="9"/>
                <w:szCs w:val="9"/>
                <w:color w:val="auto"/>
              </w:rPr>
            </w:pPr>
          </w:p>
        </w:tc>
        <w:tc>
          <w:tcPr>
            <w:tcW w:w="17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Multi-platform Media and</w:t>
            </w:r>
          </w:p>
        </w:tc>
        <w:tc>
          <w:tcPr>
            <w:tcW w:w="200" w:type="dxa"/>
            <w:vAlign w:val="bottom"/>
            <w:tcBorders>
              <w:top w:val="single" w:sz="8" w:color="CCEEFF"/>
            </w:tcBorders>
            <w:shd w:val="clear" w:color="auto" w:fill="CCEEFF"/>
          </w:tcPr>
          <w:p>
            <w:pPr>
              <w:spacing w:after="0"/>
              <w:rPr>
                <w:sz w:val="9"/>
                <w:szCs w:val="9"/>
                <w:color w:val="auto"/>
              </w:rPr>
            </w:pPr>
          </w:p>
        </w:tc>
        <w:tc>
          <w:tcPr>
            <w:tcW w:w="3000" w:type="dxa"/>
            <w:vAlign w:val="bottom"/>
            <w:tcBorders>
              <w:top w:val="single" w:sz="8" w:color="auto"/>
            </w:tcBorders>
            <w:gridSpan w:val="4"/>
            <w:shd w:val="clear" w:color="auto" w:fill="CCEEFF"/>
          </w:tcPr>
          <w:p>
            <w:pPr>
              <w:spacing w:after="0" w:line="114" w:lineRule="exact"/>
              <w:rPr>
                <w:sz w:val="20"/>
                <w:szCs w:val="20"/>
                <w:color w:val="auto"/>
              </w:rPr>
            </w:pPr>
            <w:r>
              <w:rPr>
                <w:rFonts w:ascii="Arial" w:cs="Arial" w:eastAsia="Arial" w:hAnsi="Arial"/>
                <w:sz w:val="13"/>
                <w:szCs w:val="13"/>
                <w:color w:val="auto"/>
                <w:w w:val="96"/>
              </w:rPr>
              <w:t>First Lien Debt (10.6% Cash (1 month LIBOR + 8.5%,</w:t>
            </w:r>
          </w:p>
        </w:tc>
        <w:tc>
          <w:tcPr>
            <w:tcW w:w="2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21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Consumer Products</w:t>
            </w:r>
          </w:p>
        </w:tc>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1.5% Floor), Due 12/13/20)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13,000</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12,913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13,000</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12,913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CIS Secure Computing, Inc.</w:t>
            </w:r>
          </w:p>
        </w:tc>
        <w:tc>
          <w:tcPr>
            <w:tcW w:w="212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Government Services</w:t>
            </w:r>
          </w:p>
        </w:tc>
        <w:tc>
          <w:tcPr>
            <w:tcW w:w="322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First Lien Debt (10.6% Cash (1 month LIBOR + 8.5%,</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w w:val="99"/>
              </w:rPr>
              <w:t>1.0% Floor), 1.0% PIK, Due 9/14/22)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9,489</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9,489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9,489</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CIS Secure Computing, Inc.</w:t>
            </w:r>
          </w:p>
        </w:tc>
        <w:tc>
          <w:tcPr>
            <w:tcW w:w="212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Government Services</w:t>
            </w:r>
          </w:p>
        </w:tc>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Common Stock (46,163 shares)</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1,534</w:t>
            </w: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10,489</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11,023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Corporate Visions, Inc.</w:t>
            </w:r>
          </w:p>
        </w:tc>
        <w:tc>
          <w:tcPr>
            <w:tcW w:w="212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Sales &amp; Marketing Services</w:t>
            </w:r>
          </w:p>
        </w:tc>
        <w:tc>
          <w:tcPr>
            <w:tcW w:w="3220" w:type="dxa"/>
            <w:vAlign w:val="bottom"/>
            <w:gridSpan w:val="5"/>
            <w:shd w:val="clear" w:color="auto" w:fill="CCEEFF"/>
          </w:tcPr>
          <w:p>
            <w:pPr>
              <w:spacing w:after="0" w:line="135" w:lineRule="exact"/>
              <w:rPr>
                <w:sz w:val="20"/>
                <w:szCs w:val="20"/>
                <w:color w:val="auto"/>
              </w:rPr>
            </w:pPr>
            <w:r>
              <w:rPr>
                <w:rFonts w:ascii="Arial" w:cs="Arial" w:eastAsia="Arial" w:hAnsi="Arial"/>
                <w:sz w:val="13"/>
                <w:szCs w:val="13"/>
                <w:color w:val="auto"/>
                <w:w w:val="96"/>
              </w:rPr>
              <w:t>Subordinated Debt (9.0% Cash, 2.0% PIK, Due 11/29/21)</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19,229</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19,229</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19,120</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Corporate Visions, Inc.</w:t>
            </w:r>
          </w:p>
        </w:tc>
        <w:tc>
          <w:tcPr>
            <w:tcW w:w="212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Sales &amp; Marketing Services</w:t>
            </w:r>
          </w:p>
        </w:tc>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Common Stock (15,750 shares)</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1,575</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270</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20,804</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19,390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Currency Capital, LLC</w:t>
            </w:r>
          </w:p>
        </w:tc>
        <w:tc>
          <w:tcPr>
            <w:tcW w:w="2120" w:type="dxa"/>
            <w:vAlign w:val="bottom"/>
            <w:gridSpan w:val="3"/>
            <w:shd w:val="clear" w:color="auto" w:fill="CCEEFF"/>
          </w:tcPr>
          <w:p>
            <w:pPr>
              <w:ind w:left="180"/>
              <w:spacing w:after="0" w:line="128" w:lineRule="exact"/>
              <w:rPr>
                <w:sz w:val="20"/>
                <w:szCs w:val="20"/>
                <w:color w:val="auto"/>
              </w:rPr>
            </w:pPr>
            <w:r>
              <w:rPr>
                <w:rFonts w:ascii="Arial" w:cs="Arial" w:eastAsia="Arial" w:hAnsi="Arial"/>
                <w:sz w:val="13"/>
                <w:szCs w:val="13"/>
                <w:color w:val="auto"/>
              </w:rPr>
              <w:t>Financial Services</w:t>
            </w:r>
          </w:p>
        </w:tc>
        <w:tc>
          <w:tcPr>
            <w:tcW w:w="3220" w:type="dxa"/>
            <w:vAlign w:val="bottom"/>
            <w:gridSpan w:val="5"/>
            <w:shd w:val="clear" w:color="auto" w:fill="CCEEFF"/>
          </w:tcPr>
          <w:p>
            <w:pPr>
              <w:spacing w:after="0" w:line="128" w:lineRule="exact"/>
              <w:rPr>
                <w:sz w:val="20"/>
                <w:szCs w:val="20"/>
                <w:color w:val="auto"/>
              </w:rPr>
            </w:pPr>
            <w:r>
              <w:rPr>
                <w:rFonts w:ascii="Arial" w:cs="Arial" w:eastAsia="Arial" w:hAnsi="Arial"/>
                <w:sz w:val="13"/>
                <w:szCs w:val="13"/>
                <w:color w:val="auto"/>
              </w:rPr>
              <w:t>First Lien Debt (14.1% Cash (1 month LIBOR + 12.0%,</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w w:val="93"/>
              </w:rPr>
              <w:t xml:space="preserve">0.5% Floor), 2.0% PIK, Due 1/2/20) </w:t>
            </w:r>
            <w:r>
              <w:rPr>
                <w:rFonts w:ascii="Arial" w:cs="Arial" w:eastAsia="Arial" w:hAnsi="Arial"/>
                <w:sz w:val="20"/>
                <w:szCs w:val="20"/>
                <w:color w:val="auto"/>
                <w:w w:val="93"/>
                <w:vertAlign w:val="superscript"/>
              </w:rPr>
              <w:t>(8)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16,400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16,400</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16,400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80" w:type="dxa"/>
            <w:vAlign w:val="bottom"/>
            <w:gridSpan w:val="3"/>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Currency Capital, LLC</w:t>
            </w:r>
          </w:p>
        </w:tc>
        <w:tc>
          <w:tcPr>
            <w:tcW w:w="21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Financial Services</w:t>
            </w:r>
          </w:p>
        </w:tc>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8"/>
              </w:rPr>
              <w:t>Class A Preferred Units (2,000,000 units)</w:t>
            </w:r>
          </w:p>
        </w:tc>
        <w:tc>
          <w:tcPr>
            <w:tcW w:w="880" w:type="dxa"/>
            <w:vAlign w:val="bottom"/>
            <w:tcBorders>
              <w:bottom w:val="single" w:sz="8" w:color="CCEEFF"/>
            </w:tcBorders>
            <w:gridSpan w:val="3"/>
            <w:shd w:val="clear" w:color="auto" w:fill="CCEEFF"/>
          </w:tcPr>
          <w:p>
            <w:pPr>
              <w:jc w:val="right"/>
              <w:ind w:right="688"/>
              <w:spacing w:after="0"/>
              <w:rPr>
                <w:sz w:val="20"/>
                <w:szCs w:val="20"/>
                <w:color w:val="auto"/>
              </w:rPr>
            </w:pPr>
            <w:r>
              <w:rPr>
                <w:rFonts w:ascii="Arial" w:cs="Arial" w:eastAsia="Arial" w:hAnsi="Arial"/>
                <w:sz w:val="10"/>
                <w:szCs w:val="10"/>
                <w:color w:val="auto"/>
                <w:w w:val="97"/>
              </w:rPr>
              <w:t>(8)</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2,000</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2,364</w:t>
            </w:r>
          </w:p>
        </w:tc>
        <w:tc>
          <w:tcPr>
            <w:tcW w:w="2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18,400</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18,764</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Flavors Holdings, Inc.</w:t>
            </w:r>
          </w:p>
        </w:tc>
        <w:tc>
          <w:tcPr>
            <w:tcW w:w="212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Food Product Manufacturer</w:t>
            </w:r>
          </w:p>
        </w:tc>
        <w:tc>
          <w:tcPr>
            <w:tcW w:w="322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First Lien Debt (7.9% Cash (3 month LIBOR + 5.8%,</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1.0% Floor), Due 4/3/20)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5,789</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5,766</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5,683</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0" w:type="dxa"/>
            <w:vAlign w:val="bottom"/>
            <w:gridSpan w:val="4"/>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Flavors Holdings, Inc.</w:t>
            </w:r>
          </w:p>
        </w:tc>
        <w:tc>
          <w:tcPr>
            <w:tcW w:w="212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Food Product Manufacturer</w:t>
            </w:r>
          </w:p>
        </w:tc>
        <w:tc>
          <w:tcPr>
            <w:tcW w:w="322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w w:val="95"/>
              </w:rPr>
              <w:t>Second Lien Debt (12.1% Cash (3 month LIBOR + 10.0%,</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1.0% Floor), Due 10/3/21)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12,000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11,861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11,324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17,627</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17,007</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Freedom Electronics, LLC</w:t>
            </w:r>
          </w:p>
        </w:tc>
        <w:tc>
          <w:tcPr>
            <w:tcW w:w="21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Electronic Machine Repair</w:t>
            </w:r>
          </w:p>
        </w:tc>
        <w:tc>
          <w:tcPr>
            <w:tcW w:w="2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w w:val="88"/>
              </w:rPr>
              <w:t>First Lien Debt (8.8% Cash, Due 12/20/23)</w:t>
            </w:r>
          </w:p>
        </w:tc>
        <w:tc>
          <w:tcPr>
            <w:tcW w:w="800" w:type="dxa"/>
            <w:vAlign w:val="bottom"/>
            <w:tcBorders>
              <w:bottom w:val="single" w:sz="8" w:color="CCEEFF"/>
            </w:tcBorders>
            <w:shd w:val="clear" w:color="auto" w:fill="CCEEFF"/>
          </w:tcPr>
          <w:p>
            <w:pPr>
              <w:jc w:val="right"/>
              <w:ind w:right="488"/>
              <w:spacing w:after="0"/>
              <w:rPr>
                <w:sz w:val="20"/>
                <w:szCs w:val="20"/>
                <w:color w:val="auto"/>
              </w:rPr>
            </w:pPr>
            <w:r>
              <w:rPr>
                <w:rFonts w:ascii="Arial" w:cs="Arial" w:eastAsia="Arial" w:hAnsi="Arial"/>
                <w:sz w:val="10"/>
                <w:szCs w:val="10"/>
                <w:color w:val="auto"/>
                <w:w w:val="97"/>
              </w:rPr>
              <w:t>(6)(9)</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5,955</w:t>
            </w: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5,955</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5,955</w:t>
            </w:r>
          </w:p>
        </w:tc>
        <w:tc>
          <w:tcPr>
            <w:tcW w:w="2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Freedom Electronics, LLC</w:t>
            </w:r>
          </w:p>
        </w:tc>
        <w:tc>
          <w:tcPr>
            <w:tcW w:w="212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Electronic Machine Repair</w:t>
            </w:r>
          </w:p>
        </w:tc>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Membership Units (181,818 units)</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172</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6,137</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6,127</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HUMC Opco, LLC</w:t>
            </w:r>
          </w:p>
        </w:tc>
        <w:tc>
          <w:tcPr>
            <w:tcW w:w="212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Healthcare</w:t>
            </w:r>
          </w:p>
        </w:tc>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8"/>
              </w:rPr>
              <w:t>First Lien Debt (9.0% Cash, Due 8/16/20)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5,000</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w:t>
            </w: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5,000</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Installs, LLC</w:t>
            </w:r>
          </w:p>
        </w:tc>
        <w:tc>
          <w:tcPr>
            <w:tcW w:w="212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Logistics</w:t>
            </w:r>
          </w:p>
        </w:tc>
        <w:tc>
          <w:tcPr>
            <w:tcW w:w="322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First Lien Debt (9.1% Cash (1 month LIBOR + 7.0%,</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1.8% Floor), Due 6/20/23)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2,947</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2,947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2,947</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2,947</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2,947</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Jurassic Quest Holdings, LLC</w:t>
            </w:r>
          </w:p>
        </w:tc>
        <w:tc>
          <w:tcPr>
            <w:tcW w:w="2120" w:type="dxa"/>
            <w:vAlign w:val="bottom"/>
            <w:gridSpan w:val="3"/>
            <w:shd w:val="clear" w:color="auto" w:fill="CCEEFF"/>
          </w:tcPr>
          <w:p>
            <w:pPr>
              <w:ind w:left="180"/>
              <w:spacing w:after="0" w:line="128" w:lineRule="exact"/>
              <w:rPr>
                <w:sz w:val="20"/>
                <w:szCs w:val="20"/>
                <w:color w:val="auto"/>
              </w:rPr>
            </w:pPr>
            <w:r>
              <w:rPr>
                <w:rFonts w:ascii="Arial" w:cs="Arial" w:eastAsia="Arial" w:hAnsi="Arial"/>
                <w:sz w:val="13"/>
                <w:szCs w:val="13"/>
                <w:color w:val="auto"/>
              </w:rPr>
              <w:t>Entertainment</w:t>
            </w:r>
          </w:p>
        </w:tc>
        <w:tc>
          <w:tcPr>
            <w:tcW w:w="3220" w:type="dxa"/>
            <w:vAlign w:val="bottom"/>
            <w:gridSpan w:val="5"/>
            <w:shd w:val="clear" w:color="auto" w:fill="CCEEFF"/>
          </w:tcPr>
          <w:p>
            <w:pPr>
              <w:spacing w:after="0" w:line="128" w:lineRule="exact"/>
              <w:rPr>
                <w:sz w:val="20"/>
                <w:szCs w:val="20"/>
                <w:color w:val="auto"/>
              </w:rPr>
            </w:pPr>
            <w:r>
              <w:rPr>
                <w:rFonts w:ascii="Arial" w:cs="Arial" w:eastAsia="Arial" w:hAnsi="Arial"/>
                <w:sz w:val="13"/>
                <w:szCs w:val="13"/>
                <w:color w:val="auto"/>
              </w:rPr>
              <w:t>First Lien Debt (9.6% Cash (1 month LIBOR + 7.5%,</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2.0% Floor), Due 5/1/24) </w:t>
            </w:r>
            <w:r>
              <w:rPr>
                <w:rFonts w:ascii="Arial" w:cs="Arial" w:eastAsia="Arial" w:hAnsi="Arial"/>
                <w:sz w:val="20"/>
                <w:szCs w:val="20"/>
                <w:color w:val="auto"/>
                <w:vertAlign w:val="superscript"/>
              </w:rPr>
              <w:t>(10)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10,744</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10,744</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10,744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Jurassic Quest Holdings, LLC</w:t>
            </w:r>
          </w:p>
        </w:tc>
        <w:tc>
          <w:tcPr>
            <w:tcW w:w="21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Entertainment</w:t>
            </w: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w w:val="89"/>
              </w:rPr>
              <w:t>Preferred Units (375,000 units, 8.0% PIK)</w:t>
            </w:r>
          </w:p>
        </w:tc>
        <w:tc>
          <w:tcPr>
            <w:tcW w:w="84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0"/>
                <w:szCs w:val="10"/>
                <w:color w:val="auto"/>
                <w:w w:val="89"/>
              </w:rPr>
              <w:t>(11)</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388</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331</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7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1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11,132</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11,075</w:t>
            </w: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2"/>
              </w:rPr>
              <w:t xml:space="preserve">Portfolio Company, Country </w:t>
            </w:r>
            <w:r>
              <w:rPr>
                <w:rFonts w:ascii="Arial" w:cs="Arial" w:eastAsia="Arial" w:hAnsi="Arial"/>
                <w:sz w:val="20"/>
                <w:szCs w:val="20"/>
                <w:b w:val="1"/>
                <w:bCs w:val="1"/>
                <w:color w:val="auto"/>
                <w:w w:val="82"/>
                <w:vertAlign w:val="superscript"/>
              </w:rPr>
              <w:t>(1)</w:t>
            </w:r>
            <w:r>
              <w:rPr>
                <w:rFonts w:ascii="Arial" w:cs="Arial" w:eastAsia="Arial" w:hAnsi="Arial"/>
                <w:sz w:val="20"/>
                <w:szCs w:val="20"/>
                <w:b w:val="1"/>
                <w:bCs w:val="1"/>
                <w:u w:val="single" w:color="auto"/>
                <w:color w:val="auto"/>
                <w:w w:val="82"/>
                <w:vertAlign w:val="superscript"/>
              </w:rPr>
              <w:t>,</w:t>
            </w:r>
            <w:r>
              <w:rPr>
                <w:rFonts w:ascii="Arial" w:cs="Arial" w:eastAsia="Arial" w:hAnsi="Arial"/>
                <w:sz w:val="13"/>
                <w:szCs w:val="13"/>
                <w:b w:val="1"/>
                <w:bCs w:val="1"/>
                <w:color w:val="auto"/>
                <w:w w:val="82"/>
              </w:rPr>
              <w:t xml:space="preserve"> </w:t>
            </w:r>
            <w:r>
              <w:rPr>
                <w:rFonts w:ascii="Arial" w:cs="Arial" w:eastAsia="Arial" w:hAnsi="Arial"/>
                <w:sz w:val="20"/>
                <w:szCs w:val="20"/>
                <w:b w:val="1"/>
                <w:bCs w:val="1"/>
                <w:color w:val="auto"/>
                <w:w w:val="82"/>
                <w:vertAlign w:val="superscript"/>
              </w:rPr>
              <w:t>(2), (3), (4), (5)</w:t>
            </w:r>
          </w:p>
        </w:tc>
        <w:tc>
          <w:tcPr>
            <w:tcW w:w="200" w:type="dxa"/>
            <w:vAlign w:val="bottom"/>
            <w:vMerge w:val="restart"/>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jc w:val="center"/>
              <w:ind w:right="317"/>
              <w:spacing w:after="0"/>
              <w:rPr>
                <w:sz w:val="20"/>
                <w:szCs w:val="20"/>
                <w:color w:val="auto"/>
              </w:rPr>
            </w:pPr>
            <w:r>
              <w:rPr>
                <w:rFonts w:ascii="Arial" w:cs="Arial" w:eastAsia="Arial" w:hAnsi="Arial"/>
                <w:sz w:val="13"/>
                <w:szCs w:val="13"/>
                <w:b w:val="1"/>
                <w:bCs w:val="1"/>
                <w:color w:val="auto"/>
                <w:w w:val="90"/>
              </w:rPr>
              <w:t>Principal</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4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vMerge w:val="continue"/>
          </w:tcPr>
          <w:p>
            <w:pPr>
              <w:spacing w:after="0"/>
              <w:rPr>
                <w:sz w:val="13"/>
                <w:szCs w:val="13"/>
                <w:color w:val="auto"/>
              </w:rPr>
            </w:pPr>
          </w:p>
        </w:tc>
        <w:tc>
          <w:tcPr>
            <w:tcW w:w="17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Industry</w:t>
            </w:r>
          </w:p>
        </w:tc>
        <w:tc>
          <w:tcPr>
            <w:tcW w:w="200" w:type="dxa"/>
            <w:vAlign w:val="bottom"/>
            <w:tcBorders>
              <w:bottom w:val="single" w:sz="8" w:color="CCEEFF"/>
            </w:tcBorders>
          </w:tcPr>
          <w:p>
            <w:pPr>
              <w:spacing w:after="0"/>
              <w:rPr>
                <w:sz w:val="13"/>
                <w:szCs w:val="13"/>
                <w:color w:val="auto"/>
              </w:rPr>
            </w:pPr>
          </w:p>
        </w:tc>
        <w:tc>
          <w:tcPr>
            <w:tcW w:w="300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Type of Investment</w:t>
            </w: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6"/>
              </w:rPr>
              <w:t>Fair Value</w:t>
            </w:r>
          </w:p>
        </w:tc>
        <w:tc>
          <w:tcPr>
            <w:tcW w:w="2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3"/>
              </w:rPr>
              <w:t>Net Assets</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MicroHoldco, LLC</w:t>
            </w:r>
          </w:p>
        </w:tc>
        <w:tc>
          <w:tcPr>
            <w:tcW w:w="2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General Industrial</w:t>
            </w:r>
          </w:p>
        </w:tc>
        <w:tc>
          <w:tcPr>
            <w:tcW w:w="20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Preferred Units (838,042 units)</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838</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838</w:t>
            </w: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9"/>
        </w:trPr>
        <w:tc>
          <w:tcPr>
            <w:tcW w:w="24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838</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838</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114"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7" w:lineRule="exact"/>
        <w:rPr>
          <w:sz w:val="20"/>
          <w:szCs w:val="20"/>
          <w:color w:val="auto"/>
        </w:rPr>
      </w:pPr>
    </w:p>
    <w:p>
      <w:pPr>
        <w:spacing w:after="0"/>
        <w:tabs>
          <w:tab w:leader="none" w:pos="2600" w:val="left"/>
        </w:tabs>
        <w:rPr>
          <w:sz w:val="20"/>
          <w:szCs w:val="20"/>
          <w:color w:val="auto"/>
        </w:rPr>
      </w:pPr>
      <w:r>
        <w:rPr>
          <w:rFonts w:ascii="Arial" w:cs="Arial" w:eastAsia="Arial" w:hAnsi="Arial"/>
          <w:sz w:val="13"/>
          <w:szCs w:val="13"/>
          <w:color w:val="auto"/>
        </w:rPr>
        <w:t>Nth Degree, Inc.</w:t>
      </w:r>
      <w:r>
        <w:rPr>
          <w:sz w:val="20"/>
          <w:szCs w:val="20"/>
          <w:color w:val="auto"/>
        </w:rPr>
        <w:tab/>
      </w:r>
      <w:r>
        <w:rPr>
          <w:rFonts w:ascii="Arial" w:cs="Arial" w:eastAsia="Arial" w:hAnsi="Arial"/>
          <w:sz w:val="11"/>
          <w:szCs w:val="11"/>
          <w:color w:val="auto"/>
        </w:rPr>
        <w:t>Business Services</w:t>
      </w:r>
    </w:p>
    <w:p>
      <w:pPr>
        <w:spacing w:after="0" w:line="296" w:lineRule="exact"/>
        <w:rPr>
          <w:sz w:val="20"/>
          <w:szCs w:val="20"/>
          <w:color w:val="auto"/>
        </w:rPr>
      </w:pPr>
    </w:p>
    <w:p>
      <w:pPr>
        <w:spacing w:after="0"/>
        <w:tabs>
          <w:tab w:leader="none" w:pos="2600" w:val="left"/>
        </w:tabs>
        <w:rPr>
          <w:sz w:val="20"/>
          <w:szCs w:val="20"/>
          <w:color w:val="auto"/>
        </w:rPr>
      </w:pPr>
      <w:r>
        <w:rPr>
          <w:rFonts w:ascii="Arial" w:cs="Arial" w:eastAsia="Arial" w:hAnsi="Arial"/>
          <w:sz w:val="13"/>
          <w:szCs w:val="13"/>
          <w:color w:val="auto"/>
        </w:rPr>
        <w:t>Nth Degree, Inc.</w:t>
      </w:r>
      <w:r>
        <w:rPr>
          <w:sz w:val="20"/>
          <w:szCs w:val="20"/>
          <w:color w:val="auto"/>
        </w:rPr>
        <w:tab/>
      </w:r>
      <w:r>
        <w:rPr>
          <w:rFonts w:ascii="Arial" w:cs="Arial" w:eastAsia="Arial" w:hAnsi="Arial"/>
          <w:sz w:val="11"/>
          <w:szCs w:val="11"/>
          <w:color w:val="auto"/>
        </w:rPr>
        <w:t>Business Services</w:t>
      </w:r>
    </w:p>
    <w:p>
      <w:pPr>
        <w:spacing w:after="0" w:line="200" w:lineRule="exact"/>
        <w:rPr>
          <w:sz w:val="20"/>
          <w:szCs w:val="20"/>
          <w:color w:val="auto"/>
        </w:rPr>
      </w:pPr>
    </w:p>
    <w:p>
      <w:pPr>
        <w:spacing w:after="0" w:line="272" w:lineRule="exact"/>
        <w:rPr>
          <w:sz w:val="20"/>
          <w:szCs w:val="20"/>
          <w:color w:val="auto"/>
        </w:rPr>
      </w:pPr>
    </w:p>
    <w:p>
      <w:pPr>
        <w:spacing w:after="0"/>
        <w:tabs>
          <w:tab w:leader="none" w:pos="2600" w:val="left"/>
        </w:tabs>
        <w:rPr>
          <w:sz w:val="20"/>
          <w:szCs w:val="20"/>
          <w:color w:val="auto"/>
        </w:rPr>
      </w:pPr>
      <w:r>
        <w:rPr>
          <w:rFonts w:ascii="Arial" w:cs="Arial" w:eastAsia="Arial" w:hAnsi="Arial"/>
          <w:sz w:val="13"/>
          <w:szCs w:val="13"/>
          <w:color w:val="auto"/>
        </w:rPr>
        <w:t>Seitel, Inc.</w:t>
      </w:r>
      <w:r>
        <w:rPr>
          <w:sz w:val="20"/>
          <w:szCs w:val="20"/>
          <w:color w:val="auto"/>
        </w:rPr>
        <w:tab/>
      </w:r>
      <w:r>
        <w:rPr>
          <w:rFonts w:ascii="Arial" w:cs="Arial" w:eastAsia="Arial" w:hAnsi="Arial"/>
          <w:sz w:val="11"/>
          <w:szCs w:val="11"/>
          <w:color w:val="auto"/>
        </w:rPr>
        <w:t>Data Services</w:t>
      </w:r>
    </w:p>
    <w:p>
      <w:pPr>
        <w:spacing w:after="0" w:line="200" w:lineRule="exact"/>
        <w:rPr>
          <w:sz w:val="20"/>
          <w:szCs w:val="20"/>
          <w:color w:val="auto"/>
        </w:rPr>
      </w:pPr>
    </w:p>
    <w:p>
      <w:pPr>
        <w:spacing w:after="0" w:line="366" w:lineRule="exact"/>
        <w:rPr>
          <w:sz w:val="20"/>
          <w:szCs w:val="20"/>
          <w:color w:val="auto"/>
        </w:rPr>
      </w:pPr>
    </w:p>
    <w:p>
      <w:pPr>
        <w:spacing w:after="0"/>
        <w:tabs>
          <w:tab w:leader="none" w:pos="2600" w:val="left"/>
        </w:tabs>
        <w:rPr>
          <w:sz w:val="20"/>
          <w:szCs w:val="20"/>
          <w:color w:val="auto"/>
        </w:rPr>
      </w:pPr>
      <w:r>
        <w:rPr>
          <w:rFonts w:ascii="Arial" w:cs="Arial" w:eastAsia="Arial" w:hAnsi="Arial"/>
          <w:sz w:val="13"/>
          <w:szCs w:val="13"/>
          <w:color w:val="auto"/>
        </w:rPr>
        <w:t>Sequoia Healthcare Management, LLC</w:t>
      </w:r>
      <w:r>
        <w:rPr>
          <w:sz w:val="20"/>
          <w:szCs w:val="20"/>
          <w:color w:val="auto"/>
        </w:rPr>
        <w:tab/>
      </w:r>
      <w:r>
        <w:rPr>
          <w:rFonts w:ascii="Arial" w:cs="Arial" w:eastAsia="Arial" w:hAnsi="Arial"/>
          <w:sz w:val="11"/>
          <w:szCs w:val="11"/>
          <w:color w:val="auto"/>
        </w:rPr>
        <w:t>Healthcare Management</w:t>
      </w:r>
    </w:p>
    <w:p>
      <w:pPr>
        <w:spacing w:after="0" w:line="200" w:lineRule="exact"/>
        <w:rPr>
          <w:sz w:val="20"/>
          <w:szCs w:val="20"/>
          <w:color w:val="auto"/>
        </w:rPr>
      </w:pPr>
    </w:p>
    <w:p>
      <w:pPr>
        <w:spacing w:after="0" w:line="231" w:lineRule="exact"/>
        <w:rPr>
          <w:sz w:val="20"/>
          <w:szCs w:val="20"/>
          <w:color w:val="auto"/>
        </w:rPr>
      </w:pPr>
    </w:p>
    <w:p>
      <w:pPr>
        <w:spacing w:after="0"/>
        <w:tabs>
          <w:tab w:leader="none" w:pos="2600" w:val="left"/>
        </w:tabs>
        <w:rPr>
          <w:sz w:val="20"/>
          <w:szCs w:val="20"/>
          <w:color w:val="auto"/>
        </w:rPr>
      </w:pPr>
      <w:r>
        <w:rPr>
          <w:rFonts w:ascii="Arial" w:cs="Arial" w:eastAsia="Arial" w:hAnsi="Arial"/>
          <w:sz w:val="13"/>
          <w:szCs w:val="13"/>
          <w:color w:val="auto"/>
        </w:rPr>
        <w:t>Sur La Table, Inc.</w:t>
      </w:r>
      <w:r>
        <w:rPr>
          <w:sz w:val="20"/>
          <w:szCs w:val="20"/>
          <w:color w:val="auto"/>
        </w:rPr>
        <w:tab/>
      </w:r>
      <w:r>
        <w:rPr>
          <w:rFonts w:ascii="Arial" w:cs="Arial" w:eastAsia="Arial" w:hAnsi="Arial"/>
          <w:sz w:val="11"/>
          <w:szCs w:val="11"/>
          <w:color w:val="auto"/>
        </w:rPr>
        <w:t>Retail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600" w:val="left"/>
        </w:tabs>
        <w:rPr>
          <w:sz w:val="20"/>
          <w:szCs w:val="20"/>
          <w:color w:val="auto"/>
        </w:rPr>
      </w:pPr>
      <w:r>
        <w:rPr>
          <w:rFonts w:ascii="Arial" w:cs="Arial" w:eastAsia="Arial" w:hAnsi="Arial"/>
          <w:sz w:val="13"/>
          <w:szCs w:val="13"/>
          <w:color w:val="auto"/>
        </w:rPr>
        <w:t>Taylor Precision Products, Inc.</w:t>
      </w:r>
      <w:r>
        <w:rPr>
          <w:sz w:val="20"/>
          <w:szCs w:val="20"/>
          <w:color w:val="auto"/>
        </w:rPr>
        <w:tab/>
      </w:r>
      <w:r>
        <w:rPr>
          <w:rFonts w:ascii="Arial" w:cs="Arial" w:eastAsia="Arial" w:hAnsi="Arial"/>
          <w:sz w:val="11"/>
          <w:szCs w:val="11"/>
          <w:color w:val="auto"/>
        </w:rPr>
        <w:t>Household Product Manufacturer</w:t>
      </w:r>
    </w:p>
    <w:p>
      <w:pPr>
        <w:spacing w:after="0" w:line="200" w:lineRule="exact"/>
        <w:rPr>
          <w:sz w:val="20"/>
          <w:szCs w:val="20"/>
          <w:color w:val="auto"/>
        </w:rPr>
      </w:pPr>
    </w:p>
    <w:p>
      <w:pPr>
        <w:spacing w:after="0" w:line="231" w:lineRule="exact"/>
        <w:rPr>
          <w:sz w:val="20"/>
          <w:szCs w:val="20"/>
          <w:color w:val="auto"/>
        </w:rPr>
      </w:pPr>
    </w:p>
    <w:p>
      <w:pPr>
        <w:spacing w:after="0"/>
        <w:tabs>
          <w:tab w:leader="none" w:pos="2600" w:val="left"/>
        </w:tabs>
        <w:rPr>
          <w:sz w:val="20"/>
          <w:szCs w:val="20"/>
          <w:color w:val="auto"/>
        </w:rPr>
      </w:pPr>
      <w:r>
        <w:rPr>
          <w:rFonts w:ascii="Arial" w:cs="Arial" w:eastAsia="Arial" w:hAnsi="Arial"/>
          <w:sz w:val="13"/>
          <w:szCs w:val="13"/>
          <w:color w:val="auto"/>
        </w:rPr>
        <w:t>U.S. BioTek Laboratories, LLC</w:t>
      </w:r>
      <w:r>
        <w:rPr>
          <w:sz w:val="20"/>
          <w:szCs w:val="20"/>
          <w:color w:val="auto"/>
        </w:rPr>
        <w:tab/>
      </w:r>
      <w:r>
        <w:rPr>
          <w:rFonts w:ascii="Arial" w:cs="Arial" w:eastAsia="Arial" w:hAnsi="Arial"/>
          <w:sz w:val="11"/>
          <w:szCs w:val="11"/>
          <w:color w:val="auto"/>
        </w:rPr>
        <w:t>Testing laboratories</w:t>
      </w:r>
    </w:p>
    <w:p>
      <w:pPr>
        <w:spacing w:after="0" w:line="161" w:lineRule="exact"/>
        <w:rPr>
          <w:sz w:val="20"/>
          <w:szCs w:val="20"/>
          <w:color w:val="auto"/>
        </w:rPr>
      </w:pPr>
    </w:p>
    <w:p>
      <w:pPr>
        <w:spacing w:after="0"/>
        <w:tabs>
          <w:tab w:leader="none" w:pos="2600" w:val="left"/>
        </w:tabs>
        <w:rPr>
          <w:sz w:val="20"/>
          <w:szCs w:val="20"/>
          <w:color w:val="auto"/>
        </w:rPr>
      </w:pPr>
      <w:r>
        <w:rPr>
          <w:rFonts w:ascii="Arial" w:cs="Arial" w:eastAsia="Arial" w:hAnsi="Arial"/>
          <w:sz w:val="13"/>
          <w:szCs w:val="13"/>
          <w:color w:val="auto"/>
        </w:rPr>
        <w:t>U.S. BioTek Laboratories, LLC</w:t>
      </w:r>
      <w:r>
        <w:rPr>
          <w:sz w:val="20"/>
          <w:szCs w:val="20"/>
          <w:color w:val="auto"/>
        </w:rPr>
        <w:tab/>
      </w:r>
      <w:r>
        <w:rPr>
          <w:rFonts w:ascii="Arial" w:cs="Arial" w:eastAsia="Arial" w:hAnsi="Arial"/>
          <w:sz w:val="11"/>
          <w:szCs w:val="11"/>
          <w:color w:val="auto"/>
        </w:rPr>
        <w:t>Testing laboratories</w:t>
      </w:r>
    </w:p>
    <w:p>
      <w:pPr>
        <w:spacing w:after="0" w:line="161" w:lineRule="exact"/>
        <w:rPr>
          <w:sz w:val="20"/>
          <w:szCs w:val="20"/>
          <w:color w:val="auto"/>
        </w:rPr>
      </w:pPr>
    </w:p>
    <w:p>
      <w:pPr>
        <w:spacing w:after="0"/>
        <w:tabs>
          <w:tab w:leader="none" w:pos="2600" w:val="left"/>
        </w:tabs>
        <w:rPr>
          <w:sz w:val="20"/>
          <w:szCs w:val="20"/>
          <w:color w:val="auto"/>
        </w:rPr>
      </w:pPr>
      <w:r>
        <w:rPr>
          <w:rFonts w:ascii="Arial" w:cs="Arial" w:eastAsia="Arial" w:hAnsi="Arial"/>
          <w:sz w:val="13"/>
          <w:szCs w:val="13"/>
          <w:color w:val="auto"/>
        </w:rPr>
        <w:t>U.S. BioTek Laboratories, LLC</w:t>
      </w:r>
      <w:r>
        <w:rPr>
          <w:sz w:val="20"/>
          <w:szCs w:val="20"/>
          <w:color w:val="auto"/>
        </w:rPr>
        <w:tab/>
      </w:r>
      <w:r>
        <w:rPr>
          <w:rFonts w:ascii="Arial" w:cs="Arial" w:eastAsia="Arial" w:hAnsi="Arial"/>
          <w:sz w:val="11"/>
          <w:szCs w:val="11"/>
          <w:color w:val="auto"/>
        </w:rPr>
        <w:t>Testing laboratories</w:t>
      </w:r>
    </w:p>
    <w:p>
      <w:pPr>
        <w:spacing w:after="0" w:line="200" w:lineRule="exact"/>
        <w:rPr>
          <w:sz w:val="20"/>
          <w:szCs w:val="20"/>
          <w:color w:val="auto"/>
        </w:rPr>
      </w:pPr>
    </w:p>
    <w:p>
      <w:pPr>
        <w:spacing w:after="0" w:line="231" w:lineRule="exact"/>
        <w:rPr>
          <w:sz w:val="20"/>
          <w:szCs w:val="20"/>
          <w:color w:val="auto"/>
        </w:rPr>
      </w:pPr>
    </w:p>
    <w:p>
      <w:pPr>
        <w:spacing w:after="0"/>
        <w:tabs>
          <w:tab w:leader="none" w:pos="2600" w:val="left"/>
        </w:tabs>
        <w:rPr>
          <w:sz w:val="20"/>
          <w:szCs w:val="20"/>
          <w:color w:val="auto"/>
        </w:rPr>
      </w:pPr>
      <w:r>
        <w:rPr>
          <w:rFonts w:ascii="Arial" w:cs="Arial" w:eastAsia="Arial" w:hAnsi="Arial"/>
          <w:sz w:val="13"/>
          <w:szCs w:val="13"/>
          <w:color w:val="auto"/>
        </w:rPr>
        <w:t>U.S. Well Services, Inc.</w:t>
      </w:r>
      <w:r>
        <w:rPr>
          <w:sz w:val="20"/>
          <w:szCs w:val="20"/>
          <w:color w:val="auto"/>
        </w:rPr>
        <w:tab/>
      </w:r>
      <w:r>
        <w:rPr>
          <w:rFonts w:ascii="Arial" w:cs="Arial" w:eastAsia="Arial" w:hAnsi="Arial"/>
          <w:sz w:val="11"/>
          <w:szCs w:val="11"/>
          <w:color w:val="auto"/>
        </w:rPr>
        <w:t>Oil &amp; Gas Services</w:t>
      </w:r>
    </w:p>
    <w:p>
      <w:pPr>
        <w:spacing w:after="0" w:line="161" w:lineRule="exact"/>
        <w:rPr>
          <w:sz w:val="20"/>
          <w:szCs w:val="20"/>
          <w:color w:val="auto"/>
        </w:rPr>
      </w:pPr>
    </w:p>
    <w:p>
      <w:pPr>
        <w:spacing w:after="0"/>
        <w:tabs>
          <w:tab w:leader="none" w:pos="2600" w:val="left"/>
        </w:tabs>
        <w:rPr>
          <w:sz w:val="20"/>
          <w:szCs w:val="20"/>
          <w:color w:val="auto"/>
        </w:rPr>
      </w:pPr>
      <w:r>
        <w:rPr>
          <w:rFonts w:ascii="Arial" w:cs="Arial" w:eastAsia="Arial" w:hAnsi="Arial"/>
          <w:sz w:val="13"/>
          <w:szCs w:val="13"/>
          <w:color w:val="auto"/>
        </w:rPr>
        <w:t>U.S. Well Services, Inc.</w:t>
      </w:r>
      <w:r>
        <w:rPr>
          <w:sz w:val="20"/>
          <w:szCs w:val="20"/>
          <w:color w:val="auto"/>
        </w:rPr>
        <w:tab/>
      </w:r>
      <w:r>
        <w:rPr>
          <w:rFonts w:ascii="Arial" w:cs="Arial" w:eastAsia="Arial" w:hAnsi="Arial"/>
          <w:sz w:val="11"/>
          <w:szCs w:val="11"/>
          <w:color w:val="auto"/>
        </w:rPr>
        <w:t>Oil &amp; Gas Services</w:t>
      </w:r>
    </w:p>
    <w:p>
      <w:pPr>
        <w:spacing w:after="0" w:line="200" w:lineRule="exact"/>
        <w:rPr>
          <w:sz w:val="20"/>
          <w:szCs w:val="20"/>
          <w:color w:val="auto"/>
        </w:rPr>
      </w:pPr>
    </w:p>
    <w:p>
      <w:pPr>
        <w:spacing w:after="0" w:line="272" w:lineRule="exact"/>
        <w:rPr>
          <w:sz w:val="20"/>
          <w:szCs w:val="20"/>
          <w:color w:val="auto"/>
        </w:rPr>
      </w:pPr>
    </w:p>
    <w:p>
      <w:pPr>
        <w:spacing w:after="0"/>
        <w:tabs>
          <w:tab w:leader="none" w:pos="2600" w:val="left"/>
        </w:tabs>
        <w:rPr>
          <w:sz w:val="20"/>
          <w:szCs w:val="20"/>
          <w:color w:val="auto"/>
        </w:rPr>
      </w:pPr>
      <w:r>
        <w:rPr>
          <w:rFonts w:ascii="Arial" w:cs="Arial" w:eastAsia="Arial" w:hAnsi="Arial"/>
          <w:sz w:val="13"/>
          <w:szCs w:val="13"/>
          <w:color w:val="auto"/>
        </w:rPr>
        <w:t>Vology, Inc.</w:t>
      </w:r>
      <w:r>
        <w:rPr>
          <w:sz w:val="20"/>
          <w:szCs w:val="20"/>
          <w:color w:val="auto"/>
        </w:rPr>
        <w:tab/>
      </w:r>
      <w:r>
        <w:rPr>
          <w:rFonts w:ascii="Arial" w:cs="Arial" w:eastAsia="Arial" w:hAnsi="Arial"/>
          <w:sz w:val="11"/>
          <w:szCs w:val="11"/>
          <w:color w:val="auto"/>
        </w:rPr>
        <w:t>Information Technology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20"/>
                <w:szCs w:val="20"/>
                <w:color w:val="auto"/>
              </w:rPr>
            </w:pPr>
            <w:r>
              <w:rPr>
                <w:rFonts w:ascii="Arial" w:cs="Arial" w:eastAsia="Arial" w:hAnsi="Arial"/>
                <w:sz w:val="13"/>
                <w:szCs w:val="13"/>
                <w:color w:val="auto"/>
                <w:w w:val="95"/>
              </w:rPr>
              <w:t>First Lien Debt (13.6% Cash (1 month LIBOR + 11.5%,</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040" w:type="dxa"/>
            <w:vAlign w:val="bottom"/>
          </w:tcPr>
          <w:p>
            <w:pPr>
              <w:spacing w:after="0"/>
              <w:rPr>
                <w:sz w:val="20"/>
                <w:szCs w:val="20"/>
                <w:color w:val="auto"/>
              </w:rPr>
            </w:pPr>
            <w:r>
              <w:rPr>
                <w:rFonts w:ascii="Arial" w:cs="Arial" w:eastAsia="Arial" w:hAnsi="Arial"/>
                <w:sz w:val="13"/>
                <w:szCs w:val="13"/>
                <w:color w:val="auto"/>
              </w:rPr>
              <w:t xml:space="preserve">1.0% Floor), 2.0% PIK, Due 3/29/23) </w:t>
            </w:r>
            <w:r>
              <w:rPr>
                <w:rFonts w:ascii="Arial" w:cs="Arial" w:eastAsia="Arial" w:hAnsi="Arial"/>
                <w:sz w:val="20"/>
                <w:szCs w:val="20"/>
                <w:color w:val="auto"/>
                <w:vertAlign w:val="superscript"/>
              </w:rPr>
              <w:t>(12)</w:t>
            </w:r>
          </w:p>
        </w:tc>
        <w:tc>
          <w:tcPr>
            <w:tcW w:w="4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7"/>
              <w:spacing w:after="0"/>
              <w:rPr>
                <w:sz w:val="20"/>
                <w:szCs w:val="20"/>
                <w:color w:val="auto"/>
              </w:rPr>
            </w:pPr>
            <w:r>
              <w:rPr>
                <w:rFonts w:ascii="Arial" w:cs="Arial" w:eastAsia="Arial" w:hAnsi="Arial"/>
                <w:sz w:val="13"/>
                <w:szCs w:val="13"/>
                <w:color w:val="auto"/>
              </w:rPr>
              <w:t>7,309</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7,309</w:t>
            </w:r>
          </w:p>
        </w:tc>
        <w:tc>
          <w:tcPr>
            <w:tcW w:w="760" w:type="dxa"/>
            <w:vAlign w:val="bottom"/>
          </w:tcPr>
          <w:p>
            <w:pPr>
              <w:jc w:val="right"/>
              <w:spacing w:after="0"/>
              <w:rPr>
                <w:sz w:val="20"/>
                <w:szCs w:val="20"/>
                <w:color w:val="auto"/>
              </w:rPr>
            </w:pPr>
            <w:r>
              <w:rPr>
                <w:rFonts w:ascii="Arial" w:cs="Arial" w:eastAsia="Arial" w:hAnsi="Arial"/>
                <w:sz w:val="13"/>
                <w:szCs w:val="13"/>
                <w:color w:val="auto"/>
              </w:rPr>
              <w:t>7,309</w:t>
            </w:r>
          </w:p>
        </w:tc>
        <w:tc>
          <w:tcPr>
            <w:tcW w:w="22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311"/>
        </w:trPr>
        <w:tc>
          <w:tcPr>
            <w:tcW w:w="3040" w:type="dxa"/>
            <w:vAlign w:val="bottom"/>
          </w:tcPr>
          <w:p>
            <w:pPr>
              <w:spacing w:after="0"/>
              <w:rPr>
                <w:sz w:val="20"/>
                <w:szCs w:val="20"/>
                <w:color w:val="auto"/>
              </w:rPr>
            </w:pPr>
            <w:r>
              <w:rPr>
                <w:rFonts w:ascii="Arial" w:cs="Arial" w:eastAsia="Arial" w:hAnsi="Arial"/>
                <w:sz w:val="13"/>
                <w:szCs w:val="13"/>
                <w:color w:val="auto"/>
                <w:w w:val="95"/>
              </w:rPr>
              <w:t xml:space="preserve">Preferred Stock (2,400 Units, 10.0% PIK dividend) </w:t>
            </w:r>
            <w:r>
              <w:rPr>
                <w:rFonts w:ascii="Arial" w:cs="Arial" w:eastAsia="Arial" w:hAnsi="Arial"/>
                <w:sz w:val="20"/>
                <w:szCs w:val="20"/>
                <w:color w:val="auto"/>
                <w:w w:val="95"/>
                <w:vertAlign w:val="superscript"/>
              </w:rPr>
              <w:t>(11)</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3,492</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28,102</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59"/>
        </w:trPr>
        <w:tc>
          <w:tcPr>
            <w:tcW w:w="3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10,801</w:t>
            </w:r>
          </w:p>
        </w:tc>
        <w:tc>
          <w:tcPr>
            <w:tcW w:w="220" w:type="dxa"/>
            <w:vAlign w:val="bottom"/>
            <w:vMerge w:val="continue"/>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35,411</w:t>
            </w:r>
          </w:p>
        </w:tc>
        <w:tc>
          <w:tcPr>
            <w:tcW w:w="220" w:type="dxa"/>
            <w:vAlign w:val="bottom"/>
            <w:vMerge w:val="continue"/>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3040" w:type="dxa"/>
            <w:vAlign w:val="bottom"/>
          </w:tcPr>
          <w:p>
            <w:pPr>
              <w:spacing w:after="0"/>
              <w:rPr>
                <w:sz w:val="20"/>
                <w:szCs w:val="20"/>
                <w:color w:val="auto"/>
              </w:rPr>
            </w:pPr>
            <w:r>
              <w:rPr>
                <w:rFonts w:ascii="Arial" w:cs="Arial" w:eastAsia="Arial" w:hAnsi="Arial"/>
                <w:sz w:val="13"/>
                <w:szCs w:val="13"/>
                <w:color w:val="auto"/>
                <w:w w:val="97"/>
              </w:rPr>
              <w:t>First Lien Debt (10.3% Cash (1 month LIBOR + 8.3%,</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20"/>
                <w:szCs w:val="20"/>
                <w:color w:val="auto"/>
              </w:rPr>
            </w:pPr>
            <w:r>
              <w:rPr>
                <w:rFonts w:ascii="Arial" w:cs="Arial" w:eastAsia="Arial" w:hAnsi="Arial"/>
                <w:sz w:val="13"/>
                <w:szCs w:val="13"/>
                <w:color w:val="auto"/>
              </w:rPr>
              <w:t>1.0% Floor), Due 3/15/23)</w:t>
            </w:r>
          </w:p>
        </w:tc>
        <w:tc>
          <w:tcPr>
            <w:tcW w:w="440" w:type="dxa"/>
            <w:vAlign w:val="bottom"/>
          </w:tcPr>
          <w:p>
            <w:pPr>
              <w:spacing w:after="0"/>
              <w:rPr>
                <w:sz w:val="13"/>
                <w:szCs w:val="13"/>
                <w:color w:val="auto"/>
              </w:rPr>
            </w:pPr>
          </w:p>
        </w:tc>
        <w:tc>
          <w:tcPr>
            <w:tcW w:w="720" w:type="dxa"/>
            <w:vAlign w:val="bottom"/>
          </w:tcPr>
          <w:p>
            <w:pPr>
              <w:jc w:val="right"/>
              <w:ind w:right="137"/>
              <w:spacing w:after="0"/>
              <w:rPr>
                <w:sz w:val="20"/>
                <w:szCs w:val="20"/>
                <w:color w:val="auto"/>
              </w:rPr>
            </w:pPr>
            <w:r>
              <w:rPr>
                <w:rFonts w:ascii="Arial" w:cs="Arial" w:eastAsia="Arial" w:hAnsi="Arial"/>
                <w:sz w:val="13"/>
                <w:szCs w:val="13"/>
                <w:color w:val="auto"/>
              </w:rPr>
              <w:t>4,875</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4,875</w:t>
            </w:r>
          </w:p>
        </w:tc>
        <w:tc>
          <w:tcPr>
            <w:tcW w:w="760" w:type="dxa"/>
            <w:vAlign w:val="bottom"/>
          </w:tcPr>
          <w:p>
            <w:pPr>
              <w:jc w:val="right"/>
              <w:spacing w:after="0"/>
              <w:rPr>
                <w:sz w:val="20"/>
                <w:szCs w:val="20"/>
                <w:color w:val="auto"/>
              </w:rPr>
            </w:pPr>
            <w:r>
              <w:rPr>
                <w:rFonts w:ascii="Arial" w:cs="Arial" w:eastAsia="Arial" w:hAnsi="Arial"/>
                <w:sz w:val="13"/>
                <w:szCs w:val="13"/>
                <w:color w:val="auto"/>
              </w:rPr>
              <w:t>4,875</w:t>
            </w:r>
          </w:p>
        </w:tc>
        <w:tc>
          <w:tcPr>
            <w:tcW w:w="2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38"/>
        </w:trPr>
        <w:tc>
          <w:tcPr>
            <w:tcW w:w="3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4,875</w:t>
            </w:r>
          </w:p>
        </w:tc>
        <w:tc>
          <w:tcPr>
            <w:tcW w:w="220" w:type="dxa"/>
            <w:vAlign w:val="bottom"/>
            <w:vMerge w:val="continue"/>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4,875</w:t>
            </w:r>
          </w:p>
        </w:tc>
        <w:tc>
          <w:tcPr>
            <w:tcW w:w="220" w:type="dxa"/>
            <w:vAlign w:val="bottom"/>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040" w:type="dxa"/>
            <w:vAlign w:val="bottom"/>
          </w:tcPr>
          <w:p>
            <w:pPr>
              <w:spacing w:after="0"/>
              <w:rPr>
                <w:sz w:val="20"/>
                <w:szCs w:val="20"/>
                <w:color w:val="auto"/>
              </w:rPr>
            </w:pPr>
            <w:r>
              <w:rPr>
                <w:rFonts w:ascii="Arial" w:cs="Arial" w:eastAsia="Arial" w:hAnsi="Arial"/>
                <w:sz w:val="13"/>
                <w:szCs w:val="13"/>
                <w:color w:val="auto"/>
              </w:rPr>
              <w:t>First Lien Debt (12.8% Cash , Due 6/26/20)</w:t>
            </w:r>
          </w:p>
        </w:tc>
        <w:tc>
          <w:tcPr>
            <w:tcW w:w="440" w:type="dxa"/>
            <w:vAlign w:val="bottom"/>
          </w:tcPr>
          <w:p>
            <w:pPr>
              <w:spacing w:after="0"/>
              <w:rPr>
                <w:sz w:val="23"/>
                <w:szCs w:val="23"/>
                <w:color w:val="auto"/>
              </w:rPr>
            </w:pPr>
          </w:p>
        </w:tc>
        <w:tc>
          <w:tcPr>
            <w:tcW w:w="720" w:type="dxa"/>
            <w:vAlign w:val="bottom"/>
          </w:tcPr>
          <w:p>
            <w:pPr>
              <w:jc w:val="right"/>
              <w:ind w:right="137"/>
              <w:spacing w:after="0"/>
              <w:rPr>
                <w:sz w:val="20"/>
                <w:szCs w:val="20"/>
                <w:color w:val="auto"/>
              </w:rPr>
            </w:pPr>
            <w:r>
              <w:rPr>
                <w:rFonts w:ascii="Arial" w:cs="Arial" w:eastAsia="Arial" w:hAnsi="Arial"/>
                <w:sz w:val="13"/>
                <w:szCs w:val="13"/>
                <w:color w:val="auto"/>
              </w:rPr>
              <w:t>13,069</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13,069</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12,968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38"/>
        </w:trPr>
        <w:tc>
          <w:tcPr>
            <w:tcW w:w="3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13,069</w:t>
            </w:r>
          </w:p>
        </w:tc>
        <w:tc>
          <w:tcPr>
            <w:tcW w:w="220" w:type="dxa"/>
            <w:vAlign w:val="bottom"/>
            <w:vMerge w:val="continue"/>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12,968</w:t>
            </w:r>
          </w:p>
        </w:tc>
        <w:tc>
          <w:tcPr>
            <w:tcW w:w="220" w:type="dxa"/>
            <w:vAlign w:val="bottom"/>
            <w:vMerge w:val="continue"/>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8.5</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Arial" w:cs="Arial" w:eastAsia="Arial" w:hAnsi="Arial"/>
                <w:sz w:val="13"/>
                <w:szCs w:val="13"/>
                <w:color w:val="auto"/>
                <w:w w:val="97"/>
              </w:rPr>
              <w:t>First Lien Debt (11.1% Cash (3 month LIBOR + 9.0%,</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040" w:type="dxa"/>
            <w:vAlign w:val="bottom"/>
          </w:tcPr>
          <w:p>
            <w:pPr>
              <w:spacing w:after="0"/>
              <w:rPr>
                <w:sz w:val="20"/>
                <w:szCs w:val="20"/>
                <w:color w:val="auto"/>
              </w:rPr>
            </w:pPr>
            <w:r>
              <w:rPr>
                <w:rFonts w:ascii="Arial" w:cs="Arial" w:eastAsia="Arial" w:hAnsi="Arial"/>
                <w:sz w:val="13"/>
                <w:szCs w:val="13"/>
                <w:color w:val="auto"/>
              </w:rPr>
              <w:t xml:space="preserve">1.0% Floor), Due 7/31/22) </w:t>
            </w:r>
            <w:r>
              <w:rPr>
                <w:rFonts w:ascii="Arial" w:cs="Arial" w:eastAsia="Arial" w:hAnsi="Arial"/>
                <w:sz w:val="20"/>
                <w:szCs w:val="20"/>
                <w:color w:val="auto"/>
                <w:vertAlign w:val="superscript"/>
              </w:rPr>
              <w:t>(12)(13)</w:t>
            </w:r>
          </w:p>
        </w:tc>
        <w:tc>
          <w:tcPr>
            <w:tcW w:w="440" w:type="dxa"/>
            <w:vAlign w:val="bottom"/>
          </w:tcPr>
          <w:p>
            <w:pPr>
              <w:spacing w:after="0"/>
              <w:rPr>
                <w:sz w:val="23"/>
                <w:szCs w:val="23"/>
                <w:color w:val="auto"/>
              </w:rPr>
            </w:pPr>
          </w:p>
        </w:tc>
        <w:tc>
          <w:tcPr>
            <w:tcW w:w="720" w:type="dxa"/>
            <w:vAlign w:val="bottom"/>
          </w:tcPr>
          <w:p>
            <w:pPr>
              <w:jc w:val="right"/>
              <w:ind w:right="137"/>
              <w:spacing w:after="0"/>
              <w:rPr>
                <w:sz w:val="20"/>
                <w:szCs w:val="20"/>
                <w:color w:val="auto"/>
              </w:rPr>
            </w:pPr>
            <w:r>
              <w:rPr>
                <w:rFonts w:ascii="Arial" w:cs="Arial" w:eastAsia="Arial" w:hAnsi="Arial"/>
                <w:sz w:val="13"/>
                <w:szCs w:val="13"/>
                <w:color w:val="auto"/>
              </w:rPr>
              <w:t>10,515</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10,515</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10,515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59"/>
        </w:trPr>
        <w:tc>
          <w:tcPr>
            <w:tcW w:w="3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10,515</w:t>
            </w:r>
          </w:p>
        </w:tc>
        <w:tc>
          <w:tcPr>
            <w:tcW w:w="220" w:type="dxa"/>
            <w:vAlign w:val="bottom"/>
            <w:vMerge w:val="continue"/>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10,515</w:t>
            </w:r>
          </w:p>
        </w:tc>
        <w:tc>
          <w:tcPr>
            <w:tcW w:w="220" w:type="dxa"/>
            <w:vAlign w:val="bottom"/>
            <w:vMerge w:val="continue"/>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6.9</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040" w:type="dxa"/>
            <w:vAlign w:val="bottom"/>
          </w:tcPr>
          <w:p>
            <w:pPr>
              <w:spacing w:after="0"/>
              <w:rPr>
                <w:sz w:val="20"/>
                <w:szCs w:val="20"/>
                <w:color w:val="auto"/>
              </w:rPr>
            </w:pPr>
            <w:r>
              <w:rPr>
                <w:rFonts w:ascii="Arial" w:cs="Arial" w:eastAsia="Arial" w:hAnsi="Arial"/>
                <w:sz w:val="13"/>
                <w:szCs w:val="13"/>
                <w:color w:val="auto"/>
              </w:rPr>
              <w:t>Series C Preferred Stock (379 shares)</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758</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758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38"/>
        </w:trPr>
        <w:tc>
          <w:tcPr>
            <w:tcW w:w="3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758</w:t>
            </w:r>
          </w:p>
        </w:tc>
        <w:tc>
          <w:tcPr>
            <w:tcW w:w="220" w:type="dxa"/>
            <w:vAlign w:val="bottom"/>
            <w:vMerge w:val="continue"/>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758</w:t>
            </w:r>
          </w:p>
        </w:tc>
        <w:tc>
          <w:tcPr>
            <w:tcW w:w="220" w:type="dxa"/>
            <w:vAlign w:val="bottom"/>
            <w:vMerge w:val="continue"/>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0.5</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3"/>
        </w:trPr>
        <w:tc>
          <w:tcPr>
            <w:tcW w:w="3040" w:type="dxa"/>
            <w:vAlign w:val="bottom"/>
          </w:tcPr>
          <w:p>
            <w:pPr>
              <w:spacing w:after="0"/>
              <w:rPr>
                <w:sz w:val="20"/>
                <w:szCs w:val="20"/>
                <w:color w:val="auto"/>
              </w:rPr>
            </w:pPr>
            <w:r>
              <w:rPr>
                <w:rFonts w:ascii="Arial" w:cs="Arial" w:eastAsia="Arial" w:hAnsi="Arial"/>
                <w:sz w:val="13"/>
                <w:szCs w:val="13"/>
                <w:color w:val="auto"/>
              </w:rPr>
              <w:t xml:space="preserve">First Lien Debt (9.5% Cash, Due 12/14/23) </w:t>
            </w:r>
            <w:r>
              <w:rPr>
                <w:rFonts w:ascii="Arial" w:cs="Arial" w:eastAsia="Arial" w:hAnsi="Arial"/>
                <w:sz w:val="20"/>
                <w:szCs w:val="20"/>
                <w:color w:val="auto"/>
                <w:vertAlign w:val="superscript"/>
              </w:rPr>
              <w:t>(6)(9)</w:t>
            </w:r>
          </w:p>
        </w:tc>
        <w:tc>
          <w:tcPr>
            <w:tcW w:w="440" w:type="dxa"/>
            <w:vAlign w:val="bottom"/>
          </w:tcPr>
          <w:p>
            <w:pPr>
              <w:spacing w:after="0"/>
              <w:rPr>
                <w:sz w:val="24"/>
                <w:szCs w:val="24"/>
                <w:color w:val="auto"/>
              </w:rPr>
            </w:pPr>
          </w:p>
        </w:tc>
        <w:tc>
          <w:tcPr>
            <w:tcW w:w="720" w:type="dxa"/>
            <w:vAlign w:val="bottom"/>
          </w:tcPr>
          <w:p>
            <w:pPr>
              <w:jc w:val="right"/>
              <w:ind w:right="137"/>
              <w:spacing w:after="0"/>
              <w:rPr>
                <w:sz w:val="20"/>
                <w:szCs w:val="20"/>
                <w:color w:val="auto"/>
              </w:rPr>
            </w:pPr>
            <w:r>
              <w:rPr>
                <w:rFonts w:ascii="Arial" w:cs="Arial" w:eastAsia="Arial" w:hAnsi="Arial"/>
                <w:sz w:val="13"/>
                <w:szCs w:val="13"/>
                <w:color w:val="auto"/>
              </w:rPr>
              <w:t>6,948</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6,948</w:t>
            </w:r>
          </w:p>
        </w:tc>
        <w:tc>
          <w:tcPr>
            <w:tcW w:w="760" w:type="dxa"/>
            <w:vAlign w:val="bottom"/>
          </w:tcPr>
          <w:p>
            <w:pPr>
              <w:jc w:val="right"/>
              <w:spacing w:after="0"/>
              <w:rPr>
                <w:sz w:val="20"/>
                <w:szCs w:val="20"/>
                <w:color w:val="auto"/>
              </w:rPr>
            </w:pPr>
            <w:r>
              <w:rPr>
                <w:rFonts w:ascii="Arial" w:cs="Arial" w:eastAsia="Arial" w:hAnsi="Arial"/>
                <w:sz w:val="13"/>
                <w:szCs w:val="13"/>
                <w:color w:val="auto"/>
              </w:rPr>
              <w:t>6,948</w:t>
            </w:r>
          </w:p>
        </w:tc>
        <w:tc>
          <w:tcPr>
            <w:tcW w:w="2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311"/>
        </w:trPr>
        <w:tc>
          <w:tcPr>
            <w:tcW w:w="3040" w:type="dxa"/>
            <w:vAlign w:val="bottom"/>
          </w:tcPr>
          <w:p>
            <w:pPr>
              <w:spacing w:after="0"/>
              <w:rPr>
                <w:sz w:val="20"/>
                <w:szCs w:val="20"/>
                <w:color w:val="auto"/>
              </w:rPr>
            </w:pPr>
            <w:r>
              <w:rPr>
                <w:rFonts w:ascii="Arial" w:cs="Arial" w:eastAsia="Arial" w:hAnsi="Arial"/>
                <w:sz w:val="13"/>
                <w:szCs w:val="13"/>
                <w:color w:val="auto"/>
              </w:rPr>
              <w:t xml:space="preserve">Class A Preferred Units (500 Units, 10.0% PIK) </w:t>
            </w:r>
            <w:r>
              <w:rPr>
                <w:rFonts w:ascii="Arial" w:cs="Arial" w:eastAsia="Arial" w:hAnsi="Arial"/>
                <w:sz w:val="20"/>
                <w:szCs w:val="20"/>
                <w:color w:val="auto"/>
                <w:vertAlign w:val="superscript"/>
              </w:rPr>
              <w:t>(11)</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539</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266</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92"/>
        </w:trPr>
        <w:tc>
          <w:tcPr>
            <w:tcW w:w="3040" w:type="dxa"/>
            <w:vAlign w:val="bottom"/>
          </w:tcPr>
          <w:p>
            <w:pPr>
              <w:spacing w:after="0"/>
              <w:rPr>
                <w:sz w:val="20"/>
                <w:szCs w:val="20"/>
                <w:color w:val="auto"/>
              </w:rPr>
            </w:pPr>
            <w:r>
              <w:rPr>
                <w:rFonts w:ascii="Arial" w:cs="Arial" w:eastAsia="Arial" w:hAnsi="Arial"/>
                <w:sz w:val="13"/>
                <w:szCs w:val="13"/>
                <w:color w:val="auto"/>
              </w:rPr>
              <w:t>Class C Units (500 Units)</w:t>
            </w: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8"/>
        </w:trPr>
        <w:tc>
          <w:tcPr>
            <w:tcW w:w="3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7,488</w:t>
            </w:r>
          </w:p>
        </w:tc>
        <w:tc>
          <w:tcPr>
            <w:tcW w:w="220" w:type="dxa"/>
            <w:vAlign w:val="bottom"/>
            <w:vMerge w:val="continue"/>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7,214</w:t>
            </w:r>
          </w:p>
        </w:tc>
        <w:tc>
          <w:tcPr>
            <w:tcW w:w="220" w:type="dxa"/>
            <w:vAlign w:val="bottom"/>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3"/>
        </w:trPr>
        <w:tc>
          <w:tcPr>
            <w:tcW w:w="3040" w:type="dxa"/>
            <w:vAlign w:val="bottom"/>
          </w:tcPr>
          <w:p>
            <w:pPr>
              <w:spacing w:after="0"/>
              <w:rPr>
                <w:sz w:val="20"/>
                <w:szCs w:val="20"/>
                <w:color w:val="auto"/>
              </w:rPr>
            </w:pPr>
            <w:r>
              <w:rPr>
                <w:rFonts w:ascii="Arial" w:cs="Arial" w:eastAsia="Arial" w:hAnsi="Arial"/>
                <w:sz w:val="13"/>
                <w:szCs w:val="13"/>
                <w:color w:val="auto"/>
              </w:rPr>
              <w:t xml:space="preserve">Class A Common Stock (77,073 shares) </w:t>
            </w:r>
            <w:r>
              <w:rPr>
                <w:rFonts w:ascii="Arial" w:cs="Arial" w:eastAsia="Arial" w:hAnsi="Arial"/>
                <w:sz w:val="20"/>
                <w:szCs w:val="20"/>
                <w:color w:val="auto"/>
                <w:vertAlign w:val="superscript"/>
              </w:rPr>
              <w:t>(8)(14)</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771</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168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311"/>
        </w:trPr>
        <w:tc>
          <w:tcPr>
            <w:tcW w:w="3040" w:type="dxa"/>
            <w:vAlign w:val="bottom"/>
          </w:tcPr>
          <w:p>
            <w:pPr>
              <w:spacing w:after="0"/>
              <w:rPr>
                <w:sz w:val="20"/>
                <w:szCs w:val="20"/>
                <w:color w:val="auto"/>
              </w:rPr>
            </w:pPr>
            <w:r>
              <w:rPr>
                <w:rFonts w:ascii="Arial" w:cs="Arial" w:eastAsia="Arial" w:hAnsi="Arial"/>
                <w:sz w:val="13"/>
                <w:szCs w:val="13"/>
                <w:color w:val="auto"/>
              </w:rPr>
              <w:t xml:space="preserve">Class B Common Stock (1,125,426 shares) </w:t>
            </w:r>
            <w:r>
              <w:rPr>
                <w:rFonts w:ascii="Arial" w:cs="Arial" w:eastAsia="Arial" w:hAnsi="Arial"/>
                <w:sz w:val="20"/>
                <w:szCs w:val="20"/>
                <w:color w:val="auto"/>
                <w:vertAlign w:val="superscript"/>
              </w:rPr>
              <w:t>(8)(14)</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6,701</w:t>
            </w:r>
          </w:p>
        </w:tc>
        <w:tc>
          <w:tcPr>
            <w:tcW w:w="760" w:type="dxa"/>
            <w:vAlign w:val="bottom"/>
          </w:tcPr>
          <w:p>
            <w:pPr>
              <w:jc w:val="right"/>
              <w:spacing w:after="0"/>
              <w:rPr>
                <w:sz w:val="20"/>
                <w:szCs w:val="20"/>
                <w:color w:val="auto"/>
              </w:rPr>
            </w:pPr>
            <w:r>
              <w:rPr>
                <w:rFonts w:ascii="Arial" w:cs="Arial" w:eastAsia="Arial" w:hAnsi="Arial"/>
                <w:sz w:val="13"/>
                <w:szCs w:val="13"/>
                <w:color w:val="auto"/>
              </w:rPr>
              <w:t>2,465</w:t>
            </w:r>
          </w:p>
        </w:tc>
        <w:tc>
          <w:tcPr>
            <w:tcW w:w="2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59"/>
        </w:trPr>
        <w:tc>
          <w:tcPr>
            <w:tcW w:w="3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7,472</w:t>
            </w:r>
          </w:p>
        </w:tc>
        <w:tc>
          <w:tcPr>
            <w:tcW w:w="220" w:type="dxa"/>
            <w:vAlign w:val="bottom"/>
            <w:vMerge w:val="continue"/>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2,633</w:t>
            </w:r>
          </w:p>
        </w:tc>
        <w:tc>
          <w:tcPr>
            <w:tcW w:w="220" w:type="dxa"/>
            <w:vAlign w:val="bottom"/>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Arial" w:cs="Arial" w:eastAsia="Arial" w:hAnsi="Arial"/>
                <w:sz w:val="13"/>
                <w:szCs w:val="13"/>
                <w:color w:val="auto"/>
              </w:rPr>
              <w:t>Subordinated Debt (15.0% Cash (1 month LIBOR +</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040" w:type="dxa"/>
            <w:vAlign w:val="bottom"/>
          </w:tcPr>
          <w:p>
            <w:pPr>
              <w:spacing w:after="0"/>
              <w:rPr>
                <w:sz w:val="20"/>
                <w:szCs w:val="20"/>
                <w:color w:val="auto"/>
              </w:rPr>
            </w:pPr>
            <w:r>
              <w:rPr>
                <w:rFonts w:ascii="Arial" w:cs="Arial" w:eastAsia="Arial" w:hAnsi="Arial"/>
                <w:sz w:val="13"/>
                <w:szCs w:val="13"/>
                <w:color w:val="auto"/>
              </w:rPr>
              <w:t xml:space="preserve">14.0%, 1.0% Ceiling), 4.0% PIK, Due 6/30/20) </w:t>
            </w:r>
            <w:r>
              <w:rPr>
                <w:rFonts w:ascii="Arial" w:cs="Arial" w:eastAsia="Arial" w:hAnsi="Arial"/>
                <w:sz w:val="20"/>
                <w:szCs w:val="20"/>
                <w:color w:val="auto"/>
                <w:vertAlign w:val="superscript"/>
              </w:rPr>
              <w:t>(7)</w:t>
            </w:r>
          </w:p>
        </w:tc>
        <w:tc>
          <w:tcPr>
            <w:tcW w:w="440" w:type="dxa"/>
            <w:vAlign w:val="bottom"/>
          </w:tcPr>
          <w:p>
            <w:pPr>
              <w:spacing w:after="0"/>
              <w:rPr>
                <w:sz w:val="23"/>
                <w:szCs w:val="23"/>
                <w:color w:val="auto"/>
              </w:rPr>
            </w:pPr>
          </w:p>
        </w:tc>
        <w:tc>
          <w:tcPr>
            <w:tcW w:w="720" w:type="dxa"/>
            <w:vAlign w:val="bottom"/>
          </w:tcPr>
          <w:p>
            <w:pPr>
              <w:jc w:val="right"/>
              <w:ind w:right="137"/>
              <w:spacing w:after="0"/>
              <w:rPr>
                <w:sz w:val="20"/>
                <w:szCs w:val="20"/>
                <w:color w:val="auto"/>
              </w:rPr>
            </w:pPr>
            <w:r>
              <w:rPr>
                <w:rFonts w:ascii="Arial" w:cs="Arial" w:eastAsia="Arial" w:hAnsi="Arial"/>
                <w:sz w:val="13"/>
                <w:szCs w:val="13"/>
                <w:color w:val="auto"/>
              </w:rPr>
              <w:t>8,988</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8,897</w:t>
            </w:r>
          </w:p>
        </w:tc>
        <w:tc>
          <w:tcPr>
            <w:tcW w:w="760" w:type="dxa"/>
            <w:vAlign w:val="bottom"/>
          </w:tcPr>
          <w:p>
            <w:pPr>
              <w:jc w:val="right"/>
              <w:spacing w:after="0"/>
              <w:rPr>
                <w:sz w:val="20"/>
                <w:szCs w:val="20"/>
                <w:color w:val="auto"/>
              </w:rPr>
            </w:pPr>
            <w:r>
              <w:rPr>
                <w:rFonts w:ascii="Arial" w:cs="Arial" w:eastAsia="Arial" w:hAnsi="Arial"/>
                <w:sz w:val="13"/>
                <w:szCs w:val="13"/>
                <w:color w:val="auto"/>
              </w:rPr>
              <w:t>6,140</w:t>
            </w:r>
          </w:p>
        </w:tc>
        <w:tc>
          <w:tcPr>
            <w:tcW w:w="22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-3957955</wp:posOffset>
            </wp:positionV>
            <wp:extent cx="724662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-3674745</wp:posOffset>
            </wp:positionV>
            <wp:extent cx="7246620"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-3469005</wp:posOffset>
            </wp:positionV>
            <wp:extent cx="724662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-3280410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-3014980</wp:posOffset>
            </wp:positionV>
            <wp:extent cx="724662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-2825750</wp:posOffset>
            </wp:positionV>
            <wp:extent cx="7246620"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-2646045</wp:posOffset>
            </wp:positionV>
            <wp:extent cx="7246620"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-2457450</wp:posOffset>
            </wp:positionV>
            <wp:extent cx="724662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-2165985</wp:posOffset>
            </wp:positionV>
            <wp:extent cx="7246620"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-1976755</wp:posOffset>
            </wp:positionV>
            <wp:extent cx="7246620"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-1797050</wp:posOffset>
            </wp:positionV>
            <wp:extent cx="7246620"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-1608455</wp:posOffset>
            </wp:positionV>
            <wp:extent cx="7246620" cy="111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-1410970</wp:posOffset>
            </wp:positionV>
            <wp:extent cx="7246620" cy="111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-1213485</wp:posOffset>
            </wp:positionV>
            <wp:extent cx="7246620"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-1033780</wp:posOffset>
            </wp:positionV>
            <wp:extent cx="7246620"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-845185</wp:posOffset>
            </wp:positionV>
            <wp:extent cx="7246620" cy="111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-647700</wp:posOffset>
            </wp:positionV>
            <wp:extent cx="7246620" cy="111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-441960</wp:posOffset>
            </wp:positionV>
            <wp:extent cx="7246620" cy="94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-253365</wp:posOffset>
            </wp:positionV>
            <wp:extent cx="7246620"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4300" w:space="240"/>
            <w:col w:w="6880"/>
          </w:cols>
          <w:pgMar w:left="240" w:top="904" w:right="239" w:bottom="1440" w:gutter="0" w:footer="0" w:header="0"/>
          <w:type w:val="continuous"/>
        </w:sectPr>
      </w:pPr>
    </w:p>
    <w:p>
      <w:pPr>
        <w:jc w:val="both"/>
        <w:ind w:left="9240"/>
        <w:spacing w:after="0"/>
        <w:tabs>
          <w:tab w:leader="none" w:pos="10200" w:val="left"/>
          <w:tab w:leader="none" w:pos="11140" w:val="left"/>
        </w:tabs>
        <w:rPr>
          <w:sz w:val="20"/>
          <w:szCs w:val="20"/>
          <w:color w:val="auto"/>
        </w:rPr>
      </w:pPr>
      <w:r>
        <w:rPr>
          <w:rFonts w:ascii="Arial" w:cs="Arial" w:eastAsia="Arial" w:hAnsi="Arial"/>
          <w:sz w:val="13"/>
          <w:szCs w:val="13"/>
          <w:color w:val="auto"/>
        </w:rPr>
        <w:t>8,897</w:t>
      </w:r>
      <w:r>
        <w:rPr>
          <w:sz w:val="20"/>
          <w:szCs w:val="20"/>
          <w:color w:val="auto"/>
        </w:rPr>
        <w:tab/>
      </w:r>
      <w:r>
        <w:rPr>
          <w:rFonts w:ascii="Arial" w:cs="Arial" w:eastAsia="Arial" w:hAnsi="Arial"/>
          <w:sz w:val="13"/>
          <w:szCs w:val="13"/>
          <w:color w:val="auto"/>
        </w:rPr>
        <w:t>6,140</w:t>
      </w:r>
      <w:r>
        <w:rPr>
          <w:sz w:val="20"/>
          <w:szCs w:val="20"/>
          <w:color w:val="auto"/>
        </w:rPr>
        <w:tab/>
      </w:r>
      <w:r>
        <w:rPr>
          <w:rFonts w:ascii="Arial" w:cs="Arial" w:eastAsia="Arial" w:hAnsi="Arial"/>
          <w:sz w:val="11"/>
          <w:szCs w:val="1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vMerge w:val="restart"/>
          </w:tcPr>
          <w:p>
            <w:pPr>
              <w:spacing w:after="0"/>
              <w:rPr>
                <w:sz w:val="20"/>
                <w:szCs w:val="20"/>
                <w:color w:val="auto"/>
              </w:rPr>
            </w:pPr>
            <w:r>
              <w:rPr>
                <w:rFonts w:ascii="Arial" w:cs="Arial" w:eastAsia="Arial" w:hAnsi="Arial"/>
                <w:sz w:val="13"/>
                <w:szCs w:val="13"/>
                <w:b w:val="1"/>
                <w:bCs w:val="1"/>
                <w:color w:val="auto"/>
                <w:w w:val="82"/>
              </w:rPr>
              <w:t xml:space="preserve">Portfolio Company, Country </w:t>
            </w:r>
            <w:r>
              <w:rPr>
                <w:rFonts w:ascii="Arial" w:cs="Arial" w:eastAsia="Arial" w:hAnsi="Arial"/>
                <w:sz w:val="20"/>
                <w:szCs w:val="20"/>
                <w:b w:val="1"/>
                <w:bCs w:val="1"/>
                <w:color w:val="auto"/>
                <w:w w:val="82"/>
                <w:vertAlign w:val="superscript"/>
              </w:rPr>
              <w:t>(1)</w:t>
            </w:r>
            <w:r>
              <w:rPr>
                <w:rFonts w:ascii="Arial" w:cs="Arial" w:eastAsia="Arial" w:hAnsi="Arial"/>
                <w:sz w:val="20"/>
                <w:szCs w:val="20"/>
                <w:b w:val="1"/>
                <w:bCs w:val="1"/>
                <w:u w:val="single" w:color="auto"/>
                <w:color w:val="auto"/>
                <w:w w:val="82"/>
                <w:vertAlign w:val="superscript"/>
              </w:rPr>
              <w:t>,</w:t>
            </w:r>
            <w:r>
              <w:rPr>
                <w:rFonts w:ascii="Arial" w:cs="Arial" w:eastAsia="Arial" w:hAnsi="Arial"/>
                <w:sz w:val="13"/>
                <w:szCs w:val="13"/>
                <w:b w:val="1"/>
                <w:bCs w:val="1"/>
                <w:color w:val="auto"/>
                <w:w w:val="82"/>
              </w:rPr>
              <w:t xml:space="preserve"> </w:t>
            </w:r>
            <w:r>
              <w:rPr>
                <w:rFonts w:ascii="Arial" w:cs="Arial" w:eastAsia="Arial" w:hAnsi="Arial"/>
                <w:sz w:val="20"/>
                <w:szCs w:val="20"/>
                <w:b w:val="1"/>
                <w:bCs w:val="1"/>
                <w:color w:val="auto"/>
                <w:w w:val="82"/>
                <w:vertAlign w:val="superscript"/>
              </w:rPr>
              <w:t>(2), (3), (4), (5)</w:t>
            </w: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Principal</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74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Industry</w:t>
            </w:r>
          </w:p>
        </w:tc>
        <w:tc>
          <w:tcPr>
            <w:tcW w:w="200" w:type="dxa"/>
            <w:vAlign w:val="bottom"/>
            <w:tcBorders>
              <w:bottom w:val="single" w:sz="8" w:color="CCEEFF"/>
            </w:tcBorders>
          </w:tcPr>
          <w:p>
            <w:pPr>
              <w:spacing w:after="0"/>
              <w:rPr>
                <w:sz w:val="13"/>
                <w:szCs w:val="13"/>
                <w:color w:val="auto"/>
              </w:rPr>
            </w:pPr>
          </w:p>
        </w:tc>
        <w:tc>
          <w:tcPr>
            <w:tcW w:w="248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Type of Investment</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Fair Value</w:t>
            </w:r>
          </w:p>
        </w:tc>
        <w:tc>
          <w:tcPr>
            <w:tcW w:w="2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3"/>
              </w:rPr>
              <w:t>Net Assets</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Xirgo Technologies, LLC</w:t>
            </w: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Information Technology</w:t>
            </w:r>
          </w:p>
        </w:tc>
        <w:tc>
          <w:tcPr>
            <w:tcW w:w="20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Membership Units (600,000 units)</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27"/>
              <w:spacing w:after="0" w:line="129"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600</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65"/>
              <w:spacing w:after="0" w:line="129"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619</w:t>
            </w: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600</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619</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7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48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400" w:type="dxa"/>
            <w:vAlign w:val="bottom"/>
            <w:shd w:val="clear" w:color="auto" w:fill="CCEEFF"/>
          </w:tcPr>
          <w:p>
            <w:pPr>
              <w:spacing w:after="0" w:line="97" w:lineRule="exact"/>
              <w:rPr>
                <w:sz w:val="20"/>
                <w:szCs w:val="20"/>
                <w:color w:val="auto"/>
              </w:rPr>
            </w:pPr>
            <w:r>
              <w:rPr>
                <w:rFonts w:ascii="Arial" w:cs="Arial" w:eastAsia="Arial" w:hAnsi="Arial"/>
                <w:sz w:val="11"/>
                <w:szCs w:val="11"/>
                <w:b w:val="1"/>
                <w:bCs w:val="1"/>
                <w:color w:val="auto"/>
              </w:rPr>
              <w:t>Sub Total Non-control/non-affiliated</w:t>
            </w:r>
          </w:p>
        </w:tc>
        <w:tc>
          <w:tcPr>
            <w:tcW w:w="18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investments - United States</w:t>
            </w: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248,479</w:t>
            </w:r>
          </w:p>
        </w:tc>
        <w:tc>
          <w:tcPr>
            <w:tcW w:w="260" w:type="dxa"/>
            <w:vAlign w:val="bottom"/>
            <w:shd w:val="clear" w:color="auto" w:fill="CCEEFF"/>
          </w:tcPr>
          <w:p>
            <w:pPr>
              <w:jc w:val="right"/>
              <w:ind w:right="145"/>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259,747</w:t>
            </w: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1"/>
                <w:szCs w:val="11"/>
                <w:color w:val="auto"/>
              </w:rPr>
              <w:t>171.0</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Affiliate Investments - 60.2%</w:t>
            </w: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Affiliate investments - United States</w:t>
            </w: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Burgaflex Holdings, LLC</w:t>
            </w:r>
          </w:p>
        </w:tc>
        <w:tc>
          <w:tcPr>
            <w:tcW w:w="212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Automobile Part Manufacturer</w:t>
            </w: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7"/>
              </w:rPr>
              <w:t>First Lien Debt (12.0% Cash, 3.0% PIK, Due 3/23/21)</w:t>
            </w:r>
          </w:p>
        </w:tc>
        <w:tc>
          <w:tcPr>
            <w:tcW w:w="3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14,561</w:t>
            </w: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14,561</w:t>
            </w:r>
          </w:p>
        </w:tc>
        <w:tc>
          <w:tcPr>
            <w:tcW w:w="260" w:type="dxa"/>
            <w:vAlign w:val="bottom"/>
            <w:shd w:val="clear" w:color="auto" w:fill="CCEEFF"/>
          </w:tcPr>
          <w:p>
            <w:pPr>
              <w:jc w:val="right"/>
              <w:ind w:right="145"/>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14,530</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Burgaflex Holdings, LLC</w:t>
            </w:r>
          </w:p>
        </w:tc>
        <w:tc>
          <w:tcPr>
            <w:tcW w:w="212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Automobile Part Manufacturer</w:t>
            </w:r>
          </w:p>
        </w:tc>
        <w:tc>
          <w:tcPr>
            <w:tcW w:w="2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8"/>
              </w:rPr>
              <w:t>Common Stock Class A (1,253,198 shares)</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1,504</w:t>
            </w:r>
          </w:p>
        </w:tc>
        <w:tc>
          <w:tcPr>
            <w:tcW w:w="2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Burgaflex Holdings, LLC</w:t>
            </w:r>
          </w:p>
        </w:tc>
        <w:tc>
          <w:tcPr>
            <w:tcW w:w="212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Automobile Part Manufacturer</w:t>
            </w:r>
          </w:p>
        </w:tc>
        <w:tc>
          <w:tcPr>
            <w:tcW w:w="2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8"/>
              </w:rPr>
              <w:t>Common Stock Class B (1,085,073 shares)</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362</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16,427</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14,571</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City Gear, LLC</w:t>
            </w:r>
          </w:p>
        </w:tc>
        <w:tc>
          <w:tcPr>
            <w:tcW w:w="21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Footwear Retail</w:t>
            </w:r>
          </w:p>
        </w:tc>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90"/>
              </w:rPr>
              <w:t>Membership Unit Warrants (11.4% fully diluted)</w:t>
            </w:r>
          </w:p>
        </w:tc>
        <w:tc>
          <w:tcPr>
            <w:tcW w:w="52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0"/>
                <w:szCs w:val="10"/>
                <w:color w:val="auto"/>
              </w:rPr>
              <w:t>(15)</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3,184</w:t>
            </w:r>
          </w:p>
        </w:tc>
        <w:tc>
          <w:tcPr>
            <w:tcW w:w="2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3,184</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212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Business Services</w:t>
            </w:r>
          </w:p>
        </w:tc>
        <w:tc>
          <w:tcPr>
            <w:tcW w:w="30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Subordinated Debt (15.1% Cash (3 month LIBOR +</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13.0%, 0.5% Floor), Due 4/29/20)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16,500</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16,062</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16,500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Eastport Holdings, LLC</w:t>
            </w:r>
          </w:p>
        </w:tc>
        <w:tc>
          <w:tcPr>
            <w:tcW w:w="212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Business Services</w:t>
            </w:r>
          </w:p>
        </w:tc>
        <w:tc>
          <w:tcPr>
            <w:tcW w:w="2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Membership Units (22.9% ownership)</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3,263</w:t>
            </w:r>
          </w:p>
        </w:tc>
        <w:tc>
          <w:tcPr>
            <w:tcW w:w="2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16,781</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19,325</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33,281</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GA Communications, Inc.</w:t>
            </w:r>
          </w:p>
        </w:tc>
        <w:tc>
          <w:tcPr>
            <w:tcW w:w="2120" w:type="dxa"/>
            <w:vAlign w:val="bottom"/>
            <w:gridSpan w:val="3"/>
            <w:shd w:val="clear" w:color="auto" w:fill="CCEEFF"/>
          </w:tcPr>
          <w:p>
            <w:pPr>
              <w:ind w:left="180"/>
              <w:spacing w:after="0" w:line="128" w:lineRule="exact"/>
              <w:rPr>
                <w:sz w:val="20"/>
                <w:szCs w:val="20"/>
                <w:color w:val="auto"/>
              </w:rPr>
            </w:pPr>
            <w:r>
              <w:rPr>
                <w:rFonts w:ascii="Arial" w:cs="Arial" w:eastAsia="Arial" w:hAnsi="Arial"/>
                <w:sz w:val="13"/>
                <w:szCs w:val="13"/>
                <w:color w:val="auto"/>
              </w:rPr>
              <w:t>Advertising &amp; Marketing Services</w:t>
            </w:r>
          </w:p>
        </w:tc>
        <w:tc>
          <w:tcPr>
            <w:tcW w:w="30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w w:val="99"/>
              </w:rPr>
              <w:t>Series A-1 Preferred Stock (1,998 shares, 8.0% PIK</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Dividend) </w:t>
            </w:r>
            <w:r>
              <w:rPr>
                <w:rFonts w:ascii="Arial" w:cs="Arial" w:eastAsia="Arial" w:hAnsi="Arial"/>
                <w:sz w:val="20"/>
                <w:szCs w:val="20"/>
                <w:color w:val="auto"/>
                <w:vertAlign w:val="superscript"/>
              </w:rPr>
              <w:t>(11)</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3,399</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3,689</w:t>
            </w: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GA Communications, Inc.</w:t>
            </w:r>
          </w:p>
        </w:tc>
        <w:tc>
          <w:tcPr>
            <w:tcW w:w="212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Advertising &amp; Marketing Services</w:t>
            </w:r>
          </w:p>
        </w:tc>
        <w:tc>
          <w:tcPr>
            <w:tcW w:w="2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Series B-1 Common Stock (200,000 shares)</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w:t>
            </w:r>
          </w:p>
        </w:tc>
        <w:tc>
          <w:tcPr>
            <w:tcW w:w="2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644</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3,401</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4,333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LJS Partners, LLC</w:t>
            </w:r>
          </w:p>
        </w:tc>
        <w:tc>
          <w:tcPr>
            <w:tcW w:w="212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QSR Franchisor</w:t>
            </w:r>
          </w:p>
        </w:tc>
        <w:tc>
          <w:tcPr>
            <w:tcW w:w="2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Common Membership Units (1,764,976 units)</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975</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1,686</w:t>
            </w: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LJS Partners, LLC</w:t>
            </w:r>
          </w:p>
        </w:tc>
        <w:tc>
          <w:tcPr>
            <w:tcW w:w="212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QSR Franchisor</w:t>
            </w:r>
          </w:p>
        </w:tc>
        <w:tc>
          <w:tcPr>
            <w:tcW w:w="2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Preferred Units (89,612 units)</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293</w:t>
            </w:r>
          </w:p>
        </w:tc>
        <w:tc>
          <w:tcPr>
            <w:tcW w:w="2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358</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1,268</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2,044</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904" w:right="239" w:bottom="1440" w:gutter="0" w:footer="0" w:header="0"/>
        </w:sect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2"/>
              </w:rPr>
              <w:t xml:space="preserve">Portfolio Company, Country </w:t>
            </w:r>
            <w:r>
              <w:rPr>
                <w:rFonts w:ascii="Arial" w:cs="Arial" w:eastAsia="Arial" w:hAnsi="Arial"/>
                <w:sz w:val="20"/>
                <w:szCs w:val="20"/>
                <w:b w:val="1"/>
                <w:bCs w:val="1"/>
                <w:color w:val="auto"/>
                <w:w w:val="82"/>
                <w:vertAlign w:val="superscript"/>
              </w:rPr>
              <w:t>(1)</w:t>
            </w:r>
            <w:r>
              <w:rPr>
                <w:rFonts w:ascii="Arial" w:cs="Arial" w:eastAsia="Arial" w:hAnsi="Arial"/>
                <w:sz w:val="20"/>
                <w:szCs w:val="20"/>
                <w:b w:val="1"/>
                <w:bCs w:val="1"/>
                <w:u w:val="single" w:color="auto"/>
                <w:color w:val="auto"/>
                <w:w w:val="82"/>
                <w:vertAlign w:val="superscript"/>
              </w:rPr>
              <w:t>,</w:t>
            </w:r>
            <w:r>
              <w:rPr>
                <w:rFonts w:ascii="Arial" w:cs="Arial" w:eastAsia="Arial" w:hAnsi="Arial"/>
                <w:sz w:val="13"/>
                <w:szCs w:val="13"/>
                <w:b w:val="1"/>
                <w:bCs w:val="1"/>
                <w:color w:val="auto"/>
                <w:w w:val="82"/>
              </w:rPr>
              <w:t xml:space="preserve"> </w:t>
            </w:r>
            <w:r>
              <w:rPr>
                <w:rFonts w:ascii="Arial" w:cs="Arial" w:eastAsia="Arial" w:hAnsi="Arial"/>
                <w:sz w:val="20"/>
                <w:szCs w:val="20"/>
                <w:b w:val="1"/>
                <w:bCs w:val="1"/>
                <w:color w:val="auto"/>
                <w:w w:val="82"/>
                <w:vertAlign w:val="superscript"/>
              </w:rPr>
              <w:t>(2), (3), (4), (5)</w:t>
            </w:r>
          </w:p>
        </w:tc>
        <w:tc>
          <w:tcPr>
            <w:tcW w:w="200" w:type="dxa"/>
            <w:vAlign w:val="bottom"/>
          </w:tcPr>
          <w:p>
            <w:pPr>
              <w:spacing w:after="0"/>
              <w:rPr>
                <w:sz w:val="19"/>
                <w:szCs w:val="19"/>
                <w:color w:val="auto"/>
              </w:rPr>
            </w:pPr>
          </w:p>
        </w:tc>
        <w:tc>
          <w:tcPr>
            <w:tcW w:w="17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Industry</w:t>
            </w:r>
          </w:p>
        </w:tc>
      </w:tr>
      <w:tr>
        <w:trPr>
          <w:trHeight w:val="275"/>
        </w:trPr>
        <w:tc>
          <w:tcPr>
            <w:tcW w:w="2620" w:type="dxa"/>
            <w:vAlign w:val="bottom"/>
            <w:gridSpan w:val="2"/>
          </w:tcPr>
          <w:p>
            <w:pPr>
              <w:spacing w:after="0"/>
              <w:rPr>
                <w:sz w:val="20"/>
                <w:szCs w:val="20"/>
                <w:color w:val="auto"/>
              </w:rPr>
            </w:pPr>
            <w:r>
              <w:rPr>
                <w:rFonts w:ascii="Arial" w:cs="Arial" w:eastAsia="Arial" w:hAnsi="Arial"/>
                <w:sz w:val="13"/>
                <w:szCs w:val="13"/>
                <w:color w:val="auto"/>
              </w:rPr>
              <w:t>MMI Holdings, LLC</w:t>
            </w:r>
          </w:p>
        </w:tc>
        <w:tc>
          <w:tcPr>
            <w:tcW w:w="1720" w:type="dxa"/>
            <w:vAlign w:val="bottom"/>
          </w:tcPr>
          <w:p>
            <w:pPr>
              <w:spacing w:after="0"/>
              <w:rPr>
                <w:sz w:val="20"/>
                <w:szCs w:val="20"/>
                <w:color w:val="auto"/>
              </w:rPr>
            </w:pPr>
            <w:r>
              <w:rPr>
                <w:rFonts w:ascii="Arial" w:cs="Arial" w:eastAsia="Arial" w:hAnsi="Arial"/>
                <w:sz w:val="13"/>
                <w:szCs w:val="13"/>
                <w:color w:val="auto"/>
              </w:rPr>
              <w:t>Medical Device Distributor</w:t>
            </w:r>
          </w:p>
        </w:tc>
      </w:tr>
      <w:tr>
        <w:trPr>
          <w:trHeight w:val="392"/>
        </w:trPr>
        <w:tc>
          <w:tcPr>
            <w:tcW w:w="2620" w:type="dxa"/>
            <w:vAlign w:val="bottom"/>
            <w:gridSpan w:val="2"/>
          </w:tcPr>
          <w:p>
            <w:pPr>
              <w:spacing w:after="0"/>
              <w:rPr>
                <w:sz w:val="20"/>
                <w:szCs w:val="20"/>
                <w:color w:val="auto"/>
              </w:rPr>
            </w:pPr>
            <w:r>
              <w:rPr>
                <w:rFonts w:ascii="Arial" w:cs="Arial" w:eastAsia="Arial" w:hAnsi="Arial"/>
                <w:sz w:val="13"/>
                <w:szCs w:val="13"/>
                <w:color w:val="auto"/>
              </w:rPr>
              <w:t>MMI Holdings, LLC</w:t>
            </w:r>
          </w:p>
        </w:tc>
        <w:tc>
          <w:tcPr>
            <w:tcW w:w="1720" w:type="dxa"/>
            <w:vAlign w:val="bottom"/>
          </w:tcPr>
          <w:p>
            <w:pPr>
              <w:spacing w:after="0"/>
              <w:rPr>
                <w:sz w:val="20"/>
                <w:szCs w:val="20"/>
                <w:color w:val="auto"/>
              </w:rPr>
            </w:pPr>
            <w:r>
              <w:rPr>
                <w:rFonts w:ascii="Arial" w:cs="Arial" w:eastAsia="Arial" w:hAnsi="Arial"/>
                <w:sz w:val="13"/>
                <w:szCs w:val="13"/>
                <w:color w:val="auto"/>
              </w:rPr>
              <w:t>Medical Device Distributor</w:t>
            </w:r>
          </w:p>
        </w:tc>
      </w:tr>
      <w:tr>
        <w:trPr>
          <w:trHeight w:val="392"/>
        </w:trPr>
        <w:tc>
          <w:tcPr>
            <w:tcW w:w="2620" w:type="dxa"/>
            <w:vAlign w:val="bottom"/>
            <w:gridSpan w:val="2"/>
          </w:tcPr>
          <w:p>
            <w:pPr>
              <w:spacing w:after="0"/>
              <w:rPr>
                <w:sz w:val="20"/>
                <w:szCs w:val="20"/>
                <w:color w:val="auto"/>
              </w:rPr>
            </w:pPr>
            <w:r>
              <w:rPr>
                <w:rFonts w:ascii="Arial" w:cs="Arial" w:eastAsia="Arial" w:hAnsi="Arial"/>
                <w:sz w:val="13"/>
                <w:szCs w:val="13"/>
                <w:color w:val="auto"/>
              </w:rPr>
              <w:t>MMI Holdings, LLC</w:t>
            </w:r>
          </w:p>
        </w:tc>
        <w:tc>
          <w:tcPr>
            <w:tcW w:w="1720" w:type="dxa"/>
            <w:vAlign w:val="bottom"/>
          </w:tcPr>
          <w:p>
            <w:pPr>
              <w:spacing w:after="0"/>
              <w:rPr>
                <w:sz w:val="20"/>
                <w:szCs w:val="20"/>
                <w:color w:val="auto"/>
              </w:rPr>
            </w:pPr>
            <w:r>
              <w:rPr>
                <w:rFonts w:ascii="Arial" w:cs="Arial" w:eastAsia="Arial" w:hAnsi="Arial"/>
                <w:sz w:val="13"/>
                <w:szCs w:val="13"/>
                <w:color w:val="auto"/>
              </w:rPr>
              <w:t>Medical Device Distributor</w:t>
            </w:r>
          </w:p>
        </w:tc>
      </w:tr>
      <w:tr>
        <w:trPr>
          <w:trHeight w:val="311"/>
        </w:trPr>
        <w:tc>
          <w:tcPr>
            <w:tcW w:w="2620" w:type="dxa"/>
            <w:vAlign w:val="bottom"/>
            <w:gridSpan w:val="2"/>
          </w:tcPr>
          <w:p>
            <w:pPr>
              <w:spacing w:after="0"/>
              <w:rPr>
                <w:sz w:val="20"/>
                <w:szCs w:val="20"/>
                <w:color w:val="auto"/>
              </w:rPr>
            </w:pPr>
            <w:r>
              <w:rPr>
                <w:rFonts w:ascii="Arial" w:cs="Arial" w:eastAsia="Arial" w:hAnsi="Arial"/>
                <w:sz w:val="13"/>
                <w:szCs w:val="13"/>
                <w:color w:val="auto"/>
              </w:rPr>
              <w:t>MMI Holdings, LLC</w:t>
            </w:r>
          </w:p>
        </w:tc>
        <w:tc>
          <w:tcPr>
            <w:tcW w:w="1720" w:type="dxa"/>
            <w:vAlign w:val="bottom"/>
          </w:tcPr>
          <w:p>
            <w:pPr>
              <w:spacing w:after="0"/>
              <w:rPr>
                <w:sz w:val="20"/>
                <w:szCs w:val="20"/>
                <w:color w:val="auto"/>
              </w:rPr>
            </w:pPr>
            <w:r>
              <w:rPr>
                <w:rFonts w:ascii="Arial" w:cs="Arial" w:eastAsia="Arial" w:hAnsi="Arial"/>
                <w:sz w:val="13"/>
                <w:szCs w:val="13"/>
                <w:color w:val="auto"/>
              </w:rPr>
              <w:t>Medical Device Distributor</w:t>
            </w:r>
          </w:p>
        </w:tc>
      </w:tr>
      <w:tr>
        <w:trPr>
          <w:trHeight w:val="581"/>
        </w:trPr>
        <w:tc>
          <w:tcPr>
            <w:tcW w:w="2620" w:type="dxa"/>
            <w:vAlign w:val="bottom"/>
            <w:gridSpan w:val="2"/>
          </w:tcPr>
          <w:p>
            <w:pPr>
              <w:spacing w:after="0"/>
              <w:rPr>
                <w:sz w:val="20"/>
                <w:szCs w:val="20"/>
                <w:color w:val="auto"/>
              </w:rPr>
            </w:pPr>
            <w:r>
              <w:rPr>
                <w:rFonts w:ascii="Arial" w:cs="Arial" w:eastAsia="Arial" w:hAnsi="Arial"/>
                <w:sz w:val="13"/>
                <w:szCs w:val="13"/>
                <w:color w:val="auto"/>
              </w:rPr>
              <w:t>Navis Holdings, Inc.</w:t>
            </w:r>
          </w:p>
        </w:tc>
        <w:tc>
          <w:tcPr>
            <w:tcW w:w="1720" w:type="dxa"/>
            <w:vAlign w:val="bottom"/>
          </w:tcPr>
          <w:p>
            <w:pPr>
              <w:spacing w:after="0"/>
              <w:rPr>
                <w:sz w:val="20"/>
                <w:szCs w:val="20"/>
                <w:color w:val="auto"/>
              </w:rPr>
            </w:pPr>
            <w:r>
              <w:rPr>
                <w:rFonts w:ascii="Arial" w:cs="Arial" w:eastAsia="Arial" w:hAnsi="Arial"/>
                <w:sz w:val="13"/>
                <w:szCs w:val="13"/>
                <w:color w:val="auto"/>
                <w:w w:val="92"/>
              </w:rPr>
              <w:t>Textile Equipment Manufacturer</w:t>
            </w:r>
          </w:p>
        </w:tc>
      </w:tr>
      <w:tr>
        <w:trPr>
          <w:trHeight w:val="311"/>
        </w:trPr>
        <w:tc>
          <w:tcPr>
            <w:tcW w:w="2620" w:type="dxa"/>
            <w:vAlign w:val="bottom"/>
            <w:gridSpan w:val="2"/>
          </w:tcPr>
          <w:p>
            <w:pPr>
              <w:spacing w:after="0"/>
              <w:rPr>
                <w:sz w:val="20"/>
                <w:szCs w:val="20"/>
                <w:color w:val="auto"/>
              </w:rPr>
            </w:pPr>
            <w:r>
              <w:rPr>
                <w:rFonts w:ascii="Arial" w:cs="Arial" w:eastAsia="Arial" w:hAnsi="Arial"/>
                <w:sz w:val="13"/>
                <w:szCs w:val="13"/>
                <w:color w:val="auto"/>
              </w:rPr>
              <w:t>Navis Holdings, Inc.</w:t>
            </w:r>
          </w:p>
        </w:tc>
        <w:tc>
          <w:tcPr>
            <w:tcW w:w="1720" w:type="dxa"/>
            <w:vAlign w:val="bottom"/>
          </w:tcPr>
          <w:p>
            <w:pPr>
              <w:spacing w:after="0"/>
              <w:rPr>
                <w:sz w:val="20"/>
                <w:szCs w:val="20"/>
                <w:color w:val="auto"/>
              </w:rPr>
            </w:pPr>
            <w:r>
              <w:rPr>
                <w:rFonts w:ascii="Arial" w:cs="Arial" w:eastAsia="Arial" w:hAnsi="Arial"/>
                <w:sz w:val="13"/>
                <w:szCs w:val="13"/>
                <w:color w:val="auto"/>
                <w:w w:val="92"/>
              </w:rPr>
              <w:t>Textile Equipment Manufacturer</w:t>
            </w:r>
          </w:p>
        </w:tc>
      </w:tr>
      <w:tr>
        <w:trPr>
          <w:trHeight w:val="446"/>
        </w:trPr>
        <w:tc>
          <w:tcPr>
            <w:tcW w:w="2620" w:type="dxa"/>
            <w:vAlign w:val="bottom"/>
            <w:gridSpan w:val="2"/>
          </w:tcPr>
          <w:p>
            <w:pPr>
              <w:spacing w:after="0"/>
              <w:rPr>
                <w:sz w:val="20"/>
                <w:szCs w:val="20"/>
                <w:color w:val="auto"/>
              </w:rPr>
            </w:pPr>
            <w:r>
              <w:rPr>
                <w:rFonts w:ascii="Arial" w:cs="Arial" w:eastAsia="Arial" w:hAnsi="Arial"/>
                <w:sz w:val="13"/>
                <w:szCs w:val="13"/>
                <w:color w:val="auto"/>
              </w:rPr>
              <w:t>Navis Holdings, Inc.</w:t>
            </w:r>
          </w:p>
        </w:tc>
        <w:tc>
          <w:tcPr>
            <w:tcW w:w="1720" w:type="dxa"/>
            <w:vAlign w:val="bottom"/>
          </w:tcPr>
          <w:p>
            <w:pPr>
              <w:spacing w:after="0"/>
              <w:rPr>
                <w:sz w:val="20"/>
                <w:szCs w:val="20"/>
                <w:color w:val="auto"/>
              </w:rPr>
            </w:pPr>
            <w:r>
              <w:rPr>
                <w:rFonts w:ascii="Arial" w:cs="Arial" w:eastAsia="Arial" w:hAnsi="Arial"/>
                <w:sz w:val="13"/>
                <w:szCs w:val="13"/>
                <w:color w:val="auto"/>
                <w:w w:val="92"/>
              </w:rPr>
              <w:t>Textile Equipment Manufacturer</w:t>
            </w:r>
          </w:p>
        </w:tc>
      </w:tr>
      <w:tr>
        <w:trPr>
          <w:trHeight w:val="581"/>
        </w:trPr>
        <w:tc>
          <w:tcPr>
            <w:tcW w:w="2620" w:type="dxa"/>
            <w:vAlign w:val="bottom"/>
            <w:gridSpan w:val="2"/>
          </w:tcPr>
          <w:p>
            <w:pPr>
              <w:spacing w:after="0"/>
              <w:rPr>
                <w:sz w:val="20"/>
                <w:szCs w:val="20"/>
                <w:color w:val="auto"/>
              </w:rPr>
            </w:pPr>
            <w:r>
              <w:rPr>
                <w:rFonts w:ascii="Arial" w:cs="Arial" w:eastAsia="Arial" w:hAnsi="Arial"/>
                <w:sz w:val="13"/>
                <w:szCs w:val="13"/>
                <w:color w:val="auto"/>
              </w:rPr>
              <w:t>RAM Payment, LLC</w:t>
            </w:r>
          </w:p>
        </w:tc>
        <w:tc>
          <w:tcPr>
            <w:tcW w:w="1720" w:type="dxa"/>
            <w:vAlign w:val="bottom"/>
          </w:tcPr>
          <w:p>
            <w:pPr>
              <w:spacing w:after="0"/>
              <w:rPr>
                <w:sz w:val="20"/>
                <w:szCs w:val="20"/>
                <w:color w:val="auto"/>
              </w:rPr>
            </w:pPr>
            <w:r>
              <w:rPr>
                <w:rFonts w:ascii="Arial" w:cs="Arial" w:eastAsia="Arial" w:hAnsi="Arial"/>
                <w:sz w:val="13"/>
                <w:szCs w:val="13"/>
                <w:color w:val="auto"/>
              </w:rPr>
              <w:t>Financial Services</w:t>
            </w:r>
          </w:p>
        </w:tc>
      </w:tr>
      <w:tr>
        <w:trPr>
          <w:trHeight w:val="311"/>
        </w:trPr>
        <w:tc>
          <w:tcPr>
            <w:tcW w:w="2620" w:type="dxa"/>
            <w:vAlign w:val="bottom"/>
            <w:gridSpan w:val="2"/>
          </w:tcPr>
          <w:p>
            <w:pPr>
              <w:spacing w:after="0"/>
              <w:rPr>
                <w:sz w:val="20"/>
                <w:szCs w:val="20"/>
                <w:color w:val="auto"/>
              </w:rPr>
            </w:pPr>
            <w:r>
              <w:rPr>
                <w:rFonts w:ascii="Arial" w:cs="Arial" w:eastAsia="Arial" w:hAnsi="Arial"/>
                <w:sz w:val="13"/>
                <w:szCs w:val="13"/>
                <w:color w:val="auto"/>
              </w:rPr>
              <w:t>RAM Payment, LLC</w:t>
            </w:r>
          </w:p>
        </w:tc>
        <w:tc>
          <w:tcPr>
            <w:tcW w:w="1720" w:type="dxa"/>
            <w:vAlign w:val="bottom"/>
          </w:tcPr>
          <w:p>
            <w:pPr>
              <w:spacing w:after="0"/>
              <w:rPr>
                <w:sz w:val="20"/>
                <w:szCs w:val="20"/>
                <w:color w:val="auto"/>
              </w:rPr>
            </w:pPr>
            <w:r>
              <w:rPr>
                <w:rFonts w:ascii="Arial" w:cs="Arial" w:eastAsia="Arial" w:hAnsi="Arial"/>
                <w:sz w:val="13"/>
                <w:szCs w:val="13"/>
                <w:color w:val="auto"/>
              </w:rPr>
              <w:t>Financial Services</w:t>
            </w:r>
          </w:p>
        </w:tc>
      </w:tr>
      <w:tr>
        <w:trPr>
          <w:trHeight w:val="596"/>
        </w:trPr>
        <w:tc>
          <w:tcPr>
            <w:tcW w:w="2620" w:type="dxa"/>
            <w:vAlign w:val="bottom"/>
            <w:gridSpan w:val="2"/>
          </w:tcPr>
          <w:p>
            <w:pPr>
              <w:spacing w:after="0"/>
              <w:rPr>
                <w:sz w:val="20"/>
                <w:szCs w:val="20"/>
                <w:color w:val="auto"/>
              </w:rPr>
            </w:pPr>
            <w:r>
              <w:rPr>
                <w:rFonts w:ascii="Arial" w:cs="Arial" w:eastAsia="Arial" w:hAnsi="Arial"/>
                <w:sz w:val="13"/>
                <w:szCs w:val="13"/>
                <w:color w:val="auto"/>
              </w:rPr>
              <w:t>Sierra Hamilton Holdings Corporation</w:t>
            </w:r>
          </w:p>
        </w:tc>
        <w:tc>
          <w:tcPr>
            <w:tcW w:w="1720" w:type="dxa"/>
            <w:vAlign w:val="bottom"/>
          </w:tcPr>
          <w:p>
            <w:pPr>
              <w:spacing w:after="0"/>
              <w:rPr>
                <w:sz w:val="20"/>
                <w:szCs w:val="20"/>
                <w:color w:val="auto"/>
              </w:rPr>
            </w:pPr>
            <w:r>
              <w:rPr>
                <w:rFonts w:ascii="Arial" w:cs="Arial" w:eastAsia="Arial" w:hAnsi="Arial"/>
                <w:sz w:val="13"/>
                <w:szCs w:val="13"/>
                <w:color w:val="auto"/>
              </w:rPr>
              <w:t>Oil &amp; Gas Engineering and</w:t>
            </w:r>
          </w:p>
        </w:tc>
      </w:tr>
      <w:tr>
        <w:trPr>
          <w:trHeight w:val="160"/>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20"/>
                <w:szCs w:val="20"/>
                <w:color w:val="auto"/>
              </w:rPr>
            </w:pPr>
            <w:r>
              <w:rPr>
                <w:rFonts w:ascii="Arial" w:cs="Arial" w:eastAsia="Arial" w:hAnsi="Arial"/>
                <w:sz w:val="13"/>
                <w:szCs w:val="13"/>
                <w:color w:val="auto"/>
              </w:rPr>
              <w:t>Consulting Services</w:t>
            </w:r>
          </w:p>
        </w:tc>
      </w:tr>
      <w:tr>
        <w:trPr>
          <w:trHeight w:val="245"/>
        </w:trPr>
        <w:tc>
          <w:tcPr>
            <w:tcW w:w="2620" w:type="dxa"/>
            <w:vAlign w:val="bottom"/>
            <w:gridSpan w:val="2"/>
          </w:tcPr>
          <w:p>
            <w:pPr>
              <w:spacing w:after="0"/>
              <w:rPr>
                <w:sz w:val="20"/>
                <w:szCs w:val="20"/>
                <w:color w:val="auto"/>
              </w:rPr>
            </w:pPr>
            <w:r>
              <w:rPr>
                <w:rFonts w:ascii="Arial" w:cs="Arial" w:eastAsia="Arial" w:hAnsi="Arial"/>
                <w:sz w:val="13"/>
                <w:szCs w:val="13"/>
                <w:color w:val="auto"/>
              </w:rPr>
              <w:t>Sierra Hamilton Holdings Corporation</w:t>
            </w:r>
          </w:p>
        </w:tc>
        <w:tc>
          <w:tcPr>
            <w:tcW w:w="1720" w:type="dxa"/>
            <w:vAlign w:val="bottom"/>
          </w:tcPr>
          <w:p>
            <w:pPr>
              <w:spacing w:after="0"/>
              <w:rPr>
                <w:sz w:val="20"/>
                <w:szCs w:val="20"/>
                <w:color w:val="auto"/>
              </w:rPr>
            </w:pPr>
            <w:r>
              <w:rPr>
                <w:rFonts w:ascii="Arial" w:cs="Arial" w:eastAsia="Arial" w:hAnsi="Arial"/>
                <w:sz w:val="13"/>
                <w:szCs w:val="13"/>
                <w:color w:val="auto"/>
              </w:rPr>
              <w:t>Oil &amp; Gas Engineering and</w:t>
            </w:r>
          </w:p>
        </w:tc>
      </w:tr>
      <w:tr>
        <w:trPr>
          <w:trHeight w:val="160"/>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20"/>
                <w:szCs w:val="20"/>
                <w:color w:val="auto"/>
              </w:rPr>
            </w:pPr>
            <w:r>
              <w:rPr>
                <w:rFonts w:ascii="Arial" w:cs="Arial" w:eastAsia="Arial" w:hAnsi="Arial"/>
                <w:sz w:val="13"/>
                <w:szCs w:val="13"/>
                <w:color w:val="auto"/>
              </w:rPr>
              <w:t>Consulting Services</w:t>
            </w:r>
          </w:p>
        </w:tc>
      </w:tr>
      <w:tr>
        <w:trPr>
          <w:trHeight w:val="556"/>
        </w:trPr>
        <w:tc>
          <w:tcPr>
            <w:tcW w:w="2620" w:type="dxa"/>
            <w:vAlign w:val="bottom"/>
            <w:gridSpan w:val="2"/>
          </w:tcPr>
          <w:p>
            <w:pPr>
              <w:spacing w:after="0"/>
              <w:rPr>
                <w:sz w:val="20"/>
                <w:szCs w:val="20"/>
                <w:color w:val="auto"/>
              </w:rPr>
            </w:pPr>
            <w:r>
              <w:rPr>
                <w:rFonts w:ascii="Arial" w:cs="Arial" w:eastAsia="Arial" w:hAnsi="Arial"/>
                <w:sz w:val="13"/>
                <w:szCs w:val="13"/>
                <w:color w:val="auto"/>
              </w:rPr>
              <w:t>V12 Holdings, Inc.</w:t>
            </w:r>
          </w:p>
        </w:tc>
        <w:tc>
          <w:tcPr>
            <w:tcW w:w="1720" w:type="dxa"/>
            <w:vAlign w:val="bottom"/>
          </w:tcPr>
          <w:p>
            <w:pPr>
              <w:spacing w:after="0"/>
              <w:rPr>
                <w:sz w:val="20"/>
                <w:szCs w:val="20"/>
                <w:color w:val="auto"/>
              </w:rPr>
            </w:pPr>
            <w:r>
              <w:rPr>
                <w:rFonts w:ascii="Arial" w:cs="Arial" w:eastAsia="Arial" w:hAnsi="Arial"/>
                <w:sz w:val="13"/>
                <w:szCs w:val="13"/>
                <w:color w:val="auto"/>
              </w:rPr>
              <w:t>Data Processing &amp; Digital</w:t>
            </w:r>
          </w:p>
        </w:tc>
      </w:tr>
      <w:tr>
        <w:trPr>
          <w:trHeight w:val="160"/>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20"/>
                <w:szCs w:val="20"/>
                <w:color w:val="auto"/>
              </w:rPr>
            </w:pPr>
            <w:r>
              <w:rPr>
                <w:rFonts w:ascii="Arial" w:cs="Arial" w:eastAsia="Arial" w:hAnsi="Arial"/>
                <w:sz w:val="13"/>
                <w:szCs w:val="13"/>
                <w:color w:val="auto"/>
              </w:rPr>
              <w:t>Marketing</w:t>
            </w:r>
          </w:p>
        </w:tc>
      </w:tr>
      <w:tr>
        <w:trPr>
          <w:trHeight w:val="552"/>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Sub Total Affiliate investments - United</w:t>
            </w:r>
          </w:p>
        </w:tc>
        <w:tc>
          <w:tcPr>
            <w:tcW w:w="1720" w:type="dxa"/>
            <w:vAlign w:val="bottom"/>
          </w:tcPr>
          <w:p>
            <w:pPr>
              <w:spacing w:after="0"/>
              <w:rPr>
                <w:sz w:val="24"/>
                <w:szCs w:val="24"/>
                <w:color w:val="auto"/>
              </w:rPr>
            </w:pPr>
          </w:p>
        </w:tc>
      </w:tr>
      <w:tr>
        <w:trPr>
          <w:trHeight w:val="164"/>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States</w:t>
            </w:r>
          </w:p>
        </w:tc>
        <w:tc>
          <w:tcPr>
            <w:tcW w:w="1720" w:type="dxa"/>
            <w:vAlign w:val="bottom"/>
          </w:tcPr>
          <w:p>
            <w:pPr>
              <w:spacing w:after="0"/>
              <w:rPr>
                <w:sz w:val="14"/>
                <w:szCs w:val="14"/>
                <w:color w:val="auto"/>
              </w:rPr>
            </w:pPr>
          </w:p>
        </w:tc>
      </w:tr>
      <w:tr>
        <w:trPr>
          <w:trHeight w:val="338"/>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Control Investments - 13.3%</w:t>
            </w:r>
          </w:p>
        </w:tc>
        <w:tc>
          <w:tcPr>
            <w:tcW w:w="1720" w:type="dxa"/>
            <w:vAlign w:val="bottom"/>
          </w:tcPr>
          <w:p>
            <w:pPr>
              <w:spacing w:after="0"/>
              <w:rPr>
                <w:sz w:val="24"/>
                <w:szCs w:val="24"/>
                <w:color w:val="auto"/>
              </w:rPr>
            </w:pPr>
          </w:p>
        </w:tc>
      </w:tr>
      <w:tr>
        <w:trPr>
          <w:trHeight w:val="270"/>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Control investments - United States</w:t>
            </w:r>
          </w:p>
        </w:tc>
        <w:tc>
          <w:tcPr>
            <w:tcW w:w="1720" w:type="dxa"/>
            <w:vAlign w:val="bottom"/>
          </w:tcPr>
          <w:p>
            <w:pPr>
              <w:spacing w:after="0"/>
              <w:rPr>
                <w:sz w:val="23"/>
                <w:szCs w:val="23"/>
                <w:color w:val="auto"/>
              </w:rPr>
            </w:pPr>
          </w:p>
        </w:tc>
      </w:tr>
      <w:tr>
        <w:trPr>
          <w:trHeight w:val="270"/>
        </w:trPr>
        <w:tc>
          <w:tcPr>
            <w:tcW w:w="2620" w:type="dxa"/>
            <w:vAlign w:val="bottom"/>
            <w:gridSpan w:val="2"/>
          </w:tcPr>
          <w:p>
            <w:pPr>
              <w:spacing w:after="0"/>
              <w:rPr>
                <w:sz w:val="20"/>
                <w:szCs w:val="20"/>
                <w:color w:val="auto"/>
              </w:rPr>
            </w:pPr>
            <w:r>
              <w:rPr>
                <w:rFonts w:ascii="Arial" w:cs="Arial" w:eastAsia="Arial" w:hAnsi="Arial"/>
                <w:sz w:val="13"/>
                <w:szCs w:val="13"/>
                <w:color w:val="auto"/>
              </w:rPr>
              <w:t>CableOrganizer Acquisition, LLC</w:t>
            </w:r>
          </w:p>
        </w:tc>
        <w:tc>
          <w:tcPr>
            <w:tcW w:w="1720" w:type="dxa"/>
            <w:vAlign w:val="bottom"/>
          </w:tcPr>
          <w:p>
            <w:pPr>
              <w:spacing w:after="0"/>
              <w:rPr>
                <w:sz w:val="20"/>
                <w:szCs w:val="20"/>
                <w:color w:val="auto"/>
              </w:rPr>
            </w:pPr>
            <w:r>
              <w:rPr>
                <w:rFonts w:ascii="Arial" w:cs="Arial" w:eastAsia="Arial" w:hAnsi="Arial"/>
                <w:sz w:val="13"/>
                <w:szCs w:val="13"/>
                <w:color w:val="auto"/>
              </w:rPr>
              <w:t>Computer Supply Retail</w:t>
            </w:r>
          </w:p>
        </w:tc>
      </w:tr>
      <w:tr>
        <w:trPr>
          <w:trHeight w:val="311"/>
        </w:trPr>
        <w:tc>
          <w:tcPr>
            <w:tcW w:w="2620" w:type="dxa"/>
            <w:vAlign w:val="bottom"/>
            <w:gridSpan w:val="2"/>
          </w:tcPr>
          <w:p>
            <w:pPr>
              <w:spacing w:after="0"/>
              <w:rPr>
                <w:sz w:val="20"/>
                <w:szCs w:val="20"/>
                <w:color w:val="auto"/>
              </w:rPr>
            </w:pPr>
            <w:r>
              <w:rPr>
                <w:rFonts w:ascii="Arial" w:cs="Arial" w:eastAsia="Arial" w:hAnsi="Arial"/>
                <w:sz w:val="13"/>
                <w:szCs w:val="13"/>
                <w:color w:val="auto"/>
              </w:rPr>
              <w:t>CableOrganizer Acquisition, LLC</w:t>
            </w:r>
          </w:p>
        </w:tc>
        <w:tc>
          <w:tcPr>
            <w:tcW w:w="1720" w:type="dxa"/>
            <w:vAlign w:val="bottom"/>
          </w:tcPr>
          <w:p>
            <w:pPr>
              <w:spacing w:after="0"/>
              <w:rPr>
                <w:sz w:val="20"/>
                <w:szCs w:val="20"/>
                <w:color w:val="auto"/>
              </w:rPr>
            </w:pPr>
            <w:r>
              <w:rPr>
                <w:rFonts w:ascii="Arial" w:cs="Arial" w:eastAsia="Arial" w:hAnsi="Arial"/>
                <w:sz w:val="13"/>
                <w:szCs w:val="13"/>
                <w:color w:val="auto"/>
              </w:rPr>
              <w:t>Computer Supply Retail</w:t>
            </w:r>
          </w:p>
        </w:tc>
      </w:tr>
      <w:tr>
        <w:trPr>
          <w:trHeight w:val="311"/>
        </w:trPr>
        <w:tc>
          <w:tcPr>
            <w:tcW w:w="2620" w:type="dxa"/>
            <w:vAlign w:val="bottom"/>
            <w:gridSpan w:val="2"/>
          </w:tcPr>
          <w:p>
            <w:pPr>
              <w:spacing w:after="0"/>
              <w:rPr>
                <w:sz w:val="20"/>
                <w:szCs w:val="20"/>
                <w:color w:val="auto"/>
              </w:rPr>
            </w:pPr>
            <w:r>
              <w:rPr>
                <w:rFonts w:ascii="Arial" w:cs="Arial" w:eastAsia="Arial" w:hAnsi="Arial"/>
                <w:sz w:val="13"/>
                <w:szCs w:val="13"/>
                <w:color w:val="auto"/>
              </w:rPr>
              <w:t>CableOrganizer Acquisition, LLC</w:t>
            </w:r>
          </w:p>
        </w:tc>
        <w:tc>
          <w:tcPr>
            <w:tcW w:w="1720" w:type="dxa"/>
            <w:vAlign w:val="bottom"/>
          </w:tcPr>
          <w:p>
            <w:pPr>
              <w:spacing w:after="0"/>
              <w:rPr>
                <w:sz w:val="20"/>
                <w:szCs w:val="20"/>
                <w:color w:val="auto"/>
              </w:rPr>
            </w:pPr>
            <w:r>
              <w:rPr>
                <w:rFonts w:ascii="Arial" w:cs="Arial" w:eastAsia="Arial" w:hAnsi="Arial"/>
                <w:sz w:val="13"/>
                <w:szCs w:val="13"/>
                <w:color w:val="auto"/>
              </w:rPr>
              <w:t>Computer Supply Retail</w:t>
            </w:r>
          </w:p>
        </w:tc>
      </w:tr>
      <w:tr>
        <w:trPr>
          <w:trHeight w:val="270"/>
        </w:trPr>
        <w:tc>
          <w:tcPr>
            <w:tcW w:w="2620" w:type="dxa"/>
            <w:vAlign w:val="bottom"/>
            <w:gridSpan w:val="2"/>
          </w:tcPr>
          <w:p>
            <w:pPr>
              <w:spacing w:after="0"/>
              <w:rPr>
                <w:sz w:val="20"/>
                <w:szCs w:val="20"/>
                <w:color w:val="auto"/>
              </w:rPr>
            </w:pPr>
            <w:r>
              <w:rPr>
                <w:rFonts w:ascii="Arial" w:cs="Arial" w:eastAsia="Arial" w:hAnsi="Arial"/>
                <w:sz w:val="13"/>
                <w:szCs w:val="13"/>
                <w:color w:val="auto"/>
              </w:rPr>
              <w:t>CableOrganizer Acquisition, LLC</w:t>
            </w:r>
          </w:p>
        </w:tc>
        <w:tc>
          <w:tcPr>
            <w:tcW w:w="1720" w:type="dxa"/>
            <w:vAlign w:val="bottom"/>
          </w:tcPr>
          <w:p>
            <w:pPr>
              <w:spacing w:after="0"/>
              <w:rPr>
                <w:sz w:val="20"/>
                <w:szCs w:val="20"/>
                <w:color w:val="auto"/>
              </w:rPr>
            </w:pPr>
            <w:r>
              <w:rPr>
                <w:rFonts w:ascii="Arial" w:cs="Arial" w:eastAsia="Arial" w:hAnsi="Arial"/>
                <w:sz w:val="13"/>
                <w:szCs w:val="13"/>
                <w:color w:val="auto"/>
              </w:rPr>
              <w:t>Computer Supply Retail</w:t>
            </w:r>
          </w:p>
        </w:tc>
      </w:tr>
      <w:tr>
        <w:trPr>
          <w:trHeight w:val="270"/>
        </w:trPr>
        <w:tc>
          <w:tcPr>
            <w:tcW w:w="2620" w:type="dxa"/>
            <w:vAlign w:val="bottom"/>
            <w:gridSpan w:val="2"/>
          </w:tcPr>
          <w:p>
            <w:pPr>
              <w:spacing w:after="0"/>
              <w:rPr>
                <w:sz w:val="20"/>
                <w:szCs w:val="20"/>
                <w:color w:val="auto"/>
              </w:rPr>
            </w:pPr>
            <w:r>
              <w:rPr>
                <w:rFonts w:ascii="Arial" w:cs="Arial" w:eastAsia="Arial" w:hAnsi="Arial"/>
                <w:sz w:val="13"/>
                <w:szCs w:val="13"/>
                <w:color w:val="auto"/>
              </w:rPr>
              <w:t>CableOrganizer Acquisition, LLC</w:t>
            </w:r>
          </w:p>
        </w:tc>
        <w:tc>
          <w:tcPr>
            <w:tcW w:w="1720" w:type="dxa"/>
            <w:vAlign w:val="bottom"/>
          </w:tcPr>
          <w:p>
            <w:pPr>
              <w:spacing w:after="0"/>
              <w:rPr>
                <w:sz w:val="20"/>
                <w:szCs w:val="20"/>
                <w:color w:val="auto"/>
              </w:rPr>
            </w:pPr>
            <w:r>
              <w:rPr>
                <w:rFonts w:ascii="Arial" w:cs="Arial" w:eastAsia="Arial" w:hAnsi="Arial"/>
                <w:sz w:val="13"/>
                <w:szCs w:val="13"/>
                <w:color w:val="auto"/>
              </w:rPr>
              <w:t>Computer Supply Retail</w:t>
            </w:r>
          </w:p>
        </w:tc>
      </w:tr>
      <w:tr>
        <w:trPr>
          <w:trHeight w:val="270"/>
        </w:trPr>
        <w:tc>
          <w:tcPr>
            <w:tcW w:w="2620" w:type="dxa"/>
            <w:vAlign w:val="bottom"/>
            <w:gridSpan w:val="2"/>
          </w:tcPr>
          <w:p>
            <w:pPr>
              <w:spacing w:after="0"/>
              <w:rPr>
                <w:sz w:val="20"/>
                <w:szCs w:val="20"/>
                <w:color w:val="auto"/>
              </w:rPr>
            </w:pPr>
            <w:r>
              <w:rPr>
                <w:rFonts w:ascii="Arial" w:cs="Arial" w:eastAsia="Arial" w:hAnsi="Arial"/>
                <w:sz w:val="13"/>
                <w:szCs w:val="13"/>
                <w:color w:val="auto"/>
              </w:rPr>
              <w:t>CableOrganizer Acquisition, LLC</w:t>
            </w:r>
          </w:p>
        </w:tc>
        <w:tc>
          <w:tcPr>
            <w:tcW w:w="1720" w:type="dxa"/>
            <w:vAlign w:val="bottom"/>
          </w:tcPr>
          <w:p>
            <w:pPr>
              <w:spacing w:after="0"/>
              <w:rPr>
                <w:sz w:val="20"/>
                <w:szCs w:val="20"/>
                <w:color w:val="auto"/>
              </w:rPr>
            </w:pPr>
            <w:r>
              <w:rPr>
                <w:rFonts w:ascii="Arial" w:cs="Arial" w:eastAsia="Arial" w:hAnsi="Arial"/>
                <w:sz w:val="13"/>
                <w:szCs w:val="13"/>
                <w:color w:val="auto"/>
              </w:rPr>
              <w:t>Computer Supply Retail</w:t>
            </w: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Principal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3"/>
          </w:tcPr>
          <w:p>
            <w:pPr>
              <w:jc w:val="right"/>
              <w:ind w:right="233"/>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300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Type of Investment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6"/>
              </w:rPr>
              <w:t>Fair Value</w:t>
            </w:r>
          </w:p>
        </w:tc>
        <w:tc>
          <w:tcPr>
            <w:tcW w:w="22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3"/>
              </w:rPr>
              <w:t>Net Assets</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93"/>
        </w:trPr>
        <w:tc>
          <w:tcPr>
            <w:tcW w:w="3000" w:type="dxa"/>
            <w:vAlign w:val="bottom"/>
          </w:tcPr>
          <w:p>
            <w:pPr>
              <w:spacing w:after="0"/>
              <w:rPr>
                <w:sz w:val="20"/>
                <w:szCs w:val="20"/>
                <w:color w:val="auto"/>
              </w:rPr>
            </w:pPr>
            <w:r>
              <w:rPr>
                <w:rFonts w:ascii="Arial" w:cs="Arial" w:eastAsia="Arial" w:hAnsi="Arial"/>
                <w:sz w:val="13"/>
                <w:szCs w:val="13"/>
                <w:color w:val="auto"/>
              </w:rPr>
              <w:t xml:space="preserve">First Lien Debt (12.0% Cash, Due 1/31/20) </w:t>
            </w:r>
            <w:r>
              <w:rPr>
                <w:rFonts w:ascii="Arial" w:cs="Arial" w:eastAsia="Arial" w:hAnsi="Arial"/>
                <w:sz w:val="20"/>
                <w:szCs w:val="20"/>
                <w:color w:val="auto"/>
                <w:vertAlign w:val="superscript"/>
              </w:rPr>
              <w:t>(12)</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2,600</w:t>
            </w:r>
          </w:p>
        </w:tc>
        <w:tc>
          <w:tcPr>
            <w:tcW w:w="180" w:type="dxa"/>
            <w:vAlign w:val="bottom"/>
          </w:tcPr>
          <w:p>
            <w:pPr>
              <w:jc w:val="right"/>
              <w:ind w:right="27"/>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2,600</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2,600</w:t>
            </w: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392"/>
        </w:trPr>
        <w:tc>
          <w:tcPr>
            <w:tcW w:w="3000" w:type="dxa"/>
            <w:vAlign w:val="bottom"/>
          </w:tcPr>
          <w:p>
            <w:pPr>
              <w:spacing w:after="0"/>
              <w:rPr>
                <w:sz w:val="20"/>
                <w:szCs w:val="20"/>
                <w:color w:val="auto"/>
              </w:rPr>
            </w:pPr>
            <w:r>
              <w:rPr>
                <w:rFonts w:ascii="Arial" w:cs="Arial" w:eastAsia="Arial" w:hAnsi="Arial"/>
                <w:sz w:val="13"/>
                <w:szCs w:val="13"/>
                <w:color w:val="auto"/>
              </w:rPr>
              <w:t xml:space="preserve">Subordinated Debt (6.0% Cash, Due 1/31/20) </w:t>
            </w:r>
            <w:r>
              <w:rPr>
                <w:rFonts w:ascii="Arial" w:cs="Arial" w:eastAsia="Arial" w:hAnsi="Arial"/>
                <w:sz w:val="20"/>
                <w:szCs w:val="20"/>
                <w:color w:val="auto"/>
                <w:vertAlign w:val="superscript"/>
              </w:rPr>
              <w:t>(12)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400</w:t>
            </w:r>
          </w:p>
        </w:tc>
        <w:tc>
          <w:tcPr>
            <w:tcW w:w="1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388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400</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392"/>
        </w:trPr>
        <w:tc>
          <w:tcPr>
            <w:tcW w:w="3000" w:type="dxa"/>
            <w:vAlign w:val="bottom"/>
          </w:tcPr>
          <w:p>
            <w:pPr>
              <w:spacing w:after="0"/>
              <w:rPr>
                <w:sz w:val="20"/>
                <w:szCs w:val="20"/>
                <w:color w:val="auto"/>
              </w:rPr>
            </w:pPr>
            <w:r>
              <w:rPr>
                <w:rFonts w:ascii="Arial" w:cs="Arial" w:eastAsia="Arial" w:hAnsi="Arial"/>
                <w:sz w:val="13"/>
                <w:szCs w:val="13"/>
                <w:color w:val="auto"/>
                <w:w w:val="97"/>
              </w:rPr>
              <w:t xml:space="preserve">Preferred Units (1,000 units, 6.0% PIK Dividend) </w:t>
            </w:r>
            <w:r>
              <w:rPr>
                <w:rFonts w:ascii="Arial" w:cs="Arial" w:eastAsia="Arial" w:hAnsi="Arial"/>
                <w:sz w:val="20"/>
                <w:szCs w:val="20"/>
                <w:color w:val="auto"/>
                <w:w w:val="97"/>
                <w:vertAlign w:val="superscript"/>
              </w:rPr>
              <w:t>(11)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1,548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1,685</w:t>
            </w: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20"/>
                <w:szCs w:val="20"/>
                <w:color w:val="auto"/>
              </w:rPr>
            </w:pPr>
            <w:r>
              <w:rPr>
                <w:rFonts w:ascii="Arial" w:cs="Arial" w:eastAsia="Arial" w:hAnsi="Arial"/>
                <w:sz w:val="13"/>
                <w:szCs w:val="13"/>
                <w:color w:val="auto"/>
              </w:rPr>
              <w:t>Common Membership Units (45 units)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209</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4,536</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4,894</w:t>
            </w:r>
          </w:p>
        </w:tc>
        <w:tc>
          <w:tcPr>
            <w:tcW w:w="220" w:type="dxa"/>
            <w:vAlign w:val="bottom"/>
          </w:tcPr>
          <w:p>
            <w:pPr>
              <w:spacing w:after="0"/>
              <w:rPr>
                <w:sz w:val="11"/>
                <w:szCs w:val="11"/>
                <w:color w:val="auto"/>
              </w:rPr>
            </w:pPr>
          </w:p>
        </w:tc>
        <w:tc>
          <w:tcPr>
            <w:tcW w:w="62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3.2</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3"/>
        </w:trPr>
        <w:tc>
          <w:tcPr>
            <w:tcW w:w="3000" w:type="dxa"/>
            <w:vAlign w:val="bottom"/>
          </w:tcPr>
          <w:p>
            <w:pPr>
              <w:spacing w:after="0"/>
              <w:rPr>
                <w:sz w:val="20"/>
                <w:szCs w:val="20"/>
                <w:color w:val="auto"/>
              </w:rPr>
            </w:pPr>
            <w:r>
              <w:rPr>
                <w:rFonts w:ascii="Arial" w:cs="Arial" w:eastAsia="Arial" w:hAnsi="Arial"/>
                <w:sz w:val="13"/>
                <w:szCs w:val="13"/>
                <w:color w:val="auto"/>
              </w:rPr>
              <w:t xml:space="preserve">First Lien Debt (11.0% Cash, Due 6/30/23) </w:t>
            </w:r>
            <w:r>
              <w:rPr>
                <w:rFonts w:ascii="Arial" w:cs="Arial" w:eastAsia="Arial" w:hAnsi="Arial"/>
                <w:sz w:val="20"/>
                <w:szCs w:val="20"/>
                <w:color w:val="auto"/>
                <w:vertAlign w:val="superscript"/>
              </w:rPr>
              <w:t>(12)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10,100</w:t>
            </w:r>
          </w:p>
        </w:tc>
        <w:tc>
          <w:tcPr>
            <w:tcW w:w="1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10,100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10,100</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74"/>
        </w:trPr>
        <w:tc>
          <w:tcPr>
            <w:tcW w:w="3000" w:type="dxa"/>
            <w:vAlign w:val="bottom"/>
          </w:tcPr>
          <w:p>
            <w:pPr>
              <w:spacing w:after="0"/>
              <w:rPr>
                <w:sz w:val="20"/>
                <w:szCs w:val="20"/>
                <w:color w:val="auto"/>
              </w:rPr>
            </w:pPr>
            <w:r>
              <w:rPr>
                <w:rFonts w:ascii="Arial" w:cs="Arial" w:eastAsia="Arial" w:hAnsi="Arial"/>
                <w:sz w:val="13"/>
                <w:szCs w:val="13"/>
                <w:color w:val="auto"/>
                <w:w w:val="99"/>
              </w:rPr>
              <w:t>Class A Preferred Stock (1,000 shares, 10.0% Cash</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3000" w:type="dxa"/>
            <w:vAlign w:val="bottom"/>
          </w:tcPr>
          <w:p>
            <w:pPr>
              <w:spacing w:after="0"/>
              <w:rPr>
                <w:sz w:val="20"/>
                <w:szCs w:val="20"/>
                <w:color w:val="auto"/>
              </w:rPr>
            </w:pPr>
            <w:r>
              <w:rPr>
                <w:rFonts w:ascii="Arial" w:cs="Arial" w:eastAsia="Arial" w:hAnsi="Arial"/>
                <w:sz w:val="13"/>
                <w:szCs w:val="13"/>
                <w:color w:val="auto"/>
              </w:rPr>
              <w:t xml:space="preserve">Dividend) </w:t>
            </w:r>
            <w:r>
              <w:rPr>
                <w:rFonts w:ascii="Arial" w:cs="Arial" w:eastAsia="Arial" w:hAnsi="Arial"/>
                <w:sz w:val="20"/>
                <w:szCs w:val="20"/>
                <w:color w:val="auto"/>
                <w:vertAlign w:val="superscript"/>
              </w:rPr>
              <w:t>(11)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1,000</w:t>
            </w:r>
          </w:p>
        </w:tc>
        <w:tc>
          <w:tcPr>
            <w:tcW w:w="22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20"/>
                <w:szCs w:val="20"/>
                <w:color w:val="auto"/>
              </w:rPr>
            </w:pPr>
            <w:r>
              <w:rPr>
                <w:rFonts w:ascii="Arial" w:cs="Arial" w:eastAsia="Arial" w:hAnsi="Arial"/>
                <w:sz w:val="13"/>
                <w:szCs w:val="13"/>
                <w:color w:val="auto"/>
              </w:rPr>
              <w:t>Common Stock (60,000 shares)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385</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11,100</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11,485</w:t>
            </w:r>
          </w:p>
        </w:tc>
        <w:tc>
          <w:tcPr>
            <w:tcW w:w="220" w:type="dxa"/>
            <w:vAlign w:val="bottom"/>
            <w:vMerge w:val="continue"/>
          </w:tcPr>
          <w:p>
            <w:pPr>
              <w:spacing w:after="0"/>
              <w:rPr>
                <w:sz w:val="11"/>
                <w:szCs w:val="11"/>
                <w:color w:val="auto"/>
              </w:rPr>
            </w:pPr>
          </w:p>
        </w:tc>
        <w:tc>
          <w:tcPr>
            <w:tcW w:w="62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7.6</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3"/>
        </w:trPr>
        <w:tc>
          <w:tcPr>
            <w:tcW w:w="3000" w:type="dxa"/>
            <w:vAlign w:val="bottom"/>
          </w:tcPr>
          <w:p>
            <w:pPr>
              <w:spacing w:after="0"/>
              <w:rPr>
                <w:sz w:val="20"/>
                <w:szCs w:val="20"/>
                <w:color w:val="auto"/>
              </w:rPr>
            </w:pPr>
            <w:r>
              <w:rPr>
                <w:rFonts w:ascii="Arial" w:cs="Arial" w:eastAsia="Arial" w:hAnsi="Arial"/>
                <w:sz w:val="13"/>
                <w:szCs w:val="13"/>
                <w:color w:val="auto"/>
              </w:rPr>
              <w:t xml:space="preserve">First Lien Debt (10.4% Cash, Due 1/4/24) </w:t>
            </w:r>
            <w:r>
              <w:rPr>
                <w:rFonts w:ascii="Arial" w:cs="Arial" w:eastAsia="Arial" w:hAnsi="Arial"/>
                <w:sz w:val="20"/>
                <w:szCs w:val="20"/>
                <w:color w:val="auto"/>
                <w:vertAlign w:val="superscript"/>
              </w:rPr>
              <w:t>(6)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9,137</w:t>
            </w:r>
          </w:p>
        </w:tc>
        <w:tc>
          <w:tcPr>
            <w:tcW w:w="1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9,137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9,137</w:t>
            </w: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0"/>
                <w:szCs w:val="20"/>
                <w:color w:val="auto"/>
              </w:rPr>
            </w:pPr>
            <w:r>
              <w:rPr>
                <w:rFonts w:ascii="Arial" w:cs="Arial" w:eastAsia="Arial" w:hAnsi="Arial"/>
                <w:sz w:val="13"/>
                <w:szCs w:val="13"/>
                <w:color w:val="auto"/>
              </w:rPr>
              <w:t xml:space="preserve">Preferred Units (86,000 units, 8.0% PIK) </w:t>
            </w:r>
            <w:r>
              <w:rPr>
                <w:rFonts w:ascii="Arial" w:cs="Arial" w:eastAsia="Arial" w:hAnsi="Arial"/>
                <w:sz w:val="20"/>
                <w:szCs w:val="20"/>
                <w:color w:val="auto"/>
                <w:vertAlign w:val="superscript"/>
              </w:rPr>
              <w:t>(11)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1,507</w:t>
            </w: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59"/>
        </w:trPr>
        <w:tc>
          <w:tcPr>
            <w:tcW w:w="3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620" w:type="dxa"/>
            <w:vAlign w:val="bottom"/>
            <w:tcBorders>
              <w:bottom w:val="single" w:sz="8" w:color="auto"/>
            </w:tcBorders>
            <w:gridSpan w:val="2"/>
          </w:tcPr>
          <w:p>
            <w:pPr>
              <w:spacing w:after="0"/>
              <w:rPr>
                <w:sz w:val="5"/>
                <w:szCs w:val="5"/>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10,048</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10,644</w:t>
            </w:r>
          </w:p>
        </w:tc>
        <w:tc>
          <w:tcPr>
            <w:tcW w:w="220" w:type="dxa"/>
            <w:vAlign w:val="bottom"/>
            <w:vMerge w:val="continue"/>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w:t>
            </w:r>
          </w:p>
        </w:tc>
        <w:tc>
          <w:tcPr>
            <w:tcW w:w="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000" w:type="dxa"/>
            <w:vAlign w:val="bottom"/>
          </w:tcPr>
          <w:p>
            <w:pPr>
              <w:spacing w:after="0"/>
              <w:rPr>
                <w:sz w:val="20"/>
                <w:szCs w:val="20"/>
                <w:color w:val="auto"/>
              </w:rPr>
            </w:pPr>
            <w:r>
              <w:rPr>
                <w:rFonts w:ascii="Arial" w:cs="Arial" w:eastAsia="Arial" w:hAnsi="Arial"/>
                <w:sz w:val="13"/>
                <w:szCs w:val="13"/>
                <w:color w:val="auto"/>
              </w:rPr>
              <w:t>Second Lien Debt (15.0% PIK, Due 9/12/23)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754</w:t>
            </w:r>
          </w:p>
        </w:tc>
        <w:tc>
          <w:tcPr>
            <w:tcW w:w="180" w:type="dxa"/>
            <w:vAlign w:val="bottom"/>
          </w:tcPr>
          <w:p>
            <w:pPr>
              <w:spacing w:after="0"/>
              <w:rPr>
                <w:sz w:val="23"/>
                <w:szCs w:val="23"/>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717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717</w:t>
            </w:r>
          </w:p>
        </w:tc>
        <w:tc>
          <w:tcPr>
            <w:tcW w:w="700" w:type="dxa"/>
            <w:vAlign w:val="bottom"/>
            <w:gridSpan w:val="3"/>
            <w:vMerge w:val="restart"/>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3"/>
                <w:szCs w:val="13"/>
                <w:color w:val="auto"/>
              </w:rPr>
              <w:t>Common Stock (15,068,000 shares)</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6,958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5,494</w:t>
            </w:r>
          </w:p>
        </w:tc>
        <w:tc>
          <w:tcPr>
            <w:tcW w:w="220" w:type="dxa"/>
            <w:vAlign w:val="bottom"/>
          </w:tcPr>
          <w:p>
            <w:pPr>
              <w:spacing w:after="0"/>
              <w:rPr>
                <w:sz w:val="23"/>
                <w:szCs w:val="23"/>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7,675</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6,211</w:t>
            </w:r>
          </w:p>
        </w:tc>
        <w:tc>
          <w:tcPr>
            <w:tcW w:w="220" w:type="dxa"/>
            <w:vAlign w:val="bottom"/>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w:t>
            </w:r>
          </w:p>
        </w:tc>
        <w:tc>
          <w:tcPr>
            <w:tcW w:w="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2"/>
        </w:trPr>
        <w:tc>
          <w:tcPr>
            <w:tcW w:w="3000" w:type="dxa"/>
            <w:vAlign w:val="bottom"/>
          </w:tcPr>
          <w:p>
            <w:pPr>
              <w:spacing w:after="0"/>
              <w:rPr>
                <w:sz w:val="20"/>
                <w:szCs w:val="20"/>
                <w:color w:val="auto"/>
              </w:rPr>
            </w:pPr>
            <w:r>
              <w:rPr>
                <w:rFonts w:ascii="Arial" w:cs="Arial" w:eastAsia="Arial" w:hAnsi="Arial"/>
                <w:sz w:val="13"/>
                <w:szCs w:val="13"/>
                <w:color w:val="auto"/>
              </w:rPr>
              <w:t xml:space="preserve">Subordinated Debt </w:t>
            </w:r>
            <w:r>
              <w:rPr>
                <w:rFonts w:ascii="Arial" w:cs="Arial" w:eastAsia="Arial" w:hAnsi="Arial"/>
                <w:sz w:val="20"/>
                <w:szCs w:val="20"/>
                <w:color w:val="auto"/>
                <w:vertAlign w:val="superscript"/>
              </w:rPr>
              <w:t>(16)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655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708</w:t>
            </w:r>
          </w:p>
        </w:tc>
        <w:tc>
          <w:tcPr>
            <w:tcW w:w="700" w:type="dxa"/>
            <w:vAlign w:val="bottom"/>
            <w:gridSpan w:val="3"/>
            <w:vMerge w:val="restart"/>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38"/>
        </w:trPr>
        <w:tc>
          <w:tcPr>
            <w:tcW w:w="3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655</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708</w:t>
            </w:r>
          </w:p>
        </w:tc>
        <w:tc>
          <w:tcPr>
            <w:tcW w:w="220" w:type="dxa"/>
            <w:vAlign w:val="bottom"/>
            <w:vMerge w:val="continue"/>
          </w:tcPr>
          <w:p>
            <w:pPr>
              <w:spacing w:after="0"/>
              <w:rPr>
                <w:sz w:val="11"/>
                <w:szCs w:val="11"/>
                <w:color w:val="auto"/>
              </w:rPr>
            </w:pPr>
          </w:p>
        </w:tc>
        <w:tc>
          <w:tcPr>
            <w:tcW w:w="62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0.5</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ind w:right="67"/>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74,435</w:t>
            </w:r>
          </w:p>
        </w:tc>
        <w:tc>
          <w:tcPr>
            <w:tcW w:w="10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91,355</w:t>
            </w:r>
          </w:p>
        </w:tc>
        <w:tc>
          <w:tcPr>
            <w:tcW w:w="700" w:type="dxa"/>
            <w:vAlign w:val="bottom"/>
            <w:gridSpan w:val="3"/>
          </w:tcPr>
          <w:p>
            <w:pPr>
              <w:jc w:val="right"/>
              <w:spacing w:after="0" w:line="277" w:lineRule="exact"/>
              <w:rPr>
                <w:sz w:val="20"/>
                <w:szCs w:val="20"/>
                <w:color w:val="auto"/>
              </w:rPr>
            </w:pPr>
            <w:r>
              <w:rPr>
                <w:rFonts w:ascii="Arial" w:cs="Arial" w:eastAsia="Arial" w:hAnsi="Arial"/>
                <w:sz w:val="13"/>
                <w:szCs w:val="13"/>
                <w:color w:val="auto"/>
              </w:rPr>
              <w:t>60.2</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3"/>
                <w:szCs w:val="13"/>
                <w:color w:val="auto"/>
              </w:rPr>
              <w:t xml:space="preserve">First Lien Debt (8.0% Cash, Due 6/30/21) </w:t>
            </w:r>
            <w:r>
              <w:rPr>
                <w:rFonts w:ascii="Arial" w:cs="Arial" w:eastAsia="Arial" w:hAnsi="Arial"/>
                <w:sz w:val="20"/>
                <w:szCs w:val="20"/>
                <w:color w:val="auto"/>
                <w:vertAlign w:val="superscript"/>
              </w:rPr>
              <w:t>(12)</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1"/>
        </w:trPr>
        <w:tc>
          <w:tcPr>
            <w:tcW w:w="3000" w:type="dxa"/>
            <w:vAlign w:val="bottom"/>
            <w:vMerge w:val="continue"/>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1,250</w:t>
            </w:r>
          </w:p>
        </w:tc>
        <w:tc>
          <w:tcPr>
            <w:tcW w:w="180" w:type="dxa"/>
            <w:vAlign w:val="bottom"/>
          </w:tcPr>
          <w:p>
            <w:pPr>
              <w:jc w:val="right"/>
              <w:ind w:right="67"/>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1,250</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1,250</w:t>
            </w: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0"/>
                <w:szCs w:val="20"/>
                <w:color w:val="auto"/>
              </w:rPr>
            </w:pPr>
            <w:r>
              <w:rPr>
                <w:rFonts w:ascii="Arial" w:cs="Arial" w:eastAsia="Arial" w:hAnsi="Arial"/>
                <w:sz w:val="13"/>
                <w:szCs w:val="13"/>
                <w:color w:val="auto"/>
              </w:rPr>
              <w:t xml:space="preserve">First Lien Debt (8.0% Cash, Due 6/30/21) </w:t>
            </w:r>
            <w:r>
              <w:rPr>
                <w:rFonts w:ascii="Arial" w:cs="Arial" w:eastAsia="Arial" w:hAnsi="Arial"/>
                <w:sz w:val="20"/>
                <w:szCs w:val="20"/>
                <w:color w:val="auto"/>
                <w:vertAlign w:val="superscript"/>
              </w:rPr>
              <w:t>(7)(12)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3,689</w:t>
            </w:r>
          </w:p>
        </w:tc>
        <w:tc>
          <w:tcPr>
            <w:tcW w:w="1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3,638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1,685</w:t>
            </w: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20"/>
                <w:szCs w:val="20"/>
                <w:color w:val="auto"/>
              </w:rPr>
            </w:pPr>
            <w:r>
              <w:rPr>
                <w:rFonts w:ascii="Arial" w:cs="Arial" w:eastAsia="Arial" w:hAnsi="Arial"/>
                <w:sz w:val="13"/>
                <w:szCs w:val="13"/>
                <w:color w:val="auto"/>
              </w:rPr>
              <w:t>Preferred Units - Series A1 (7,200,000 units)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5,373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3"/>
                <w:szCs w:val="13"/>
                <w:color w:val="auto"/>
              </w:rPr>
              <w:t>Preferred Units - Series A (4,000,000 units)</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2,354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3"/>
                <w:szCs w:val="13"/>
                <w:color w:val="auto"/>
              </w:rPr>
              <w:t>Common Stock (14.9% fully diluted)</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1,394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3"/>
                <w:szCs w:val="13"/>
                <w:color w:val="auto"/>
              </w:rPr>
              <w:t>Common Stock Warrants (40.0% fully diluted)</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14,009</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2,935</w:t>
            </w:r>
          </w:p>
        </w:tc>
        <w:tc>
          <w:tcPr>
            <w:tcW w:w="220" w:type="dxa"/>
            <w:vAlign w:val="bottom"/>
          </w:tcPr>
          <w:p>
            <w:pPr>
              <w:spacing w:after="0"/>
              <w:rPr>
                <w:sz w:val="11"/>
                <w:szCs w:val="11"/>
                <w:color w:val="auto"/>
              </w:rPr>
            </w:pPr>
          </w:p>
        </w:tc>
        <w:tc>
          <w:tcPr>
            <w:tcW w:w="62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1.9</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-5504815</wp:posOffset>
            </wp:positionV>
            <wp:extent cx="7246620" cy="111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-5256530</wp:posOffset>
            </wp:positionV>
            <wp:extent cx="7246620" cy="111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-5007610</wp:posOffset>
            </wp:positionV>
            <wp:extent cx="7246620" cy="111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-4810125</wp:posOffset>
            </wp:positionV>
            <wp:extent cx="7246620" cy="85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-4630420</wp:posOffset>
            </wp:positionV>
            <wp:extent cx="724662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-4441825</wp:posOffset>
            </wp:positionV>
            <wp:extent cx="7246620" cy="111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-4244340</wp:posOffset>
            </wp:positionV>
            <wp:extent cx="7246620" cy="197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-3961130</wp:posOffset>
            </wp:positionV>
            <wp:extent cx="7246620" cy="85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-3781425</wp:posOffset>
            </wp:positionV>
            <wp:extent cx="724662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-3592830</wp:posOffset>
            </wp:positionV>
            <wp:extent cx="7246620" cy="111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-3395345</wp:posOffset>
            </wp:positionV>
            <wp:extent cx="7246620" cy="111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-3189605</wp:posOffset>
            </wp:positionV>
            <wp:extent cx="724662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-3001010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-2743835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-2477770</wp:posOffset>
            </wp:positionV>
            <wp:extent cx="724662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-2289175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-2023110</wp:posOffset>
            </wp:positionV>
            <wp:extent cx="72466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-1834515</wp:posOffset>
            </wp:positionV>
            <wp:extent cx="724662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-1534160</wp:posOffset>
            </wp:positionV>
            <wp:extent cx="7246620" cy="85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-1362710</wp:posOffset>
            </wp:positionV>
            <wp:extent cx="7246620" cy="85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-1191260</wp:posOffset>
            </wp:positionV>
            <wp:extent cx="7246620" cy="111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-994410</wp:posOffset>
            </wp:positionV>
            <wp:extent cx="7246620" cy="111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-796925</wp:posOffset>
            </wp:positionV>
            <wp:extent cx="7246620" cy="85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-625475</wp:posOffset>
            </wp:positionV>
            <wp:extent cx="7246620" cy="85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-454025</wp:posOffset>
            </wp:positionV>
            <wp:extent cx="7246620" cy="85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-282575</wp:posOffset>
            </wp:positionV>
            <wp:extent cx="7246620" cy="85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-102235</wp:posOffset>
            </wp:positionV>
            <wp:extent cx="724662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200"/>
            <w:col w:w="6880"/>
          </w:cols>
          <w:pgMar w:left="240" w:top="904" w:right="2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904" w:right="239" w:bottom="1440" w:gutter="0" w:footer="0" w:header="0"/>
        </w:sect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2"/>
              </w:rPr>
              <w:t xml:space="preserve">Portfolio Company, Country </w:t>
            </w:r>
            <w:r>
              <w:rPr>
                <w:rFonts w:ascii="Arial" w:cs="Arial" w:eastAsia="Arial" w:hAnsi="Arial"/>
                <w:sz w:val="20"/>
                <w:szCs w:val="20"/>
                <w:b w:val="1"/>
                <w:bCs w:val="1"/>
                <w:color w:val="auto"/>
                <w:w w:val="82"/>
                <w:vertAlign w:val="superscript"/>
              </w:rPr>
              <w:t>(1)</w:t>
            </w:r>
            <w:r>
              <w:rPr>
                <w:rFonts w:ascii="Arial" w:cs="Arial" w:eastAsia="Arial" w:hAnsi="Arial"/>
                <w:sz w:val="20"/>
                <w:szCs w:val="20"/>
                <w:b w:val="1"/>
                <w:bCs w:val="1"/>
                <w:u w:val="single" w:color="auto"/>
                <w:color w:val="auto"/>
                <w:w w:val="82"/>
                <w:vertAlign w:val="superscript"/>
              </w:rPr>
              <w:t>,</w:t>
            </w:r>
            <w:r>
              <w:rPr>
                <w:rFonts w:ascii="Arial" w:cs="Arial" w:eastAsia="Arial" w:hAnsi="Arial"/>
                <w:sz w:val="13"/>
                <w:szCs w:val="13"/>
                <w:b w:val="1"/>
                <w:bCs w:val="1"/>
                <w:color w:val="auto"/>
                <w:w w:val="82"/>
              </w:rPr>
              <w:t xml:space="preserve"> </w:t>
            </w:r>
            <w:r>
              <w:rPr>
                <w:rFonts w:ascii="Arial" w:cs="Arial" w:eastAsia="Arial" w:hAnsi="Arial"/>
                <w:sz w:val="20"/>
                <w:szCs w:val="20"/>
                <w:b w:val="1"/>
                <w:bCs w:val="1"/>
                <w:color w:val="auto"/>
                <w:w w:val="82"/>
                <w:vertAlign w:val="superscript"/>
              </w:rPr>
              <w:t>(2), (3), (4), (5)</w:t>
            </w:r>
          </w:p>
        </w:tc>
        <w:tc>
          <w:tcPr>
            <w:tcW w:w="180" w:type="dxa"/>
            <w:vAlign w:val="bottom"/>
          </w:tcPr>
          <w:p>
            <w:pPr>
              <w:spacing w:after="0"/>
              <w:rPr>
                <w:sz w:val="19"/>
                <w:szCs w:val="19"/>
                <w:color w:val="auto"/>
              </w:rPr>
            </w:pPr>
          </w:p>
        </w:tc>
        <w:tc>
          <w:tcPr>
            <w:tcW w:w="172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Industry</w:t>
            </w:r>
          </w:p>
        </w:tc>
      </w:tr>
      <w:tr>
        <w:trPr>
          <w:trHeight w:val="154"/>
        </w:trPr>
        <w:tc>
          <w:tcPr>
            <w:tcW w:w="20" w:type="dxa"/>
            <w:vAlign w:val="bottom"/>
          </w:tcPr>
          <w:p>
            <w:pPr>
              <w:spacing w:after="0"/>
              <w:rPr>
                <w:sz w:val="13"/>
                <w:szCs w:val="13"/>
                <w:color w:val="auto"/>
              </w:rPr>
            </w:pPr>
          </w:p>
        </w:tc>
        <w:tc>
          <w:tcPr>
            <w:tcW w:w="2400" w:type="dxa"/>
            <w:vAlign w:val="bottom"/>
          </w:tcPr>
          <w:p>
            <w:pPr>
              <w:spacing w:after="0"/>
              <w:rPr>
                <w:sz w:val="20"/>
                <w:szCs w:val="20"/>
                <w:color w:val="auto"/>
              </w:rPr>
            </w:pPr>
            <w:r>
              <w:rPr>
                <w:rFonts w:ascii="Arial" w:cs="Arial" w:eastAsia="Arial" w:hAnsi="Arial"/>
                <w:sz w:val="13"/>
                <w:szCs w:val="13"/>
                <w:color w:val="auto"/>
              </w:rPr>
              <w:t>Capitala Senior Loan Fund II, LLC</w:t>
            </w:r>
          </w:p>
        </w:tc>
        <w:tc>
          <w:tcPr>
            <w:tcW w:w="180" w:type="dxa"/>
            <w:vAlign w:val="bottom"/>
          </w:tcPr>
          <w:p>
            <w:pPr>
              <w:spacing w:after="0"/>
              <w:rPr>
                <w:sz w:val="13"/>
                <w:szCs w:val="13"/>
                <w:color w:val="auto"/>
              </w:rPr>
            </w:pPr>
          </w:p>
        </w:tc>
        <w:tc>
          <w:tcPr>
            <w:tcW w:w="1720" w:type="dxa"/>
            <w:vAlign w:val="bottom"/>
          </w:tcPr>
          <w:p>
            <w:pPr>
              <w:spacing w:after="0"/>
              <w:rPr>
                <w:sz w:val="20"/>
                <w:szCs w:val="20"/>
                <w:color w:val="auto"/>
              </w:rPr>
            </w:pPr>
            <w:r>
              <w:rPr>
                <w:rFonts w:ascii="Arial" w:cs="Arial" w:eastAsia="Arial" w:hAnsi="Arial"/>
                <w:sz w:val="13"/>
                <w:szCs w:val="13"/>
                <w:color w:val="auto"/>
              </w:rPr>
              <w:t>Investment Funds</w:t>
            </w:r>
          </w:p>
        </w:tc>
      </w:tr>
      <w:tr>
        <w:trPr>
          <w:trHeight w:val="296"/>
        </w:trPr>
        <w:tc>
          <w:tcPr>
            <w:tcW w:w="2420" w:type="dxa"/>
            <w:vAlign w:val="bottom"/>
            <w:gridSpan w:val="2"/>
          </w:tcPr>
          <w:p>
            <w:pPr>
              <w:spacing w:after="0"/>
              <w:rPr>
                <w:sz w:val="20"/>
                <w:szCs w:val="20"/>
                <w:color w:val="auto"/>
              </w:rPr>
            </w:pPr>
            <w:r>
              <w:rPr>
                <w:rFonts w:ascii="Arial" w:cs="Arial" w:eastAsia="Arial" w:hAnsi="Arial"/>
                <w:sz w:val="13"/>
                <w:szCs w:val="13"/>
                <w:color w:val="auto"/>
              </w:rPr>
              <w:t>Capitala Senior Loan Fund II, LLC</w:t>
            </w:r>
          </w:p>
        </w:tc>
        <w:tc>
          <w:tcPr>
            <w:tcW w:w="1900" w:type="dxa"/>
            <w:vAlign w:val="bottom"/>
            <w:gridSpan w:val="2"/>
          </w:tcPr>
          <w:p>
            <w:pPr>
              <w:ind w:left="180"/>
              <w:spacing w:after="0"/>
              <w:rPr>
                <w:sz w:val="20"/>
                <w:szCs w:val="20"/>
                <w:color w:val="auto"/>
              </w:rPr>
            </w:pPr>
            <w:r>
              <w:rPr>
                <w:rFonts w:ascii="Arial" w:cs="Arial" w:eastAsia="Arial" w:hAnsi="Arial"/>
                <w:sz w:val="13"/>
                <w:szCs w:val="13"/>
                <w:color w:val="auto"/>
              </w:rPr>
              <w:t>Investment Funds</w:t>
            </w:r>
          </w:p>
        </w:tc>
      </w:tr>
      <w:tr>
        <w:trPr>
          <w:trHeight w:val="731"/>
        </w:trPr>
        <w:tc>
          <w:tcPr>
            <w:tcW w:w="2420" w:type="dxa"/>
            <w:vAlign w:val="bottom"/>
            <w:gridSpan w:val="2"/>
          </w:tcPr>
          <w:p>
            <w:pPr>
              <w:spacing w:after="0"/>
              <w:rPr>
                <w:sz w:val="20"/>
                <w:szCs w:val="20"/>
                <w:color w:val="auto"/>
              </w:rPr>
            </w:pPr>
            <w:r>
              <w:rPr>
                <w:rFonts w:ascii="Arial" w:cs="Arial" w:eastAsia="Arial" w:hAnsi="Arial"/>
                <w:sz w:val="13"/>
                <w:szCs w:val="13"/>
                <w:color w:val="auto"/>
              </w:rPr>
              <w:t>Portrait Studio, LLC</w:t>
            </w:r>
          </w:p>
        </w:tc>
        <w:tc>
          <w:tcPr>
            <w:tcW w:w="1900" w:type="dxa"/>
            <w:vAlign w:val="bottom"/>
            <w:gridSpan w:val="2"/>
          </w:tcPr>
          <w:p>
            <w:pPr>
              <w:ind w:left="180"/>
              <w:spacing w:after="0"/>
              <w:rPr>
                <w:sz w:val="20"/>
                <w:szCs w:val="20"/>
                <w:color w:val="auto"/>
              </w:rPr>
            </w:pPr>
            <w:r>
              <w:rPr>
                <w:rFonts w:ascii="Arial" w:cs="Arial" w:eastAsia="Arial" w:hAnsi="Arial"/>
                <w:sz w:val="13"/>
                <w:szCs w:val="13"/>
                <w:color w:val="auto"/>
                <w:w w:val="88"/>
              </w:rPr>
              <w:t>Professional and Personal Digital</w:t>
            </w:r>
          </w:p>
        </w:tc>
      </w:tr>
      <w:tr>
        <w:trPr>
          <w:trHeight w:val="16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00" w:type="dxa"/>
            <w:vAlign w:val="bottom"/>
            <w:gridSpan w:val="2"/>
          </w:tcPr>
          <w:p>
            <w:pPr>
              <w:ind w:left="180"/>
              <w:spacing w:after="0"/>
              <w:rPr>
                <w:sz w:val="20"/>
                <w:szCs w:val="20"/>
                <w:color w:val="auto"/>
              </w:rPr>
            </w:pPr>
            <w:r>
              <w:rPr>
                <w:rFonts w:ascii="Arial" w:cs="Arial" w:eastAsia="Arial" w:hAnsi="Arial"/>
                <w:sz w:val="13"/>
                <w:szCs w:val="13"/>
                <w:color w:val="auto"/>
              </w:rPr>
              <w:t>Imaging</w:t>
            </w:r>
          </w:p>
        </w:tc>
      </w:tr>
      <w:tr>
        <w:trPr>
          <w:trHeight w:val="285"/>
        </w:trPr>
        <w:tc>
          <w:tcPr>
            <w:tcW w:w="2420" w:type="dxa"/>
            <w:vAlign w:val="bottom"/>
            <w:gridSpan w:val="2"/>
          </w:tcPr>
          <w:p>
            <w:pPr>
              <w:spacing w:after="0"/>
              <w:rPr>
                <w:sz w:val="20"/>
                <w:szCs w:val="20"/>
                <w:color w:val="auto"/>
              </w:rPr>
            </w:pPr>
            <w:r>
              <w:rPr>
                <w:rFonts w:ascii="Arial" w:cs="Arial" w:eastAsia="Arial" w:hAnsi="Arial"/>
                <w:sz w:val="13"/>
                <w:szCs w:val="13"/>
                <w:color w:val="auto"/>
              </w:rPr>
              <w:t>Portrait Studio, LLC</w:t>
            </w:r>
          </w:p>
        </w:tc>
        <w:tc>
          <w:tcPr>
            <w:tcW w:w="1900" w:type="dxa"/>
            <w:vAlign w:val="bottom"/>
            <w:gridSpan w:val="2"/>
          </w:tcPr>
          <w:p>
            <w:pPr>
              <w:ind w:left="180"/>
              <w:spacing w:after="0"/>
              <w:rPr>
                <w:sz w:val="20"/>
                <w:szCs w:val="20"/>
                <w:color w:val="auto"/>
              </w:rPr>
            </w:pPr>
            <w:r>
              <w:rPr>
                <w:rFonts w:ascii="Arial" w:cs="Arial" w:eastAsia="Arial" w:hAnsi="Arial"/>
                <w:sz w:val="13"/>
                <w:szCs w:val="13"/>
                <w:color w:val="auto"/>
                <w:w w:val="88"/>
              </w:rPr>
              <w:t>Professional and Personal Digital</w:t>
            </w:r>
          </w:p>
        </w:tc>
      </w:tr>
      <w:tr>
        <w:trPr>
          <w:trHeight w:val="16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00" w:type="dxa"/>
            <w:vAlign w:val="bottom"/>
            <w:gridSpan w:val="2"/>
          </w:tcPr>
          <w:p>
            <w:pPr>
              <w:ind w:left="180"/>
              <w:spacing w:after="0"/>
              <w:rPr>
                <w:sz w:val="20"/>
                <w:szCs w:val="20"/>
                <w:color w:val="auto"/>
              </w:rPr>
            </w:pPr>
            <w:r>
              <w:rPr>
                <w:rFonts w:ascii="Arial" w:cs="Arial" w:eastAsia="Arial" w:hAnsi="Arial"/>
                <w:sz w:val="13"/>
                <w:szCs w:val="13"/>
                <w:color w:val="auto"/>
              </w:rPr>
              <w:t>Imaging</w:t>
            </w:r>
          </w:p>
        </w:tc>
      </w:tr>
      <w:tr>
        <w:trPr>
          <w:trHeight w:val="285"/>
        </w:trPr>
        <w:tc>
          <w:tcPr>
            <w:tcW w:w="2420" w:type="dxa"/>
            <w:vAlign w:val="bottom"/>
            <w:gridSpan w:val="2"/>
          </w:tcPr>
          <w:p>
            <w:pPr>
              <w:spacing w:after="0"/>
              <w:rPr>
                <w:sz w:val="20"/>
                <w:szCs w:val="20"/>
                <w:color w:val="auto"/>
              </w:rPr>
            </w:pPr>
            <w:r>
              <w:rPr>
                <w:rFonts w:ascii="Arial" w:cs="Arial" w:eastAsia="Arial" w:hAnsi="Arial"/>
                <w:sz w:val="13"/>
                <w:szCs w:val="13"/>
                <w:color w:val="auto"/>
              </w:rPr>
              <w:t>Portrait Studio, LLC</w:t>
            </w:r>
          </w:p>
        </w:tc>
        <w:tc>
          <w:tcPr>
            <w:tcW w:w="1900" w:type="dxa"/>
            <w:vAlign w:val="bottom"/>
            <w:gridSpan w:val="2"/>
          </w:tcPr>
          <w:p>
            <w:pPr>
              <w:ind w:left="180"/>
              <w:spacing w:after="0"/>
              <w:rPr>
                <w:sz w:val="20"/>
                <w:szCs w:val="20"/>
                <w:color w:val="auto"/>
              </w:rPr>
            </w:pPr>
            <w:r>
              <w:rPr>
                <w:rFonts w:ascii="Arial" w:cs="Arial" w:eastAsia="Arial" w:hAnsi="Arial"/>
                <w:sz w:val="13"/>
                <w:szCs w:val="13"/>
                <w:color w:val="auto"/>
                <w:w w:val="88"/>
              </w:rPr>
              <w:t>Professional and Personal Digital</w:t>
            </w:r>
          </w:p>
        </w:tc>
      </w:tr>
      <w:tr>
        <w:trPr>
          <w:trHeight w:val="16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00" w:type="dxa"/>
            <w:vAlign w:val="bottom"/>
            <w:gridSpan w:val="2"/>
          </w:tcPr>
          <w:p>
            <w:pPr>
              <w:ind w:left="180"/>
              <w:spacing w:after="0"/>
              <w:rPr>
                <w:sz w:val="20"/>
                <w:szCs w:val="20"/>
                <w:color w:val="auto"/>
              </w:rPr>
            </w:pPr>
            <w:r>
              <w:rPr>
                <w:rFonts w:ascii="Arial" w:cs="Arial" w:eastAsia="Arial" w:hAnsi="Arial"/>
                <w:sz w:val="13"/>
                <w:szCs w:val="13"/>
                <w:color w:val="auto"/>
              </w:rPr>
              <w:t>Imaging</w:t>
            </w:r>
          </w:p>
        </w:tc>
      </w:tr>
      <w:tr>
        <w:trPr>
          <w:trHeight w:val="245"/>
        </w:trPr>
        <w:tc>
          <w:tcPr>
            <w:tcW w:w="2420" w:type="dxa"/>
            <w:vAlign w:val="bottom"/>
            <w:gridSpan w:val="2"/>
          </w:tcPr>
          <w:p>
            <w:pPr>
              <w:spacing w:after="0"/>
              <w:rPr>
                <w:sz w:val="20"/>
                <w:szCs w:val="20"/>
                <w:color w:val="auto"/>
              </w:rPr>
            </w:pPr>
            <w:r>
              <w:rPr>
                <w:rFonts w:ascii="Arial" w:cs="Arial" w:eastAsia="Arial" w:hAnsi="Arial"/>
                <w:sz w:val="13"/>
                <w:szCs w:val="13"/>
                <w:color w:val="auto"/>
              </w:rPr>
              <w:t>Portrait Studio, LLC</w:t>
            </w:r>
          </w:p>
        </w:tc>
        <w:tc>
          <w:tcPr>
            <w:tcW w:w="1900" w:type="dxa"/>
            <w:vAlign w:val="bottom"/>
            <w:gridSpan w:val="2"/>
          </w:tcPr>
          <w:p>
            <w:pPr>
              <w:ind w:left="180"/>
              <w:spacing w:after="0"/>
              <w:rPr>
                <w:sz w:val="20"/>
                <w:szCs w:val="20"/>
                <w:color w:val="auto"/>
              </w:rPr>
            </w:pPr>
            <w:r>
              <w:rPr>
                <w:rFonts w:ascii="Arial" w:cs="Arial" w:eastAsia="Arial" w:hAnsi="Arial"/>
                <w:sz w:val="13"/>
                <w:szCs w:val="13"/>
                <w:color w:val="auto"/>
                <w:w w:val="88"/>
              </w:rPr>
              <w:t>Professional and Personal Digital</w:t>
            </w:r>
          </w:p>
        </w:tc>
      </w:tr>
      <w:tr>
        <w:trPr>
          <w:trHeight w:val="16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00" w:type="dxa"/>
            <w:vAlign w:val="bottom"/>
            <w:gridSpan w:val="2"/>
          </w:tcPr>
          <w:p>
            <w:pPr>
              <w:ind w:left="180"/>
              <w:spacing w:after="0"/>
              <w:rPr>
                <w:sz w:val="20"/>
                <w:szCs w:val="20"/>
                <w:color w:val="auto"/>
              </w:rPr>
            </w:pPr>
            <w:r>
              <w:rPr>
                <w:rFonts w:ascii="Arial" w:cs="Arial" w:eastAsia="Arial" w:hAnsi="Arial"/>
                <w:sz w:val="13"/>
                <w:szCs w:val="13"/>
                <w:color w:val="auto"/>
              </w:rPr>
              <w:t>Imaging</w:t>
            </w: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w w:val="90"/>
              </w:rPr>
              <w:t>Principal</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3"/>
          </w:tcPr>
          <w:p>
            <w:pPr>
              <w:jc w:val="right"/>
              <w:ind w:right="213"/>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8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Type of Investment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0"/>
              </w:rPr>
              <w:t>Fair Value</w:t>
            </w:r>
          </w:p>
        </w:tc>
        <w:tc>
          <w:tcPr>
            <w:tcW w:w="22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0"/>
              </w:rPr>
              <w:t>Net Assets</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 xml:space="preserve">Membership Units (80.0% ownership) </w:t>
            </w:r>
            <w:r>
              <w:rPr>
                <w:rFonts w:ascii="Arial" w:cs="Arial" w:eastAsia="Arial" w:hAnsi="Arial"/>
                <w:sz w:val="20"/>
                <w:szCs w:val="20"/>
                <w:color w:val="auto"/>
                <w:vertAlign w:val="superscript"/>
              </w:rPr>
              <w:t>(8)(17)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13,600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13,658</w:t>
            </w: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67"/>
        </w:trPr>
        <w:tc>
          <w:tcPr>
            <w:tcW w:w="3200" w:type="dxa"/>
            <w:vAlign w:val="bottom"/>
            <w:gridSpan w:val="3"/>
          </w:tcPr>
          <w:p>
            <w:pPr>
              <w:spacing w:after="0"/>
              <w:rPr>
                <w:sz w:val="20"/>
                <w:szCs w:val="20"/>
                <w:color w:val="auto"/>
              </w:rPr>
            </w:pPr>
            <w:r>
              <w:rPr>
                <w:rFonts w:ascii="Arial" w:cs="Arial" w:eastAsia="Arial" w:hAnsi="Arial"/>
                <w:sz w:val="13"/>
                <w:szCs w:val="13"/>
                <w:color w:val="auto"/>
                <w:w w:val="96"/>
              </w:rPr>
              <w:t>Subordinated Debt (7.0% Cash (1 month LIBOR + 5.0%),</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200" w:type="dxa"/>
            <w:vAlign w:val="bottom"/>
            <w:gridSpan w:val="3"/>
          </w:tcPr>
          <w:p>
            <w:pPr>
              <w:spacing w:after="0"/>
              <w:rPr>
                <w:sz w:val="20"/>
                <w:szCs w:val="20"/>
                <w:color w:val="auto"/>
              </w:rPr>
            </w:pPr>
            <w:r>
              <w:rPr>
                <w:rFonts w:ascii="Arial" w:cs="Arial" w:eastAsia="Arial" w:hAnsi="Arial"/>
                <w:sz w:val="13"/>
                <w:szCs w:val="13"/>
                <w:color w:val="auto"/>
              </w:rPr>
              <w:t xml:space="preserve">Due 9/3/24) </w:t>
            </w:r>
            <w:r>
              <w:rPr>
                <w:rFonts w:ascii="Arial" w:cs="Arial" w:eastAsia="Arial" w:hAnsi="Arial"/>
                <w:sz w:val="20"/>
                <w:szCs w:val="20"/>
                <w:color w:val="auto"/>
                <w:vertAlign w:val="superscript"/>
              </w:rPr>
              <w:t>(18)</w:t>
            </w: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600" w:type="dxa"/>
            <w:vAlign w:val="bottom"/>
            <w:tcBorders>
              <w:bottom w:val="single" w:sz="8" w:color="auto"/>
            </w:tcBorders>
            <w:gridSpan w:val="2"/>
          </w:tcPr>
          <w:p>
            <w:pPr>
              <w:spacing w:after="0"/>
              <w:rPr>
                <w:sz w:val="5"/>
                <w:szCs w:val="5"/>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13,600</w:t>
            </w:r>
          </w:p>
        </w:tc>
        <w:tc>
          <w:tcPr>
            <w:tcW w:w="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13,658</w:t>
            </w:r>
          </w:p>
        </w:tc>
        <w:tc>
          <w:tcPr>
            <w:tcW w:w="220" w:type="dxa"/>
            <w:vAlign w:val="bottom"/>
            <w:vMerge w:val="continue"/>
          </w:tcPr>
          <w:p>
            <w:pPr>
              <w:spacing w:after="0"/>
              <w:rPr>
                <w:sz w:val="11"/>
                <w:szCs w:val="11"/>
                <w:color w:val="auto"/>
              </w:rPr>
            </w:pPr>
          </w:p>
        </w:tc>
        <w:tc>
          <w:tcPr>
            <w:tcW w:w="60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9.0</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3200" w:type="dxa"/>
            <w:vAlign w:val="bottom"/>
            <w:gridSpan w:val="3"/>
          </w:tcPr>
          <w:p>
            <w:pPr>
              <w:spacing w:after="0"/>
              <w:rPr>
                <w:sz w:val="20"/>
                <w:szCs w:val="20"/>
                <w:color w:val="auto"/>
              </w:rPr>
            </w:pPr>
            <w:r>
              <w:rPr>
                <w:rFonts w:ascii="Arial" w:cs="Arial" w:eastAsia="Arial" w:hAnsi="Arial"/>
                <w:sz w:val="13"/>
                <w:szCs w:val="13"/>
                <w:color w:val="auto"/>
              </w:rPr>
              <w:t>First Lien Debt (9.0% Cash (1 month LIBOR + 7.0%,</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200" w:type="dxa"/>
            <w:vAlign w:val="bottom"/>
            <w:gridSpan w:val="3"/>
          </w:tcPr>
          <w:p>
            <w:pPr>
              <w:spacing w:after="0"/>
              <w:rPr>
                <w:sz w:val="20"/>
                <w:szCs w:val="20"/>
                <w:color w:val="auto"/>
              </w:rPr>
            </w:pPr>
            <w:r>
              <w:rPr>
                <w:rFonts w:ascii="Arial" w:cs="Arial" w:eastAsia="Arial" w:hAnsi="Arial"/>
                <w:sz w:val="13"/>
                <w:szCs w:val="13"/>
                <w:color w:val="auto"/>
              </w:rPr>
              <w:t xml:space="preserve">1.0% Floor, 2.0% Ceiling), Due 12/31/22) </w:t>
            </w:r>
            <w:r>
              <w:rPr>
                <w:rFonts w:ascii="Arial" w:cs="Arial" w:eastAsia="Arial" w:hAnsi="Arial"/>
                <w:sz w:val="20"/>
                <w:szCs w:val="20"/>
                <w:color w:val="auto"/>
                <w:vertAlign w:val="superscript"/>
              </w:rPr>
              <w:t>(19)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2,280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2,280</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2,280</w:t>
            </w: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4"/>
        </w:trPr>
        <w:tc>
          <w:tcPr>
            <w:tcW w:w="3200" w:type="dxa"/>
            <w:vAlign w:val="bottom"/>
            <w:gridSpan w:val="3"/>
          </w:tcPr>
          <w:p>
            <w:pPr>
              <w:spacing w:after="0"/>
              <w:rPr>
                <w:sz w:val="20"/>
                <w:szCs w:val="20"/>
                <w:color w:val="auto"/>
              </w:rPr>
            </w:pPr>
            <w:r>
              <w:rPr>
                <w:rFonts w:ascii="Arial" w:cs="Arial" w:eastAsia="Arial" w:hAnsi="Arial"/>
                <w:sz w:val="13"/>
                <w:szCs w:val="13"/>
                <w:color w:val="auto"/>
              </w:rPr>
              <w:t>First Lien Debt (9.1% Cash (1 month LIBOR + 7.0%,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3200" w:type="dxa"/>
            <w:vAlign w:val="bottom"/>
            <w:gridSpan w:val="3"/>
          </w:tcPr>
          <w:p>
            <w:pPr>
              <w:spacing w:after="0"/>
              <w:rPr>
                <w:sz w:val="20"/>
                <w:szCs w:val="20"/>
                <w:color w:val="auto"/>
              </w:rPr>
            </w:pPr>
            <w:r>
              <w:rPr>
                <w:rFonts w:ascii="Arial" w:cs="Arial" w:eastAsia="Arial" w:hAnsi="Arial"/>
                <w:sz w:val="13"/>
                <w:szCs w:val="13"/>
                <w:color w:val="auto"/>
              </w:rPr>
              <w:t xml:space="preserve">1.0% Floor, 5.0% Ceiling), Due 12/31/22) </w:t>
            </w:r>
            <w:r>
              <w:rPr>
                <w:rFonts w:ascii="Arial" w:cs="Arial" w:eastAsia="Arial" w:hAnsi="Arial"/>
                <w:sz w:val="20"/>
                <w:szCs w:val="20"/>
                <w:color w:val="auto"/>
                <w:vertAlign w:val="superscript"/>
              </w:rPr>
              <w:t>(7)</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4,500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4,320</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1,376</w:t>
            </w: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92"/>
        </w:trPr>
        <w:tc>
          <w:tcPr>
            <w:tcW w:w="3200" w:type="dxa"/>
            <w:vAlign w:val="bottom"/>
            <w:gridSpan w:val="3"/>
          </w:tcPr>
          <w:p>
            <w:pPr>
              <w:spacing w:after="0"/>
              <w:rPr>
                <w:sz w:val="20"/>
                <w:szCs w:val="20"/>
                <w:color w:val="auto"/>
              </w:rPr>
            </w:pPr>
            <w:r>
              <w:rPr>
                <w:rFonts w:ascii="Arial" w:cs="Arial" w:eastAsia="Arial" w:hAnsi="Arial"/>
                <w:sz w:val="13"/>
                <w:szCs w:val="13"/>
                <w:color w:val="auto"/>
              </w:rPr>
              <w:t>Preferred Units (4,350,000 Units)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2,450</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3"/>
            <w:vMerge w:val="restart"/>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200" w:type="dxa"/>
            <w:vAlign w:val="bottom"/>
            <w:gridSpan w:val="3"/>
          </w:tcPr>
          <w:p>
            <w:pPr>
              <w:spacing w:after="0"/>
              <w:rPr>
                <w:sz w:val="20"/>
                <w:szCs w:val="20"/>
                <w:color w:val="auto"/>
              </w:rPr>
            </w:pPr>
            <w:r>
              <w:rPr>
                <w:rFonts w:ascii="Arial" w:cs="Arial" w:eastAsia="Arial" w:hAnsi="Arial"/>
                <w:sz w:val="13"/>
                <w:szCs w:val="13"/>
                <w:color w:val="auto"/>
              </w:rPr>
              <w:t>Membership Units (150,000 Units)</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3"/>
            <w:vMerge w:val="restart"/>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-1687195</wp:posOffset>
            </wp:positionV>
            <wp:extent cx="7246620"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-1481455</wp:posOffset>
            </wp:positionV>
            <wp:extent cx="7246620" cy="1974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-1189990</wp:posOffset>
            </wp:positionV>
            <wp:extent cx="724662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-1001395</wp:posOffset>
            </wp:positionV>
            <wp:extent cx="7246620" cy="1974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-718185</wp:posOffset>
            </wp:positionV>
            <wp:extent cx="7246620" cy="197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-434975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-177800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4320" w:space="220"/>
            <w:col w:w="688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7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9,050</w:t>
            </w: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3,656</w:t>
            </w:r>
          </w:p>
        </w:tc>
        <w:tc>
          <w:tcPr>
            <w:tcW w:w="2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7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700" w:type="dxa"/>
            <w:vAlign w:val="bottom"/>
            <w:shd w:val="clear" w:color="auto" w:fill="CCEEFF"/>
          </w:tcPr>
          <w:p>
            <w:pPr>
              <w:spacing w:after="0" w:line="97" w:lineRule="exact"/>
              <w:rPr>
                <w:sz w:val="20"/>
                <w:szCs w:val="20"/>
                <w:color w:val="auto"/>
              </w:rPr>
            </w:pPr>
            <w:r>
              <w:rPr>
                <w:rFonts w:ascii="Arial" w:cs="Arial" w:eastAsia="Arial" w:hAnsi="Arial"/>
                <w:sz w:val="11"/>
                <w:szCs w:val="11"/>
                <w:b w:val="1"/>
                <w:bCs w:val="1"/>
                <w:color w:val="auto"/>
              </w:rPr>
              <w:t>Sub Total Control investments - United</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States</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36,659</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20,249</w:t>
            </w:r>
          </w:p>
        </w:tc>
        <w:tc>
          <w:tcPr>
            <w:tcW w:w="7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1"/>
                <w:szCs w:val="11"/>
                <w:color w:val="auto"/>
              </w:rPr>
              <w:t>13.3</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8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- 244.5%</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359,573</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371,351</w:t>
            </w:r>
          </w:p>
        </w:tc>
        <w:tc>
          <w:tcPr>
            <w:tcW w:w="7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0"/>
                <w:szCs w:val="10"/>
                <w:b w:val="1"/>
                <w:bCs w:val="1"/>
                <w:color w:val="auto"/>
              </w:rPr>
              <w:t>244.5</w:t>
            </w:r>
            <w:r>
              <w:rPr>
                <w:rFonts w:ascii="Arial" w:cs="Arial" w:eastAsia="Arial" w:hAnsi="Arial"/>
                <w:sz w:val="18"/>
                <w:szCs w:val="18"/>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 investments valued using unobservable inputs (Level 3), unless otherwise noted.</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 investments valued by the Board of Directors.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 debt investments are income producing, unless otherwise noted. Equity and warrant investments are non-income producing, unless otherwise noted.</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Percentages are based on net assets of $151,881 as of September 30, 2019.</w:t>
      </w:r>
    </w:p>
    <w:p>
      <w:pPr>
        <w:ind w:left="460" w:right="12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Capitala Finance Corp.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Security Act.</w:t>
      </w:r>
    </w:p>
    <w:p>
      <w:pPr>
        <w:spacing w:after="0" w:line="1" w:lineRule="exact"/>
        <w:rPr>
          <w:rFonts w:ascii="Arial" w:cs="Arial" w:eastAsia="Arial" w:hAnsi="Arial"/>
          <w:sz w:val="13"/>
          <w:szCs w:val="13"/>
          <w:color w:val="auto"/>
        </w:rPr>
      </w:pP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cash rate equals the approximate current yield on our last-out portion of the unitranche facility.</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Non-accrual investment.</w:t>
      </w:r>
    </w:p>
    <w:p>
      <w:pPr>
        <w:ind w:left="460" w:right="560" w:hanging="452"/>
        <w:spacing w:after="0" w:line="256" w:lineRule="auto"/>
        <w:tabs>
          <w:tab w:leader="none" w:pos="46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September 30, 2019, 8.0% of the Company's total assets were non-qualifying assets.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investment has a $1.0 million unfunded commitment.</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investment has a $0.7 million unfunded commitment.</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equity investment is income producing, based on rate disclosed.</w:t>
      </w: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maturity date of the original investment has been extended.</w:t>
      </w:r>
    </w:p>
    <w:p>
      <w:pPr>
        <w:ind w:left="460" w:hanging="452"/>
        <w:spacing w:after="0" w:line="182" w:lineRule="auto"/>
        <w:tabs>
          <w:tab w:leader="none" w:pos="460" w:val="left"/>
        </w:tabs>
        <w:numPr>
          <w:ilvl w:val="0"/>
          <w:numId w:val="3"/>
        </w:numPr>
        <w:rPr>
          <w:rFonts w:ascii="Arial" w:cs="Arial" w:eastAsia="Arial" w:hAnsi="Arial"/>
          <w:sz w:val="23"/>
          <w:szCs w:val="23"/>
          <w:color w:val="auto"/>
          <w:vertAlign w:val="superscript"/>
        </w:rPr>
      </w:pPr>
      <w:r>
        <w:rPr>
          <w:rFonts w:ascii="Arial" w:cs="Arial" w:eastAsia="Arial" w:hAnsi="Arial"/>
          <w:sz w:val="12"/>
          <w:szCs w:val="12"/>
          <w:color w:val="auto"/>
        </w:rPr>
        <w:t>The company may elect to have 1.5% of its cash interest capitalized as paid-in-kind interest</w:t>
      </w:r>
      <w:r>
        <w:rPr>
          <w:rFonts w:ascii="Arial" w:cs="Arial" w:eastAsia="Arial" w:hAnsi="Arial"/>
          <w:sz w:val="17"/>
          <w:szCs w:val="17"/>
          <w:color w:val="auto"/>
        </w:rPr>
        <w:t>.</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Investment is valued using observable inputs (Level 1). The stock of the company is traded on the NASDAQ Capital Market under the ticker "USWS."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investment has been exited. The residual value reflects estimated earnout to be settled post-closing.</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investment has been exited. The residual value reflects estimated escrow and earnout to be settled post-closing.</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investment has a $6.4 million unfunded commitment.</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investment has a $5.0 million unfunded commitment.</w:t>
      </w: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investment has a $2.7 million unfunded commitment.</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ectPr>
          <w:pgSz w:w="11900" w:h="16838" w:orient="portrait"/>
          <w:cols w:equalWidth="0" w:num="1">
            <w:col w:w="11420"/>
          </w:cols>
          <w:pgMar w:left="240" w:top="1121" w:right="239" w:bottom="1440" w:gutter="0" w:footer="0" w:header="0"/>
        </w:sect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2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w w:val="97"/>
              </w:rPr>
              <w:t xml:space="preserve">Portfolio Company, Country </w:t>
            </w:r>
            <w:r>
              <w:rPr>
                <w:rFonts w:ascii="Arial" w:cs="Arial" w:eastAsia="Arial" w:hAnsi="Arial"/>
                <w:sz w:val="20"/>
                <w:szCs w:val="20"/>
                <w:b w:val="1"/>
                <w:bCs w:val="1"/>
                <w:color w:val="auto"/>
                <w:w w:val="97"/>
                <w:vertAlign w:val="superscript"/>
              </w:rPr>
              <w:t>(1), (2), (3), (4), (19)</w:t>
            </w:r>
          </w:p>
        </w:tc>
        <w:tc>
          <w:tcPr>
            <w:tcW w:w="120" w:type="dxa"/>
            <w:vAlign w:val="bottom"/>
          </w:tcPr>
          <w:p>
            <w:pPr>
              <w:spacing w:after="0"/>
              <w:rPr>
                <w:sz w:val="19"/>
                <w:szCs w:val="19"/>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Industry</w:t>
            </w:r>
          </w:p>
        </w:tc>
      </w:tr>
      <w:tr>
        <w:trPr>
          <w:trHeight w:val="158"/>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b w:val="1"/>
                <w:bCs w:val="1"/>
                <w:color w:val="auto"/>
              </w:rPr>
              <w:t>Non-control/non-affiliated investments - 150.4%</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52"/>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w w:val="99"/>
              </w:rPr>
              <w:t>Non-control/non-affiliated investments - United States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351"/>
        </w:trPr>
        <w:tc>
          <w:tcPr>
            <w:tcW w:w="3340" w:type="dxa"/>
            <w:vAlign w:val="bottom"/>
            <w:gridSpan w:val="2"/>
          </w:tcPr>
          <w:p>
            <w:pPr>
              <w:spacing w:after="0"/>
              <w:rPr>
                <w:sz w:val="20"/>
                <w:szCs w:val="20"/>
                <w:color w:val="auto"/>
              </w:rPr>
            </w:pPr>
            <w:r>
              <w:rPr>
                <w:rFonts w:ascii="Arial" w:cs="Arial" w:eastAsia="Arial" w:hAnsi="Arial"/>
                <w:sz w:val="13"/>
                <w:szCs w:val="13"/>
                <w:color w:val="auto"/>
              </w:rPr>
              <w:t>3 Bridge Solutions, LLC</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IT Consulting</w:t>
            </w:r>
          </w:p>
        </w:tc>
      </w:tr>
      <w:tr>
        <w:trPr>
          <w:trHeight w:val="405"/>
        </w:trPr>
        <w:tc>
          <w:tcPr>
            <w:tcW w:w="3340" w:type="dxa"/>
            <w:vAlign w:val="bottom"/>
            <w:gridSpan w:val="2"/>
          </w:tcPr>
          <w:p>
            <w:pPr>
              <w:spacing w:after="0"/>
              <w:rPr>
                <w:sz w:val="20"/>
                <w:szCs w:val="20"/>
                <w:color w:val="auto"/>
              </w:rPr>
            </w:pPr>
            <w:r>
              <w:rPr>
                <w:rFonts w:ascii="Arial" w:cs="Arial" w:eastAsia="Arial" w:hAnsi="Arial"/>
                <w:sz w:val="13"/>
                <w:szCs w:val="13"/>
                <w:color w:val="auto"/>
              </w:rPr>
              <w:t>3 Bridge Solutions, LLC</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IT Consulting</w:t>
            </w:r>
          </w:p>
        </w:tc>
      </w:tr>
      <w:tr>
        <w:trPr>
          <w:trHeight w:val="311"/>
        </w:trPr>
        <w:tc>
          <w:tcPr>
            <w:tcW w:w="3340" w:type="dxa"/>
            <w:vAlign w:val="bottom"/>
            <w:gridSpan w:val="2"/>
          </w:tcPr>
          <w:p>
            <w:pPr>
              <w:spacing w:after="0"/>
              <w:rPr>
                <w:sz w:val="20"/>
                <w:szCs w:val="20"/>
                <w:color w:val="auto"/>
              </w:rPr>
            </w:pPr>
            <w:r>
              <w:rPr>
                <w:rFonts w:ascii="Arial" w:cs="Arial" w:eastAsia="Arial" w:hAnsi="Arial"/>
                <w:sz w:val="13"/>
                <w:szCs w:val="13"/>
                <w:color w:val="auto"/>
              </w:rPr>
              <w:t>3 Bridge Solutions, LLC</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IT Consulting</w:t>
            </w:r>
          </w:p>
        </w:tc>
      </w:tr>
      <w:tr>
        <w:trPr>
          <w:trHeight w:val="581"/>
        </w:trPr>
        <w:tc>
          <w:tcPr>
            <w:tcW w:w="3340" w:type="dxa"/>
            <w:vAlign w:val="bottom"/>
            <w:gridSpan w:val="2"/>
          </w:tcPr>
          <w:p>
            <w:pPr>
              <w:spacing w:after="0"/>
              <w:rPr>
                <w:sz w:val="20"/>
                <w:szCs w:val="20"/>
                <w:color w:val="auto"/>
              </w:rPr>
            </w:pPr>
            <w:r>
              <w:rPr>
                <w:rFonts w:ascii="Arial" w:cs="Arial" w:eastAsia="Arial" w:hAnsi="Arial"/>
                <w:sz w:val="13"/>
                <w:szCs w:val="13"/>
                <w:color w:val="auto"/>
              </w:rPr>
              <w:t>Alternative Biomedical Solutions, LLC</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Healthcare</w:t>
            </w:r>
          </w:p>
        </w:tc>
      </w:tr>
      <w:tr>
        <w:trPr>
          <w:trHeight w:val="405"/>
        </w:trPr>
        <w:tc>
          <w:tcPr>
            <w:tcW w:w="3340" w:type="dxa"/>
            <w:vAlign w:val="bottom"/>
            <w:gridSpan w:val="2"/>
          </w:tcPr>
          <w:p>
            <w:pPr>
              <w:spacing w:after="0"/>
              <w:rPr>
                <w:sz w:val="20"/>
                <w:szCs w:val="20"/>
                <w:color w:val="auto"/>
              </w:rPr>
            </w:pPr>
            <w:r>
              <w:rPr>
                <w:rFonts w:ascii="Arial" w:cs="Arial" w:eastAsia="Arial" w:hAnsi="Arial"/>
                <w:sz w:val="13"/>
                <w:szCs w:val="13"/>
                <w:color w:val="auto"/>
              </w:rPr>
              <w:t>Alternative Biomedical Solutions, LLC</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Healthcare</w:t>
            </w:r>
          </w:p>
        </w:tc>
      </w:tr>
      <w:tr>
        <w:trPr>
          <w:trHeight w:val="311"/>
        </w:trPr>
        <w:tc>
          <w:tcPr>
            <w:tcW w:w="3340" w:type="dxa"/>
            <w:vAlign w:val="bottom"/>
            <w:gridSpan w:val="2"/>
          </w:tcPr>
          <w:p>
            <w:pPr>
              <w:spacing w:after="0"/>
              <w:rPr>
                <w:sz w:val="20"/>
                <w:szCs w:val="20"/>
                <w:color w:val="auto"/>
              </w:rPr>
            </w:pPr>
            <w:r>
              <w:rPr>
                <w:rFonts w:ascii="Arial" w:cs="Arial" w:eastAsia="Arial" w:hAnsi="Arial"/>
                <w:sz w:val="13"/>
                <w:szCs w:val="13"/>
                <w:color w:val="auto"/>
              </w:rPr>
              <w:t>Alternative Biomedical Solutions, LLC</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Healthcare</w:t>
            </w:r>
          </w:p>
        </w:tc>
      </w:tr>
      <w:tr>
        <w:trPr>
          <w:trHeight w:val="581"/>
        </w:trPr>
        <w:tc>
          <w:tcPr>
            <w:tcW w:w="3340" w:type="dxa"/>
            <w:vAlign w:val="bottom"/>
            <w:gridSpan w:val="2"/>
          </w:tcPr>
          <w:p>
            <w:pPr>
              <w:spacing w:after="0"/>
              <w:rPr>
                <w:sz w:val="20"/>
                <w:szCs w:val="20"/>
                <w:color w:val="auto"/>
              </w:rPr>
            </w:pPr>
            <w:r>
              <w:rPr>
                <w:rFonts w:ascii="Arial" w:cs="Arial" w:eastAsia="Arial" w:hAnsi="Arial"/>
                <w:sz w:val="13"/>
                <w:szCs w:val="13"/>
                <w:color w:val="auto"/>
              </w:rPr>
              <w:t>American Clinical Solutions, LLC</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Healthcare</w:t>
            </w:r>
          </w:p>
        </w:tc>
      </w:tr>
      <w:tr>
        <w:trPr>
          <w:trHeight w:val="621"/>
        </w:trPr>
        <w:tc>
          <w:tcPr>
            <w:tcW w:w="3340" w:type="dxa"/>
            <w:vAlign w:val="bottom"/>
            <w:gridSpan w:val="2"/>
          </w:tcPr>
          <w:p>
            <w:pPr>
              <w:spacing w:after="0"/>
              <w:rPr>
                <w:sz w:val="20"/>
                <w:szCs w:val="20"/>
                <w:color w:val="auto"/>
              </w:rPr>
            </w:pPr>
            <w:r>
              <w:rPr>
                <w:rFonts w:ascii="Arial" w:cs="Arial" w:eastAsia="Arial" w:hAnsi="Arial"/>
                <w:sz w:val="13"/>
                <w:szCs w:val="13"/>
                <w:color w:val="auto"/>
              </w:rPr>
              <w:t>AmeriMark Direct, LLC</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Consumer Products</w:t>
            </w:r>
          </w:p>
        </w:tc>
      </w:tr>
      <w:tr>
        <w:trPr>
          <w:trHeight w:val="581"/>
        </w:trPr>
        <w:tc>
          <w:tcPr>
            <w:tcW w:w="3340" w:type="dxa"/>
            <w:vAlign w:val="bottom"/>
            <w:gridSpan w:val="2"/>
          </w:tcPr>
          <w:p>
            <w:pPr>
              <w:spacing w:after="0"/>
              <w:rPr>
                <w:sz w:val="20"/>
                <w:szCs w:val="20"/>
                <w:color w:val="auto"/>
              </w:rPr>
            </w:pPr>
            <w:r>
              <w:rPr>
                <w:rFonts w:ascii="Arial" w:cs="Arial" w:eastAsia="Arial" w:hAnsi="Arial"/>
                <w:sz w:val="13"/>
                <w:szCs w:val="13"/>
                <w:color w:val="auto"/>
              </w:rPr>
              <w:t>B&amp;W Quality Growers, LLC</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Farming</w:t>
            </w:r>
          </w:p>
        </w:tc>
      </w:tr>
      <w:tr>
        <w:trPr>
          <w:trHeight w:val="581"/>
        </w:trPr>
        <w:tc>
          <w:tcPr>
            <w:tcW w:w="3340" w:type="dxa"/>
            <w:vAlign w:val="bottom"/>
            <w:gridSpan w:val="2"/>
          </w:tcPr>
          <w:p>
            <w:pPr>
              <w:spacing w:after="0"/>
              <w:rPr>
                <w:sz w:val="20"/>
                <w:szCs w:val="20"/>
                <w:color w:val="auto"/>
              </w:rPr>
            </w:pPr>
            <w:r>
              <w:rPr>
                <w:rFonts w:ascii="Arial" w:cs="Arial" w:eastAsia="Arial" w:hAnsi="Arial"/>
                <w:sz w:val="13"/>
                <w:szCs w:val="13"/>
                <w:color w:val="auto"/>
              </w:rPr>
              <w:t>BigMouth, Inc.</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Consumer Products</w:t>
            </w:r>
          </w:p>
        </w:tc>
      </w:tr>
      <w:tr>
        <w:trPr>
          <w:trHeight w:val="311"/>
        </w:trPr>
        <w:tc>
          <w:tcPr>
            <w:tcW w:w="3340" w:type="dxa"/>
            <w:vAlign w:val="bottom"/>
            <w:gridSpan w:val="2"/>
          </w:tcPr>
          <w:p>
            <w:pPr>
              <w:spacing w:after="0"/>
              <w:rPr>
                <w:sz w:val="20"/>
                <w:szCs w:val="20"/>
                <w:color w:val="auto"/>
              </w:rPr>
            </w:pPr>
            <w:r>
              <w:rPr>
                <w:rFonts w:ascii="Arial" w:cs="Arial" w:eastAsia="Arial" w:hAnsi="Arial"/>
                <w:sz w:val="13"/>
                <w:szCs w:val="13"/>
                <w:color w:val="auto"/>
              </w:rPr>
              <w:t>BigMouth, Inc.</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Consumer Products</w:t>
            </w:r>
          </w:p>
        </w:tc>
      </w:tr>
      <w:tr>
        <w:trPr>
          <w:trHeight w:val="596"/>
        </w:trPr>
        <w:tc>
          <w:tcPr>
            <w:tcW w:w="3340" w:type="dxa"/>
            <w:vAlign w:val="bottom"/>
            <w:gridSpan w:val="2"/>
          </w:tcPr>
          <w:p>
            <w:pPr>
              <w:spacing w:after="0"/>
              <w:rPr>
                <w:sz w:val="20"/>
                <w:szCs w:val="20"/>
                <w:color w:val="auto"/>
              </w:rPr>
            </w:pPr>
            <w:r>
              <w:rPr>
                <w:rFonts w:ascii="Arial" w:cs="Arial" w:eastAsia="Arial" w:hAnsi="Arial"/>
                <w:sz w:val="13"/>
                <w:szCs w:val="13"/>
                <w:color w:val="auto"/>
              </w:rPr>
              <w:t>Bluestem Brands, Inc.</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Online Merchandise</w:t>
            </w:r>
          </w:p>
        </w:tc>
      </w:tr>
      <w:tr>
        <w:trPr>
          <w:trHeight w:val="16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Retailer</w:t>
            </w:r>
          </w:p>
        </w:tc>
      </w:tr>
      <w:tr>
        <w:trPr>
          <w:trHeight w:val="556"/>
        </w:trPr>
        <w:tc>
          <w:tcPr>
            <w:tcW w:w="3340" w:type="dxa"/>
            <w:vAlign w:val="bottom"/>
            <w:gridSpan w:val="2"/>
          </w:tcPr>
          <w:p>
            <w:pPr>
              <w:spacing w:after="0"/>
              <w:rPr>
                <w:sz w:val="20"/>
                <w:szCs w:val="20"/>
                <w:color w:val="auto"/>
              </w:rPr>
            </w:pPr>
            <w:r>
              <w:rPr>
                <w:rFonts w:ascii="Arial" w:cs="Arial" w:eastAsia="Arial" w:hAnsi="Arial"/>
                <w:sz w:val="13"/>
                <w:szCs w:val="13"/>
                <w:color w:val="auto"/>
              </w:rPr>
              <w:t>Burke America Parts Group, LLC</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Home Repair Parts</w:t>
            </w:r>
          </w:p>
        </w:tc>
      </w:tr>
      <w:tr>
        <w:trPr>
          <w:trHeight w:val="16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Manufacturer</w:t>
            </w: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4"/>
              </w:rPr>
              <w:t>Principal</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3"/>
                <w:szCs w:val="13"/>
                <w:color w:val="auto"/>
              </w:rPr>
            </w:pPr>
          </w:p>
        </w:tc>
        <w:tc>
          <w:tcPr>
            <w:tcW w:w="660" w:type="dxa"/>
            <w:vAlign w:val="bottom"/>
            <w:gridSpan w:val="2"/>
          </w:tcPr>
          <w:p>
            <w:pPr>
              <w:jc w:val="right"/>
              <w:ind w:right="20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3200" w:type="dxa"/>
            <w:vAlign w:val="bottom"/>
          </w:tcPr>
          <w:p>
            <w:pPr>
              <w:ind w:left="1080"/>
              <w:spacing w:after="0"/>
              <w:rPr>
                <w:sz w:val="20"/>
                <w:szCs w:val="20"/>
                <w:color w:val="auto"/>
              </w:rPr>
            </w:pPr>
            <w:r>
              <w:rPr>
                <w:rFonts w:ascii="Arial" w:cs="Arial" w:eastAsia="Arial" w:hAnsi="Arial"/>
                <w:sz w:val="13"/>
                <w:szCs w:val="13"/>
                <w:b w:val="1"/>
                <w:bCs w:val="1"/>
                <w:color w:val="auto"/>
              </w:rPr>
              <w:t>Type of Investment</w:t>
            </w:r>
          </w:p>
        </w:tc>
        <w:tc>
          <w:tcPr>
            <w:tcW w:w="22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Value</w:t>
            </w:r>
          </w:p>
        </w:tc>
        <w:tc>
          <w:tcPr>
            <w:tcW w:w="760" w:type="dxa"/>
            <w:vAlign w:val="bottom"/>
            <w:gridSpan w:val="3"/>
          </w:tcPr>
          <w:p>
            <w:pPr>
              <w:jc w:val="right"/>
              <w:ind w:right="42"/>
              <w:spacing w:after="0"/>
              <w:rPr>
                <w:sz w:val="20"/>
                <w:szCs w:val="20"/>
                <w:color w:val="auto"/>
              </w:rPr>
            </w:pPr>
            <w:r>
              <w:rPr>
                <w:rFonts w:ascii="Arial" w:cs="Arial" w:eastAsia="Arial" w:hAnsi="Arial"/>
                <w:sz w:val="13"/>
                <w:szCs w:val="13"/>
                <w:b w:val="1"/>
                <w:bCs w:val="1"/>
                <w:color w:val="auto"/>
                <w:w w:val="95"/>
              </w:rPr>
              <w:t>Net Assets</w:t>
            </w:r>
          </w:p>
        </w:tc>
        <w:tc>
          <w:tcPr>
            <w:tcW w:w="0" w:type="dxa"/>
            <w:vAlign w:val="bottom"/>
          </w:tcPr>
          <w:p>
            <w:pPr>
              <w:spacing w:after="0"/>
              <w:rPr>
                <w:sz w:val="1"/>
                <w:szCs w:val="1"/>
                <w:color w:val="auto"/>
              </w:rPr>
            </w:pPr>
          </w:p>
        </w:tc>
      </w:tr>
      <w:tr>
        <w:trPr>
          <w:trHeight w:val="736"/>
        </w:trPr>
        <w:tc>
          <w:tcPr>
            <w:tcW w:w="320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2"/>
              </w:rPr>
              <w:t>First Lien Debt (11.3% Cash (1 month LIBOR + 9.0%, 1.0%</w:t>
            </w:r>
          </w:p>
        </w:tc>
        <w:tc>
          <w:tcPr>
            <w:tcW w:w="2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Floor), Due 12/4/22)</w:t>
            </w: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   13,954</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   13,954</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   13,954</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389"/>
        </w:trPr>
        <w:tc>
          <w:tcPr>
            <w:tcW w:w="3200" w:type="dxa"/>
            <w:vAlign w:val="bottom"/>
          </w:tcPr>
          <w:p>
            <w:pPr>
              <w:spacing w:after="0"/>
              <w:rPr>
                <w:sz w:val="20"/>
                <w:szCs w:val="20"/>
                <w:color w:val="auto"/>
              </w:rPr>
            </w:pPr>
            <w:r>
              <w:rPr>
                <w:rFonts w:ascii="Arial" w:cs="Arial" w:eastAsia="Arial" w:hAnsi="Arial"/>
                <w:sz w:val="13"/>
                <w:szCs w:val="13"/>
                <w:color w:val="auto"/>
              </w:rPr>
              <w:t xml:space="preserve">Preferred Units (965 units, 8.0% PIK) </w:t>
            </w:r>
            <w:r>
              <w:rPr>
                <w:rFonts w:ascii="Arial" w:cs="Arial" w:eastAsia="Arial" w:hAnsi="Arial"/>
                <w:sz w:val="20"/>
                <w:szCs w:val="20"/>
                <w:color w:val="auto"/>
                <w:vertAlign w:val="superscript"/>
              </w:rPr>
              <w:t>(5)</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1,049</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1,049</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3"/>
                <w:szCs w:val="13"/>
                <w:color w:val="auto"/>
              </w:rPr>
              <w:t>Membership Units (39,000 units)</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230</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15,013</w:t>
            </w: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15,233</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8.0</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3200" w:type="dxa"/>
            <w:vAlign w:val="bottom"/>
          </w:tcPr>
          <w:p>
            <w:pPr>
              <w:spacing w:after="0"/>
              <w:rPr>
                <w:sz w:val="20"/>
                <w:szCs w:val="20"/>
                <w:color w:val="auto"/>
              </w:rPr>
            </w:pPr>
            <w:r>
              <w:rPr>
                <w:rFonts w:ascii="Arial" w:cs="Arial" w:eastAsia="Arial" w:hAnsi="Arial"/>
                <w:sz w:val="13"/>
                <w:szCs w:val="13"/>
                <w:color w:val="auto"/>
                <w:w w:val="94"/>
              </w:rPr>
              <w:t>First Lien Debt (9.5% Cash (1 month LIBOR + 7.0%, 1.0%</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Floor), Due 12/18/22)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118</w:t>
            </w:r>
          </w:p>
        </w:tc>
        <w:tc>
          <w:tcPr>
            <w:tcW w:w="2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118</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118</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389"/>
        </w:trPr>
        <w:tc>
          <w:tcPr>
            <w:tcW w:w="3200" w:type="dxa"/>
            <w:vAlign w:val="bottom"/>
          </w:tcPr>
          <w:p>
            <w:pPr>
              <w:spacing w:after="0"/>
              <w:rPr>
                <w:sz w:val="20"/>
                <w:szCs w:val="20"/>
                <w:color w:val="auto"/>
              </w:rPr>
            </w:pPr>
            <w:r>
              <w:rPr>
                <w:rFonts w:ascii="Arial" w:cs="Arial" w:eastAsia="Arial" w:hAnsi="Arial"/>
                <w:sz w:val="13"/>
                <w:szCs w:val="13"/>
                <w:color w:val="auto"/>
              </w:rPr>
              <w:t xml:space="preserve">First Lien Debt (12.4% Cash, Due 12/18/22) </w:t>
            </w:r>
            <w:r>
              <w:rPr>
                <w:rFonts w:ascii="Arial" w:cs="Arial" w:eastAsia="Arial" w:hAnsi="Arial"/>
                <w:sz w:val="20"/>
                <w:szCs w:val="20"/>
                <w:color w:val="auto"/>
                <w:vertAlign w:val="superscript"/>
              </w:rPr>
              <w:t>(6)</w:t>
            </w: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13,000</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13,000</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10,370</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3"/>
                <w:szCs w:val="13"/>
                <w:color w:val="auto"/>
              </w:rPr>
              <w:t>Membership Units (20,092 units)</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800</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13,918</w:t>
            </w: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10,488</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3"/>
        </w:trPr>
        <w:tc>
          <w:tcPr>
            <w:tcW w:w="3200" w:type="dxa"/>
            <w:vAlign w:val="bottom"/>
          </w:tcPr>
          <w:p>
            <w:pPr>
              <w:spacing w:after="0"/>
              <w:rPr>
                <w:sz w:val="20"/>
                <w:szCs w:val="20"/>
                <w:color w:val="auto"/>
              </w:rPr>
            </w:pPr>
            <w:r>
              <w:rPr>
                <w:rFonts w:ascii="Arial" w:cs="Arial" w:eastAsia="Arial" w:hAnsi="Arial"/>
                <w:sz w:val="13"/>
                <w:szCs w:val="13"/>
                <w:color w:val="auto"/>
                <w:w w:val="97"/>
              </w:rPr>
              <w:t xml:space="preserve">First Lien Debt (10.5% Cash, 2.0% PIK, Due 6/11/20) </w:t>
            </w:r>
            <w:r>
              <w:rPr>
                <w:rFonts w:ascii="Arial" w:cs="Arial" w:eastAsia="Arial" w:hAnsi="Arial"/>
                <w:sz w:val="20"/>
                <w:szCs w:val="20"/>
                <w:color w:val="auto"/>
                <w:w w:val="97"/>
                <w:vertAlign w:val="superscript"/>
              </w:rPr>
              <w:t>(7)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9,293</w:t>
            </w:r>
          </w:p>
        </w:tc>
        <w:tc>
          <w:tcPr>
            <w:tcW w:w="2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8,918</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6,484</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59"/>
        </w:trPr>
        <w:tc>
          <w:tcPr>
            <w:tcW w:w="3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8,918</w:t>
            </w: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6,484</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0"/>
                <w:szCs w:val="20"/>
                <w:color w:val="auto"/>
              </w:rPr>
            </w:pPr>
            <w:r>
              <w:rPr>
                <w:rFonts w:ascii="Arial" w:cs="Arial" w:eastAsia="Arial" w:hAnsi="Arial"/>
                <w:sz w:val="13"/>
                <w:szCs w:val="13"/>
                <w:color w:val="auto"/>
              </w:rPr>
              <w:t>First Lien Debt (12.8% Cash, Due 9/8/21)</w:t>
            </w: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18,300</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18,029</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18,300</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18,029</w:t>
            </w: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18,300</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9.6</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0"/>
                <w:szCs w:val="20"/>
                <w:color w:val="auto"/>
              </w:rPr>
            </w:pPr>
            <w:r>
              <w:rPr>
                <w:rFonts w:ascii="Arial" w:cs="Arial" w:eastAsia="Arial" w:hAnsi="Arial"/>
                <w:sz w:val="13"/>
                <w:szCs w:val="13"/>
                <w:color w:val="auto"/>
              </w:rPr>
              <w:t>Membership Unit Warrants (91,739 Units)</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5,880</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5,880</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3"/>
        </w:trPr>
        <w:tc>
          <w:tcPr>
            <w:tcW w:w="3200" w:type="dxa"/>
            <w:vAlign w:val="bottom"/>
          </w:tcPr>
          <w:p>
            <w:pPr>
              <w:spacing w:after="0"/>
              <w:rPr>
                <w:sz w:val="20"/>
                <w:szCs w:val="20"/>
                <w:color w:val="auto"/>
              </w:rPr>
            </w:pPr>
            <w:r>
              <w:rPr>
                <w:rFonts w:ascii="Arial" w:cs="Arial" w:eastAsia="Arial" w:hAnsi="Arial"/>
                <w:sz w:val="13"/>
                <w:szCs w:val="13"/>
                <w:color w:val="auto"/>
              </w:rPr>
              <w:t xml:space="preserve">First Lien Debt (14.3% Cash, Due 11/14/21) </w:t>
            </w:r>
            <w:r>
              <w:rPr>
                <w:rFonts w:ascii="Arial" w:cs="Arial" w:eastAsia="Arial" w:hAnsi="Arial"/>
                <w:sz w:val="20"/>
                <w:szCs w:val="20"/>
                <w:color w:val="auto"/>
                <w:vertAlign w:val="superscript"/>
              </w:rPr>
              <w:t>(6)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9,094</w:t>
            </w:r>
          </w:p>
        </w:tc>
        <w:tc>
          <w:tcPr>
            <w:tcW w:w="2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9,094</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9,094</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0"/>
                <w:szCs w:val="20"/>
                <w:color w:val="auto"/>
              </w:rPr>
            </w:pPr>
            <w:r>
              <w:rPr>
                <w:rFonts w:ascii="Arial" w:cs="Arial" w:eastAsia="Arial" w:hAnsi="Arial"/>
                <w:sz w:val="13"/>
                <w:szCs w:val="13"/>
                <w:color w:val="auto"/>
                <w:w w:val="97"/>
              </w:rPr>
              <w:t xml:space="preserve">Series A Preferred Stock (350,000 shares, 8.0% PIK) </w:t>
            </w:r>
            <w:r>
              <w:rPr>
                <w:rFonts w:ascii="Arial" w:cs="Arial" w:eastAsia="Arial" w:hAnsi="Arial"/>
                <w:sz w:val="20"/>
                <w:szCs w:val="20"/>
                <w:color w:val="auto"/>
                <w:w w:val="97"/>
                <w:vertAlign w:val="superscript"/>
              </w:rPr>
              <w:t>(5)</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411</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352</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59"/>
        </w:trPr>
        <w:tc>
          <w:tcPr>
            <w:tcW w:w="3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9,505</w:t>
            </w: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9,446</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3200" w:type="dxa"/>
            <w:vAlign w:val="bottom"/>
          </w:tcPr>
          <w:p>
            <w:pPr>
              <w:spacing w:after="0"/>
              <w:rPr>
                <w:sz w:val="20"/>
                <w:szCs w:val="20"/>
                <w:color w:val="auto"/>
              </w:rPr>
            </w:pPr>
            <w:r>
              <w:rPr>
                <w:rFonts w:ascii="Arial" w:cs="Arial" w:eastAsia="Arial" w:hAnsi="Arial"/>
                <w:sz w:val="13"/>
                <w:szCs w:val="13"/>
                <w:color w:val="auto"/>
                <w:w w:val="92"/>
              </w:rPr>
              <w:t>First Lien Debt (10.0% Cash (1 month LIBOR + 7.5%, 1.0%</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Floor), Due 11/7/20)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3,779</w:t>
            </w:r>
          </w:p>
        </w:tc>
        <w:tc>
          <w:tcPr>
            <w:tcW w:w="2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3,762</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3,499</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3,762</w:t>
            </w: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3,499</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0"/>
                <w:szCs w:val="20"/>
                <w:color w:val="auto"/>
              </w:rPr>
            </w:pPr>
            <w:r>
              <w:rPr>
                <w:rFonts w:ascii="Arial" w:cs="Arial" w:eastAsia="Arial" w:hAnsi="Arial"/>
                <w:sz w:val="13"/>
                <w:szCs w:val="13"/>
                <w:color w:val="auto"/>
              </w:rPr>
              <w:t>Membership Units (14 units)</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w:t>
            </w: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1,722</w:t>
            </w:r>
          </w:p>
        </w:tc>
        <w:tc>
          <w:tcPr>
            <w:tcW w:w="760" w:type="dxa"/>
            <w:vAlign w:val="bottom"/>
            <w:gridSpan w:val="3"/>
            <w:vMerge w:val="restart"/>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w:t>
            </w: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1,722</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0.9</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-4596130</wp:posOffset>
            </wp:positionV>
            <wp:extent cx="7246620"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-4415790</wp:posOffset>
            </wp:positionV>
            <wp:extent cx="7246620" cy="857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-4192905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-3935730</wp:posOffset>
            </wp:positionV>
            <wp:extent cx="7246620" cy="111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-3738245</wp:posOffset>
            </wp:positionV>
            <wp:extent cx="7246620" cy="8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-3558540</wp:posOffset>
            </wp:positionV>
            <wp:extent cx="724662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-3369945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-3112135</wp:posOffset>
            </wp:positionV>
            <wp:extent cx="7246620" cy="111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-2915285</wp:posOffset>
            </wp:positionV>
            <wp:extent cx="7246620"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-2734945</wp:posOffset>
            </wp:positionV>
            <wp:extent cx="724662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-2546350</wp:posOffset>
            </wp:positionV>
            <wp:extent cx="7246620" cy="111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-2340610</wp:posOffset>
            </wp:positionV>
            <wp:extent cx="724662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-2152015</wp:posOffset>
            </wp:positionV>
            <wp:extent cx="7246620"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-1971675</wp:posOffset>
            </wp:positionV>
            <wp:extent cx="72466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-1783080</wp:posOffset>
            </wp:positionV>
            <wp:extent cx="7246620"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-1602740</wp:posOffset>
            </wp:positionV>
            <wp:extent cx="7246620" cy="94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-1414145</wp:posOffset>
            </wp:positionV>
            <wp:extent cx="7246620" cy="1117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-1217295</wp:posOffset>
            </wp:positionV>
            <wp:extent cx="7246620" cy="1117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-1011555</wp:posOffset>
            </wp:positionV>
            <wp:extent cx="724662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-822960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-556895</wp:posOffset>
            </wp:positionV>
            <wp:extent cx="724662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-368300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-102235</wp:posOffset>
            </wp:positionV>
            <wp:extent cx="724662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140"/>
            <w:col w:w="6460"/>
          </w:cols>
          <w:pgMar w:left="240" w:top="1121" w:right="23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5"/>
              </w:rPr>
              <w:t xml:space="preserve">Portfolio Company, Country </w:t>
            </w:r>
            <w:r>
              <w:rPr>
                <w:rFonts w:ascii="Arial" w:cs="Arial" w:eastAsia="Arial" w:hAnsi="Arial"/>
                <w:sz w:val="20"/>
                <w:szCs w:val="20"/>
                <w:b w:val="1"/>
                <w:bCs w:val="1"/>
                <w:color w:val="auto"/>
                <w:w w:val="85"/>
                <w:vertAlign w:val="superscript"/>
              </w:rPr>
              <w:t>(1)</w:t>
            </w:r>
            <w:r>
              <w:rPr>
                <w:rFonts w:ascii="Arial" w:cs="Arial" w:eastAsia="Arial" w:hAnsi="Arial"/>
                <w:sz w:val="20"/>
                <w:szCs w:val="20"/>
                <w:b w:val="1"/>
                <w:bCs w:val="1"/>
                <w:u w:val="single" w:color="auto"/>
                <w:color w:val="auto"/>
                <w:w w:val="85"/>
                <w:vertAlign w:val="superscript"/>
              </w:rPr>
              <w:t>,</w:t>
            </w:r>
            <w:r>
              <w:rPr>
                <w:rFonts w:ascii="Arial" w:cs="Arial" w:eastAsia="Arial" w:hAnsi="Arial"/>
                <w:sz w:val="13"/>
                <w:szCs w:val="13"/>
                <w:b w:val="1"/>
                <w:bCs w:val="1"/>
                <w:color w:val="auto"/>
                <w:w w:val="85"/>
              </w:rPr>
              <w:t xml:space="preserve"> </w:t>
            </w:r>
            <w:r>
              <w:rPr>
                <w:rFonts w:ascii="Arial" w:cs="Arial" w:eastAsia="Arial" w:hAnsi="Arial"/>
                <w:sz w:val="20"/>
                <w:szCs w:val="20"/>
                <w:b w:val="1"/>
                <w:bCs w:val="1"/>
                <w:color w:val="auto"/>
                <w:w w:val="85"/>
                <w:vertAlign w:val="superscript"/>
              </w:rPr>
              <w:t>(2), (3), (4), (19)</w:t>
            </w: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0"/>
              </w:rPr>
              <w:t>Principal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40" w:type="dxa"/>
            <w:vAlign w:val="bottom"/>
            <w:gridSpan w:val="2"/>
            <w:vMerge w:val="continue"/>
          </w:tcPr>
          <w:p>
            <w:pPr>
              <w:spacing w:after="0"/>
              <w:rPr>
                <w:sz w:val="13"/>
                <w:szCs w:val="13"/>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b w:val="1"/>
                <w:bCs w:val="1"/>
                <w:color w:val="auto"/>
              </w:rPr>
              <w:t>Industry</w:t>
            </w:r>
          </w:p>
        </w:tc>
        <w:tc>
          <w:tcPr>
            <w:tcW w:w="2100" w:type="dxa"/>
            <w:vAlign w:val="bottom"/>
          </w:tcPr>
          <w:p>
            <w:pPr>
              <w:ind w:left="1020"/>
              <w:spacing w:after="0"/>
              <w:rPr>
                <w:sz w:val="20"/>
                <w:szCs w:val="20"/>
                <w:color w:val="auto"/>
              </w:rPr>
            </w:pPr>
            <w:r>
              <w:rPr>
                <w:rFonts w:ascii="Arial" w:cs="Arial" w:eastAsia="Arial" w:hAnsi="Arial"/>
                <w:sz w:val="13"/>
                <w:szCs w:val="13"/>
                <w:b w:val="1"/>
                <w:bCs w:val="1"/>
                <w:color w:val="auto"/>
                <w:w w:val="89"/>
              </w:rPr>
              <w:t>Type of Investment</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3"/>
                <w:szCs w:val="13"/>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Fair Value</w:t>
            </w:r>
          </w:p>
        </w:tc>
        <w:tc>
          <w:tcPr>
            <w:tcW w:w="70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California Pizza Kitchen, Inc.</w:t>
            </w:r>
          </w:p>
        </w:tc>
        <w:tc>
          <w:tcPr>
            <w:tcW w:w="100" w:type="dxa"/>
            <w:vAlign w:val="bottom"/>
            <w:tcBorders>
              <w:top w:val="single" w:sz="8" w:color="CCEEFF"/>
            </w:tcBorders>
            <w:shd w:val="clear" w:color="auto" w:fill="CCEEFF"/>
          </w:tcPr>
          <w:p>
            <w:pPr>
              <w:spacing w:after="0"/>
              <w:rPr>
                <w:sz w:val="9"/>
                <w:szCs w:val="9"/>
                <w:color w:val="auto"/>
              </w:rPr>
            </w:pPr>
          </w:p>
        </w:tc>
        <w:tc>
          <w:tcPr>
            <w:tcW w:w="176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Restaurant</w:t>
            </w:r>
          </w:p>
        </w:tc>
        <w:tc>
          <w:tcPr>
            <w:tcW w:w="120" w:type="dxa"/>
            <w:vAlign w:val="bottom"/>
            <w:tcBorders>
              <w:top w:val="single" w:sz="8" w:color="CCEEFF"/>
            </w:tcBorders>
            <w:shd w:val="clear" w:color="auto" w:fill="CCEEFF"/>
          </w:tcPr>
          <w:p>
            <w:pPr>
              <w:spacing w:after="0"/>
              <w:rPr>
                <w:sz w:val="9"/>
                <w:szCs w:val="9"/>
                <w:color w:val="auto"/>
              </w:rPr>
            </w:pPr>
          </w:p>
        </w:tc>
        <w:tc>
          <w:tcPr>
            <w:tcW w:w="3060" w:type="dxa"/>
            <w:vAlign w:val="bottom"/>
            <w:tcBorders>
              <w:top w:val="single" w:sz="8" w:color="auto"/>
            </w:tcBorders>
            <w:gridSpan w:val="2"/>
            <w:shd w:val="clear" w:color="auto" w:fill="CCEEFF"/>
          </w:tcPr>
          <w:p>
            <w:pPr>
              <w:spacing w:after="0" w:line="114" w:lineRule="exact"/>
              <w:rPr>
                <w:sz w:val="20"/>
                <w:szCs w:val="20"/>
                <w:color w:val="auto"/>
              </w:rPr>
            </w:pPr>
            <w:r>
              <w:rPr>
                <w:rFonts w:ascii="Arial" w:cs="Arial" w:eastAsia="Arial" w:hAnsi="Arial"/>
                <w:sz w:val="13"/>
                <w:szCs w:val="13"/>
                <w:color w:val="auto"/>
                <w:w w:val="90"/>
              </w:rPr>
              <w:t>Second Lien Debt (12.5% Cash (1 month LIBOR + 10.0%,</w:t>
            </w:r>
          </w:p>
        </w:tc>
        <w:tc>
          <w:tcPr>
            <w:tcW w:w="2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1.0% Floor), Due 8/23/23)</w:t>
            </w: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4,903</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4,903</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4,903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Cedar Ultimate Parent, LLC</w:t>
            </w:r>
          </w:p>
        </w:tc>
        <w:tc>
          <w:tcPr>
            <w:tcW w:w="1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Consumer Electronics</w:t>
            </w:r>
          </w:p>
        </w:tc>
        <w:tc>
          <w:tcPr>
            <w:tcW w:w="32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Series C Preferred Stock (4,759,250 units)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958</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6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Cedar Ultimate Parent, LLC</w:t>
            </w:r>
          </w:p>
        </w:tc>
        <w:tc>
          <w:tcPr>
            <w:tcW w:w="1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Consumer Electronics</w:t>
            </w:r>
          </w:p>
        </w:tc>
        <w:tc>
          <w:tcPr>
            <w:tcW w:w="32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Series D Preferred Stock (16,562,190 units)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Cedar Ultimate Parent, LLC</w:t>
            </w:r>
          </w:p>
        </w:tc>
        <w:tc>
          <w:tcPr>
            <w:tcW w:w="1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Consumer Electronics</w:t>
            </w:r>
          </w:p>
        </w:tc>
        <w:tc>
          <w:tcPr>
            <w:tcW w:w="2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Series E Common Units (190,370 units)</w:t>
            </w: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958</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0.0</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LLC</w:t>
            </w:r>
          </w:p>
        </w:tc>
        <w:tc>
          <w:tcPr>
            <w:tcW w:w="18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Multi-platform Media and</w:t>
            </w:r>
          </w:p>
        </w:tc>
        <w:tc>
          <w:tcPr>
            <w:tcW w:w="32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First Lien Debt (10.9% Cash (1 month LIBOR + 8.5%,</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Products</w:t>
            </w:r>
          </w:p>
        </w:tc>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1.5% Floor), Due 12/13/20)</w:t>
            </w: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13,000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13,000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13,000</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13,000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CIS Secure Computing, Inc.</w:t>
            </w:r>
          </w:p>
        </w:tc>
        <w:tc>
          <w:tcPr>
            <w:tcW w:w="18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Government Services</w:t>
            </w:r>
          </w:p>
        </w:tc>
        <w:tc>
          <w:tcPr>
            <w:tcW w:w="32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First Lien Debt (10.8% Cash (1 month LIBOR + 8.5%,</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w w:val="98"/>
              </w:rPr>
              <w:t>1.0% Floor), 1.0% PIK, Due 9/14/22)</w:t>
            </w: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10,428</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10,428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10,428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CIS Secure Computing, Inc.</w:t>
            </w:r>
          </w:p>
        </w:tc>
        <w:tc>
          <w:tcPr>
            <w:tcW w:w="1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Government Services</w:t>
            </w:r>
          </w:p>
        </w:tc>
        <w:tc>
          <w:tcPr>
            <w:tcW w:w="2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Common Stock (46,163 shares)</w:t>
            </w: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1,681</w:t>
            </w: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11,428</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12,109</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Corporate Visions, Inc.</w:t>
            </w:r>
          </w:p>
        </w:tc>
        <w:tc>
          <w:tcPr>
            <w:tcW w:w="1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Sales &amp; Marketing Services</w:t>
            </w:r>
          </w:p>
        </w:tc>
        <w:tc>
          <w:tcPr>
            <w:tcW w:w="32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8"/>
              </w:rPr>
              <w:t>Subordinated Debt (9.0% Cash, 2.0% PIK, Due 11/29/21)</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18,940</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18,940</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18,679</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Corporate Visions, Inc.</w:t>
            </w:r>
          </w:p>
        </w:tc>
        <w:tc>
          <w:tcPr>
            <w:tcW w:w="1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Sales &amp; Marketing Services</w:t>
            </w:r>
          </w:p>
        </w:tc>
        <w:tc>
          <w:tcPr>
            <w:tcW w:w="2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Common Stock (15,750 shares)</w:t>
            </w: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1,575</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817</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20,515</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19,496</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Currency Capital, LLC</w:t>
            </w:r>
          </w:p>
        </w:tc>
        <w:tc>
          <w:tcPr>
            <w:tcW w:w="188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Financial Services</w:t>
            </w:r>
          </w:p>
        </w:tc>
        <w:tc>
          <w:tcPr>
            <w:tcW w:w="3280" w:type="dxa"/>
            <w:vAlign w:val="bottom"/>
            <w:gridSpan w:val="3"/>
            <w:shd w:val="clear" w:color="auto" w:fill="CCEEFF"/>
          </w:tcPr>
          <w:p>
            <w:pPr>
              <w:spacing w:after="0" w:line="128" w:lineRule="exact"/>
              <w:rPr>
                <w:sz w:val="20"/>
                <w:szCs w:val="20"/>
                <w:color w:val="auto"/>
              </w:rPr>
            </w:pPr>
            <w:r>
              <w:rPr>
                <w:rFonts w:ascii="Arial" w:cs="Arial" w:eastAsia="Arial" w:hAnsi="Arial"/>
                <w:sz w:val="13"/>
                <w:szCs w:val="13"/>
                <w:color w:val="auto"/>
              </w:rPr>
              <w:t>First Lien Debt (13.4% Cash (1 month LIBOR + 11.0%,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0.5% Floor), Due 1/2/20) </w:t>
            </w:r>
            <w:r>
              <w:rPr>
                <w:rFonts w:ascii="Arial" w:cs="Arial" w:eastAsia="Arial" w:hAnsi="Arial"/>
                <w:sz w:val="20"/>
                <w:szCs w:val="20"/>
                <w:color w:val="auto"/>
                <w:vertAlign w:val="superscript"/>
              </w:rPr>
              <w:t>(8)</w:t>
            </w: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16,788</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16,788</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16,788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Currency Capital, LLC</w:t>
            </w:r>
          </w:p>
        </w:tc>
        <w:tc>
          <w:tcPr>
            <w:tcW w:w="1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Financial Services</w:t>
            </w: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7"/>
              </w:rPr>
              <w:t>Class A Preferred Units (2,000,000 units)</w:t>
            </w:r>
          </w:p>
        </w:tc>
        <w:tc>
          <w:tcPr>
            <w:tcW w:w="96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0"/>
                <w:szCs w:val="10"/>
                <w:color w:val="auto"/>
                <w:w w:val="97"/>
              </w:rPr>
              <w:t>(8)</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2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18,788</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18,788</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Flavors Holdings, Inc.</w:t>
            </w:r>
          </w:p>
        </w:tc>
        <w:tc>
          <w:tcPr>
            <w:tcW w:w="18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Food Product Manufacturer</w:t>
            </w:r>
          </w:p>
        </w:tc>
        <w:tc>
          <w:tcPr>
            <w:tcW w:w="32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7"/>
              </w:rPr>
              <w:t>First Lien Debt (8.6% Cash (3 month LIBOR + 5.8%, 1.0%</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Floor), Due 4/3/20)</w:t>
            </w: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6,070</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6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Flavors Holdings, Inc.</w:t>
            </w:r>
          </w:p>
        </w:tc>
        <w:tc>
          <w:tcPr>
            <w:tcW w:w="18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Food Product Manufacturer</w:t>
            </w:r>
          </w:p>
        </w:tc>
        <w:tc>
          <w:tcPr>
            <w:tcW w:w="32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7"/>
              </w:rPr>
              <w:t>Second Lien Debt (12.8% Cash (3 month LIBOR + 10.0%,</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1.0% Floor), Due 10/3/21)</w:t>
            </w: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12,000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11,809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11,265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18,050</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17,335</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5"/>
              </w:rPr>
              <w:t xml:space="preserve">Portfolio Company, Country </w:t>
            </w:r>
            <w:r>
              <w:rPr>
                <w:rFonts w:ascii="Arial" w:cs="Arial" w:eastAsia="Arial" w:hAnsi="Arial"/>
                <w:sz w:val="20"/>
                <w:szCs w:val="20"/>
                <w:b w:val="1"/>
                <w:bCs w:val="1"/>
                <w:color w:val="auto"/>
                <w:w w:val="85"/>
                <w:vertAlign w:val="superscript"/>
              </w:rPr>
              <w:t>(1)</w:t>
            </w:r>
            <w:r>
              <w:rPr>
                <w:rFonts w:ascii="Arial" w:cs="Arial" w:eastAsia="Arial" w:hAnsi="Arial"/>
                <w:sz w:val="20"/>
                <w:szCs w:val="20"/>
                <w:b w:val="1"/>
                <w:bCs w:val="1"/>
                <w:u w:val="single" w:color="auto"/>
                <w:color w:val="auto"/>
                <w:w w:val="85"/>
                <w:vertAlign w:val="superscript"/>
              </w:rPr>
              <w:t>,</w:t>
            </w:r>
            <w:r>
              <w:rPr>
                <w:rFonts w:ascii="Arial" w:cs="Arial" w:eastAsia="Arial" w:hAnsi="Arial"/>
                <w:sz w:val="13"/>
                <w:szCs w:val="13"/>
                <w:b w:val="1"/>
                <w:bCs w:val="1"/>
                <w:color w:val="auto"/>
                <w:w w:val="85"/>
              </w:rPr>
              <w:t xml:space="preserve"> </w:t>
            </w:r>
            <w:r>
              <w:rPr>
                <w:rFonts w:ascii="Arial" w:cs="Arial" w:eastAsia="Arial" w:hAnsi="Arial"/>
                <w:sz w:val="20"/>
                <w:szCs w:val="20"/>
                <w:b w:val="1"/>
                <w:bCs w:val="1"/>
                <w:color w:val="auto"/>
                <w:w w:val="85"/>
                <w:vertAlign w:val="superscript"/>
              </w:rPr>
              <w:t>(2), (3), (4), (19)</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Principal</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40" w:type="dxa"/>
            <w:vAlign w:val="bottom"/>
            <w:gridSpan w:val="2"/>
            <w:vMerge w:val="continue"/>
          </w:tcPr>
          <w:p>
            <w:pPr>
              <w:spacing w:after="0"/>
              <w:rPr>
                <w:sz w:val="13"/>
                <w:szCs w:val="13"/>
                <w:color w:val="auto"/>
              </w:rPr>
            </w:pPr>
          </w:p>
        </w:tc>
        <w:tc>
          <w:tcPr>
            <w:tcW w:w="1780" w:type="dxa"/>
            <w:vAlign w:val="bottom"/>
          </w:tcPr>
          <w:p>
            <w:pPr>
              <w:ind w:left="660"/>
              <w:spacing w:after="0"/>
              <w:rPr>
                <w:sz w:val="20"/>
                <w:szCs w:val="20"/>
                <w:color w:val="auto"/>
              </w:rPr>
            </w:pPr>
            <w:r>
              <w:rPr>
                <w:rFonts w:ascii="Arial" w:cs="Arial" w:eastAsia="Arial" w:hAnsi="Arial"/>
                <w:sz w:val="13"/>
                <w:szCs w:val="13"/>
                <w:b w:val="1"/>
                <w:bCs w:val="1"/>
                <w:color w:val="auto"/>
              </w:rPr>
              <w:t>Industry</w:t>
            </w:r>
          </w:p>
        </w:tc>
        <w:tc>
          <w:tcPr>
            <w:tcW w:w="120" w:type="dxa"/>
            <w:vAlign w:val="bottom"/>
          </w:tcPr>
          <w:p>
            <w:pPr>
              <w:spacing w:after="0"/>
              <w:rPr>
                <w:sz w:val="13"/>
                <w:szCs w:val="13"/>
                <w:color w:val="auto"/>
              </w:rPr>
            </w:pPr>
          </w:p>
        </w:tc>
        <w:tc>
          <w:tcPr>
            <w:tcW w:w="2200" w:type="dxa"/>
            <w:vAlign w:val="bottom"/>
          </w:tcPr>
          <w:p>
            <w:pPr>
              <w:ind w:left="1000"/>
              <w:spacing w:after="0"/>
              <w:rPr>
                <w:sz w:val="20"/>
                <w:szCs w:val="20"/>
                <w:color w:val="auto"/>
              </w:rPr>
            </w:pPr>
            <w:r>
              <w:rPr>
                <w:rFonts w:ascii="Arial" w:cs="Arial" w:eastAsia="Arial" w:hAnsi="Arial"/>
                <w:sz w:val="13"/>
                <w:szCs w:val="13"/>
                <w:b w:val="1"/>
                <w:bCs w:val="1"/>
                <w:color w:val="auto"/>
                <w:w w:val="99"/>
              </w:rPr>
              <w:t>Type of Investment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Amount</w:t>
            </w:r>
          </w:p>
        </w:tc>
        <w:tc>
          <w:tcPr>
            <w:tcW w:w="9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Cost</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Fair Value</w:t>
            </w:r>
          </w:p>
        </w:tc>
        <w:tc>
          <w:tcPr>
            <w:tcW w:w="70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Freedom Electronics, LLC</w:t>
            </w:r>
          </w:p>
        </w:tc>
        <w:tc>
          <w:tcPr>
            <w:tcW w:w="100" w:type="dxa"/>
            <w:vAlign w:val="bottom"/>
            <w:tcBorders>
              <w:top w:val="single" w:sz="8" w:color="CCEEFF"/>
            </w:tcBorders>
            <w:shd w:val="clear" w:color="auto" w:fill="CCEEFF"/>
          </w:tcPr>
          <w:p>
            <w:pPr>
              <w:spacing w:after="0"/>
              <w:rPr>
                <w:sz w:val="10"/>
                <w:szCs w:val="10"/>
                <w:color w:val="auto"/>
              </w:rPr>
            </w:pPr>
          </w:p>
        </w:tc>
        <w:tc>
          <w:tcPr>
            <w:tcW w:w="17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Electronic Machine Repair</w:t>
            </w:r>
          </w:p>
        </w:tc>
        <w:tc>
          <w:tcPr>
            <w:tcW w:w="120" w:type="dxa"/>
            <w:vAlign w:val="bottom"/>
            <w:tcBorders>
              <w:top w:val="single" w:sz="8" w:color="CCEEFF"/>
            </w:tcBorders>
            <w:shd w:val="clear" w:color="auto" w:fill="CCEEFF"/>
          </w:tcPr>
          <w:p>
            <w:pPr>
              <w:spacing w:after="0"/>
              <w:rPr>
                <w:sz w:val="10"/>
                <w:szCs w:val="10"/>
                <w:color w:val="auto"/>
              </w:rPr>
            </w:pPr>
          </w:p>
        </w:tc>
        <w:tc>
          <w:tcPr>
            <w:tcW w:w="3060" w:type="dxa"/>
            <w:vAlign w:val="bottom"/>
            <w:tcBorders>
              <w:top w:val="single" w:sz="8" w:color="auto"/>
            </w:tcBorders>
            <w:gridSpan w:val="5"/>
            <w:shd w:val="clear" w:color="auto" w:fill="CCEEFF"/>
          </w:tcPr>
          <w:p>
            <w:pPr>
              <w:spacing w:after="0" w:line="122" w:lineRule="exact"/>
              <w:rPr>
                <w:sz w:val="20"/>
                <w:szCs w:val="20"/>
                <w:color w:val="auto"/>
              </w:rPr>
            </w:pPr>
            <w:r>
              <w:rPr>
                <w:rFonts w:ascii="Arial" w:cs="Arial" w:eastAsia="Arial" w:hAnsi="Arial"/>
                <w:sz w:val="13"/>
                <w:szCs w:val="13"/>
                <w:color w:val="auto"/>
                <w:w w:val="90"/>
              </w:rPr>
              <w:t>First Lien Debt (8.7% Cash (1 month LIBOR + 6.3%, 2.0%</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3"/>
                <w:szCs w:val="13"/>
                <w:color w:val="auto"/>
              </w:rPr>
              <w:t xml:space="preserve">Floor), Due 12/20/23) </w:t>
            </w:r>
            <w:r>
              <w:rPr>
                <w:rFonts w:ascii="Arial" w:cs="Arial" w:eastAsia="Arial" w:hAnsi="Arial"/>
                <w:sz w:val="20"/>
                <w:szCs w:val="20"/>
                <w:color w:val="auto"/>
                <w:vertAlign w:val="superscript"/>
              </w:rPr>
              <w:t>(9)</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8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250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Freedom Electronics, LLC</w:t>
            </w: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Electronic Machine Repair</w:t>
            </w:r>
          </w:p>
        </w:tc>
        <w:tc>
          <w:tcPr>
            <w:tcW w:w="2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w w:val="88"/>
              </w:rPr>
              <w:t>First Lien Debt (9.1% Cash, Due 12/20/23)</w:t>
            </w:r>
          </w:p>
        </w:tc>
        <w:tc>
          <w:tcPr>
            <w:tcW w:w="2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0"/>
                <w:szCs w:val="10"/>
                <w:color w:val="auto"/>
                <w:w w:val="81"/>
              </w:rPr>
              <w:t>(6)</w:t>
            </w:r>
          </w:p>
        </w:tc>
        <w:tc>
          <w:tcPr>
            <w:tcW w:w="160" w:type="dxa"/>
            <w:vAlign w:val="bottom"/>
            <w:tcBorders>
              <w:bottom w:val="single" w:sz="8" w:color="CCEEFF"/>
            </w:tcBorders>
            <w:shd w:val="clear" w:color="auto" w:fill="CCEEFF"/>
          </w:tcPr>
          <w:p>
            <w:pPr>
              <w:spacing w:after="0"/>
              <w:rPr>
                <w:sz w:val="13"/>
                <w:szCs w:val="13"/>
                <w:color w:val="auto"/>
              </w:rPr>
            </w:pPr>
          </w:p>
        </w:tc>
        <w:tc>
          <w:tcPr>
            <w:tcW w:w="16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6,000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2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Freedom Electronics, LLC</w:t>
            </w:r>
          </w:p>
        </w:tc>
        <w:tc>
          <w:tcPr>
            <w:tcW w:w="1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Electronic Machine Repair</w:t>
            </w:r>
          </w:p>
        </w:tc>
        <w:tc>
          <w:tcPr>
            <w:tcW w:w="23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Membership Units (181,818 units)</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182</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182</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6,432</w:t>
            </w:r>
          </w:p>
        </w:tc>
        <w:tc>
          <w:tcPr>
            <w:tcW w:w="2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6,432</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Installs, LLC</w:t>
            </w:r>
          </w:p>
        </w:tc>
        <w:tc>
          <w:tcPr>
            <w:tcW w:w="1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Logistics</w:t>
            </w:r>
          </w:p>
        </w:tc>
        <w:tc>
          <w:tcPr>
            <w:tcW w:w="4400" w:type="dxa"/>
            <w:vAlign w:val="bottom"/>
            <w:gridSpan w:val="9"/>
            <w:shd w:val="clear" w:color="auto" w:fill="CCEEFF"/>
          </w:tcPr>
          <w:p>
            <w:pPr>
              <w:ind w:left="120"/>
              <w:spacing w:after="0" w:line="121" w:lineRule="exact"/>
              <w:rPr>
                <w:sz w:val="20"/>
                <w:szCs w:val="20"/>
                <w:color w:val="auto"/>
              </w:rPr>
            </w:pPr>
            <w:r>
              <w:rPr>
                <w:rFonts w:ascii="Arial" w:cs="Arial" w:eastAsia="Arial" w:hAnsi="Arial"/>
                <w:sz w:val="13"/>
                <w:szCs w:val="13"/>
                <w:color w:val="auto"/>
              </w:rPr>
              <w:t>First Lien Debt (9.3% Cash (1 month LIBOR + 7.0%, 1.8%</w:t>
            </w: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Floor), Due 6/20/23)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2,984</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2,984</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2,984</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2,984</w:t>
            </w:r>
          </w:p>
        </w:tc>
        <w:tc>
          <w:tcPr>
            <w:tcW w:w="2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2,984</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MC Sign Lessor Corp.</w:t>
            </w: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92"/>
              </w:rPr>
              <w:t>Advertising &amp; Marketing Services</w:t>
            </w:r>
          </w:p>
        </w:tc>
        <w:tc>
          <w:tcPr>
            <w:tcW w:w="4400" w:type="dxa"/>
            <w:vAlign w:val="bottom"/>
            <w:gridSpan w:val="9"/>
            <w:shd w:val="clear" w:color="auto" w:fill="CCEEFF"/>
          </w:tcPr>
          <w:p>
            <w:pPr>
              <w:ind w:left="120"/>
              <w:spacing w:after="0" w:line="128" w:lineRule="exact"/>
              <w:rPr>
                <w:sz w:val="20"/>
                <w:szCs w:val="20"/>
                <w:color w:val="auto"/>
              </w:rPr>
            </w:pPr>
            <w:r>
              <w:rPr>
                <w:rFonts w:ascii="Arial" w:cs="Arial" w:eastAsia="Arial" w:hAnsi="Arial"/>
                <w:sz w:val="13"/>
                <w:szCs w:val="13"/>
                <w:color w:val="auto"/>
              </w:rPr>
              <w:t>First Lien Debt (9.3% Cash (1 month LIBOR + 7.0%, 1.0%</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3"/>
                <w:szCs w:val="13"/>
                <w:color w:val="auto"/>
              </w:rPr>
              <w:t xml:space="preserve">Floor), Due 12/22/22) </w:t>
            </w:r>
            <w:r>
              <w:rPr>
                <w:rFonts w:ascii="Arial" w:cs="Arial" w:eastAsia="Arial" w:hAnsi="Arial"/>
                <w:sz w:val="20"/>
                <w:szCs w:val="20"/>
                <w:color w:val="auto"/>
                <w:vertAlign w:val="superscript"/>
              </w:rPr>
              <w:t>(10)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8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60" w:type="dxa"/>
            <w:vAlign w:val="bottom"/>
            <w:gridSpan w:val="5"/>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MC Sign Lessor Corp.</w:t>
            </w: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92"/>
              </w:rPr>
              <w:t>Advertising &amp; Marketing Services</w:t>
            </w:r>
          </w:p>
        </w:tc>
        <w:tc>
          <w:tcPr>
            <w:tcW w:w="4400" w:type="dxa"/>
            <w:vAlign w:val="bottom"/>
            <w:gridSpan w:val="9"/>
            <w:shd w:val="clear" w:color="auto" w:fill="CCEEFF"/>
          </w:tcPr>
          <w:p>
            <w:pPr>
              <w:ind w:left="120"/>
              <w:spacing w:after="0" w:line="128" w:lineRule="exact"/>
              <w:rPr>
                <w:sz w:val="20"/>
                <w:szCs w:val="20"/>
                <w:color w:val="auto"/>
              </w:rPr>
            </w:pPr>
            <w:r>
              <w:rPr>
                <w:rFonts w:ascii="Arial" w:cs="Arial" w:eastAsia="Arial" w:hAnsi="Arial"/>
                <w:sz w:val="13"/>
                <w:szCs w:val="13"/>
                <w:color w:val="auto"/>
              </w:rPr>
              <w:t>First Lien Debt (9.3% Cash (1 month LIBOR + 7.0%, 1.0%</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3"/>
                <w:szCs w:val="13"/>
                <w:color w:val="auto"/>
              </w:rPr>
              <w:t xml:space="preserve">Floor), Due 12/22/22) </w:t>
            </w:r>
            <w:r>
              <w:rPr>
                <w:rFonts w:ascii="Arial" w:cs="Arial" w:eastAsia="Arial" w:hAnsi="Arial"/>
                <w:sz w:val="20"/>
                <w:szCs w:val="20"/>
                <w:color w:val="auto"/>
                <w:vertAlign w:val="superscript"/>
              </w:rPr>
              <w:t>(11)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8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3,905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3,905</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3,905</w:t>
            </w: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3,905</w:t>
            </w:r>
          </w:p>
        </w:tc>
        <w:tc>
          <w:tcPr>
            <w:tcW w:w="2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3,905</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Nth Degree, Inc.</w:t>
            </w: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Business Services</w:t>
            </w:r>
          </w:p>
        </w:tc>
        <w:tc>
          <w:tcPr>
            <w:tcW w:w="4400" w:type="dxa"/>
            <w:vAlign w:val="bottom"/>
            <w:gridSpan w:val="9"/>
            <w:shd w:val="clear" w:color="auto" w:fill="CCEEFF"/>
          </w:tcPr>
          <w:p>
            <w:pPr>
              <w:ind w:left="120"/>
              <w:spacing w:after="0" w:line="128" w:lineRule="exact"/>
              <w:rPr>
                <w:sz w:val="20"/>
                <w:szCs w:val="20"/>
                <w:color w:val="auto"/>
              </w:rPr>
            </w:pPr>
            <w:r>
              <w:rPr>
                <w:rFonts w:ascii="Arial" w:cs="Arial" w:eastAsia="Arial" w:hAnsi="Arial"/>
                <w:sz w:val="13"/>
                <w:szCs w:val="13"/>
                <w:color w:val="auto"/>
              </w:rPr>
              <w:t>First Lien Debt (13.9% Cash (1 month LIBOR + 11.5%,</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3"/>
                <w:szCs w:val="13"/>
                <w:color w:val="auto"/>
                <w:w w:val="91"/>
              </w:rPr>
              <w:t xml:space="preserve">1.0% Floor), 2.0% PIK, Due 3/29/23) </w:t>
            </w:r>
            <w:r>
              <w:rPr>
                <w:rFonts w:ascii="Arial" w:cs="Arial" w:eastAsia="Arial" w:hAnsi="Arial"/>
                <w:sz w:val="20"/>
                <w:szCs w:val="20"/>
                <w:color w:val="auto"/>
                <w:w w:val="91"/>
                <w:vertAlign w:val="superscript"/>
              </w:rPr>
              <w:t>(12)</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8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7,346</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7,346</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7,346</w:t>
            </w: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Nth Degree, Inc.</w:t>
            </w: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Business Services</w:t>
            </w:r>
          </w:p>
        </w:tc>
        <w:tc>
          <w:tcPr>
            <w:tcW w:w="272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3"/>
                <w:szCs w:val="13"/>
                <w:color w:val="auto"/>
                <w:w w:val="89"/>
              </w:rPr>
              <w:t>Preferred Stock (2,400 Units, 10.0% PIK dividend)</w:t>
            </w:r>
          </w:p>
        </w:tc>
        <w:tc>
          <w:tcPr>
            <w:tcW w:w="460" w:type="dxa"/>
            <w:vAlign w:val="bottom"/>
            <w:tcBorders>
              <w:bottom w:val="single" w:sz="8" w:color="CCEEFF"/>
            </w:tcBorders>
            <w:shd w:val="clear" w:color="auto" w:fill="CCEEFF"/>
          </w:tcPr>
          <w:p>
            <w:pPr>
              <w:jc w:val="right"/>
              <w:ind w:right="258"/>
              <w:spacing w:after="0"/>
              <w:rPr>
                <w:sz w:val="20"/>
                <w:szCs w:val="20"/>
                <w:color w:val="auto"/>
              </w:rPr>
            </w:pPr>
            <w:r>
              <w:rPr>
                <w:rFonts w:ascii="Arial" w:cs="Arial" w:eastAsia="Arial" w:hAnsi="Arial"/>
                <w:sz w:val="10"/>
                <w:szCs w:val="10"/>
                <w:color w:val="auto"/>
                <w:w w:val="97"/>
              </w:rPr>
              <w:t>(5)</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3,244</w:t>
            </w:r>
          </w:p>
        </w:tc>
        <w:tc>
          <w:tcPr>
            <w:tcW w:w="2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16,490</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10,590</w:t>
            </w:r>
          </w:p>
        </w:tc>
        <w:tc>
          <w:tcPr>
            <w:tcW w:w="2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23,836</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Sequoia Healthcare Management, LLC</w:t>
            </w:r>
          </w:p>
        </w:tc>
        <w:tc>
          <w:tcPr>
            <w:tcW w:w="1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Healthcare Management</w:t>
            </w:r>
          </w:p>
        </w:tc>
        <w:tc>
          <w:tcPr>
            <w:tcW w:w="4400" w:type="dxa"/>
            <w:vAlign w:val="bottom"/>
            <w:gridSpan w:val="9"/>
            <w:shd w:val="clear" w:color="auto" w:fill="CCEEFF"/>
          </w:tcPr>
          <w:p>
            <w:pPr>
              <w:ind w:left="120"/>
              <w:spacing w:after="0" w:line="121" w:lineRule="exact"/>
              <w:rPr>
                <w:sz w:val="20"/>
                <w:szCs w:val="20"/>
                <w:color w:val="auto"/>
              </w:rPr>
            </w:pPr>
            <w:r>
              <w:rPr>
                <w:rFonts w:ascii="Arial" w:cs="Arial" w:eastAsia="Arial" w:hAnsi="Arial"/>
                <w:sz w:val="13"/>
                <w:szCs w:val="13"/>
                <w:color w:val="auto"/>
              </w:rPr>
              <w:t>First Lien Debt (10.8% Cash (1 month LIBOR + 8.5%,</w:t>
            </w: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1.8% Floor), Due 8/21/23)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13,792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13,792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13,792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13,792</w:t>
            </w:r>
          </w:p>
        </w:tc>
        <w:tc>
          <w:tcPr>
            <w:tcW w:w="2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13,792</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Sunset Digital Holdings, LLC</w:t>
            </w:r>
          </w:p>
        </w:tc>
        <w:tc>
          <w:tcPr>
            <w:tcW w:w="1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Telecommunications</w:t>
            </w:r>
          </w:p>
        </w:tc>
        <w:tc>
          <w:tcPr>
            <w:tcW w:w="4400" w:type="dxa"/>
            <w:vAlign w:val="bottom"/>
            <w:gridSpan w:val="9"/>
            <w:shd w:val="clear" w:color="auto" w:fill="CCEEFF"/>
          </w:tcPr>
          <w:p>
            <w:pPr>
              <w:ind w:left="120"/>
              <w:spacing w:after="0" w:line="121" w:lineRule="exact"/>
              <w:rPr>
                <w:sz w:val="20"/>
                <w:szCs w:val="20"/>
                <w:color w:val="auto"/>
              </w:rPr>
            </w:pPr>
            <w:r>
              <w:rPr>
                <w:rFonts w:ascii="Arial" w:cs="Arial" w:eastAsia="Arial" w:hAnsi="Arial"/>
                <w:sz w:val="13"/>
                <w:szCs w:val="13"/>
                <w:color w:val="auto"/>
              </w:rPr>
              <w:t>First Lien Debt (9.6% Cash (1 month LIBOR + 7.3%, 1.5%</w:t>
            </w: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Floor), Due 8/2/19)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18,000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18,000</w:t>
            </w:r>
          </w:p>
        </w:tc>
        <w:tc>
          <w:tcPr>
            <w:tcW w:w="2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18,000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Sur La Table, Inc.</w:t>
            </w:r>
          </w:p>
        </w:tc>
        <w:tc>
          <w:tcPr>
            <w:tcW w:w="1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Retail</w:t>
            </w:r>
          </w:p>
        </w:tc>
        <w:tc>
          <w:tcPr>
            <w:tcW w:w="23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8"/>
              </w:rPr>
              <w:t>First Lien Debt (12.0% Cash, Due 7/28/20)</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gridSpan w:val="4"/>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15,000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15,000</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14,979</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15,000</w:t>
            </w:r>
          </w:p>
        </w:tc>
        <w:tc>
          <w:tcPr>
            <w:tcW w:w="2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14,979</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Taylor Precision Products, Inc.</w:t>
            </w:r>
          </w:p>
        </w:tc>
        <w:tc>
          <w:tcPr>
            <w:tcW w:w="1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Household Product Manufacturer</w:t>
            </w:r>
          </w:p>
        </w:tc>
        <w:tc>
          <w:tcPr>
            <w:tcW w:w="23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98"/>
              </w:rPr>
              <w:t>Series C Preferred Stock (379 shares)</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758</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758</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758</w:t>
            </w:r>
          </w:p>
        </w:tc>
        <w:tc>
          <w:tcPr>
            <w:tcW w:w="2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758</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U.S. BioTek Laboratories, LLC</w:t>
            </w: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Testing laboratories</w:t>
            </w:r>
          </w:p>
        </w:tc>
        <w:tc>
          <w:tcPr>
            <w:tcW w:w="23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3"/>
                <w:szCs w:val="13"/>
                <w:color w:val="auto"/>
                <w:w w:val="88"/>
              </w:rPr>
              <w:t>First Lien Debt (10.1% Cash, Due 12/14/23)</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93"/>
              </w:rPr>
              <w:t>(6)(13)</w:t>
            </w:r>
          </w:p>
        </w:tc>
        <w:tc>
          <w:tcPr>
            <w:tcW w:w="16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7,000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7,000</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7,000</w:t>
            </w:r>
          </w:p>
        </w:tc>
        <w:tc>
          <w:tcPr>
            <w:tcW w:w="2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U.S. BioTek Laboratories, LLC</w:t>
            </w: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Testing laboratories</w:t>
            </w:r>
          </w:p>
        </w:tc>
        <w:tc>
          <w:tcPr>
            <w:tcW w:w="25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3"/>
                <w:szCs w:val="13"/>
                <w:color w:val="auto"/>
                <w:w w:val="89"/>
              </w:rPr>
              <w:t>Class A Preferred Units (500 Units, 10.0% PIK)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7"/>
              </w:rPr>
              <w:t>(5)</w:t>
            </w:r>
          </w:p>
        </w:tc>
        <w:tc>
          <w:tcPr>
            <w:tcW w:w="4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502</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502</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BioTek Laboratories, LLC</w:t>
            </w:r>
          </w:p>
        </w:tc>
        <w:tc>
          <w:tcPr>
            <w:tcW w:w="1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Testing laboratories</w:t>
            </w:r>
          </w:p>
        </w:tc>
        <w:tc>
          <w:tcPr>
            <w:tcW w:w="23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Class C Units (500 Units)</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7,503</w:t>
            </w:r>
          </w:p>
        </w:tc>
        <w:tc>
          <w:tcPr>
            <w:tcW w:w="2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7,503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ectPr>
          <w:pgSz w:w="11900" w:h="16838" w:orient="portrait"/>
          <w:cols w:equalWidth="0" w:num="1">
            <w:col w:w="11420"/>
          </w:cols>
          <w:pgMar w:left="240" w:top="904" w:right="239" w:bottom="1440" w:gutter="0" w:footer="0" w:header="0"/>
        </w:sect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3"/>
                <w:szCs w:val="13"/>
                <w:b w:val="1"/>
                <w:bCs w:val="1"/>
                <w:color w:val="auto"/>
                <w:w w:val="85"/>
              </w:rPr>
              <w:t xml:space="preserve">Portfolio Company, Country </w:t>
            </w:r>
            <w:r>
              <w:rPr>
                <w:rFonts w:ascii="Arial" w:cs="Arial" w:eastAsia="Arial" w:hAnsi="Arial"/>
                <w:sz w:val="20"/>
                <w:szCs w:val="20"/>
                <w:b w:val="1"/>
                <w:bCs w:val="1"/>
                <w:color w:val="auto"/>
                <w:w w:val="85"/>
                <w:vertAlign w:val="superscript"/>
              </w:rPr>
              <w:t>(1)</w:t>
            </w:r>
            <w:r>
              <w:rPr>
                <w:rFonts w:ascii="Arial" w:cs="Arial" w:eastAsia="Arial" w:hAnsi="Arial"/>
                <w:sz w:val="20"/>
                <w:szCs w:val="20"/>
                <w:b w:val="1"/>
                <w:bCs w:val="1"/>
                <w:u w:val="single" w:color="auto"/>
                <w:color w:val="auto"/>
                <w:w w:val="85"/>
                <w:vertAlign w:val="superscript"/>
              </w:rPr>
              <w:t>,</w:t>
            </w:r>
            <w:r>
              <w:rPr>
                <w:rFonts w:ascii="Arial" w:cs="Arial" w:eastAsia="Arial" w:hAnsi="Arial"/>
                <w:sz w:val="13"/>
                <w:szCs w:val="13"/>
                <w:b w:val="1"/>
                <w:bCs w:val="1"/>
                <w:color w:val="auto"/>
                <w:w w:val="85"/>
              </w:rPr>
              <w:t xml:space="preserve"> </w:t>
            </w:r>
            <w:r>
              <w:rPr>
                <w:rFonts w:ascii="Arial" w:cs="Arial" w:eastAsia="Arial" w:hAnsi="Arial"/>
                <w:sz w:val="20"/>
                <w:szCs w:val="20"/>
                <w:b w:val="1"/>
                <w:bCs w:val="1"/>
                <w:color w:val="auto"/>
                <w:w w:val="85"/>
                <w:vertAlign w:val="superscript"/>
              </w:rPr>
              <w:t>(2), (3), (4), (19)</w:t>
            </w:r>
          </w:p>
        </w:tc>
        <w:tc>
          <w:tcPr>
            <w:tcW w:w="1760" w:type="dxa"/>
            <w:vAlign w:val="bottom"/>
          </w:tcPr>
          <w:p>
            <w:pPr>
              <w:ind w:left="660"/>
              <w:spacing w:after="0"/>
              <w:rPr>
                <w:sz w:val="20"/>
                <w:szCs w:val="20"/>
                <w:color w:val="auto"/>
              </w:rPr>
            </w:pPr>
            <w:r>
              <w:rPr>
                <w:rFonts w:ascii="Arial" w:cs="Arial" w:eastAsia="Arial" w:hAnsi="Arial"/>
                <w:sz w:val="13"/>
                <w:szCs w:val="13"/>
                <w:b w:val="1"/>
                <w:bCs w:val="1"/>
                <w:color w:val="auto"/>
              </w:rPr>
              <w:t>Industry</w:t>
            </w:r>
          </w:p>
        </w:tc>
      </w:tr>
      <w:tr>
        <w:trPr>
          <w:trHeight w:val="154"/>
        </w:trPr>
        <w:tc>
          <w:tcPr>
            <w:tcW w:w="20" w:type="dxa"/>
            <w:vAlign w:val="bottom"/>
          </w:tcPr>
          <w:p>
            <w:pPr>
              <w:spacing w:after="0"/>
              <w:rPr>
                <w:sz w:val="13"/>
                <w:szCs w:val="13"/>
                <w:color w:val="auto"/>
              </w:rPr>
            </w:pPr>
          </w:p>
        </w:tc>
        <w:tc>
          <w:tcPr>
            <w:tcW w:w="24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U.S. Well Services, Inc.</w:t>
            </w:r>
          </w:p>
        </w:tc>
        <w:tc>
          <w:tcPr>
            <w:tcW w:w="100" w:type="dxa"/>
            <w:vAlign w:val="bottom"/>
          </w:tcPr>
          <w:p>
            <w:pPr>
              <w:spacing w:after="0"/>
              <w:rPr>
                <w:sz w:val="13"/>
                <w:szCs w:val="13"/>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Oil &amp; Gas Services</w:t>
            </w:r>
          </w:p>
        </w:tc>
      </w:tr>
      <w:tr>
        <w:trPr>
          <w:trHeight w:val="296"/>
        </w:trPr>
        <w:tc>
          <w:tcPr>
            <w:tcW w:w="2560" w:type="dxa"/>
            <w:vAlign w:val="bottom"/>
            <w:gridSpan w:val="3"/>
          </w:tcPr>
          <w:p>
            <w:pPr>
              <w:spacing w:after="0"/>
              <w:rPr>
                <w:sz w:val="20"/>
                <w:szCs w:val="20"/>
                <w:color w:val="auto"/>
              </w:rPr>
            </w:pPr>
            <w:r>
              <w:rPr>
                <w:rFonts w:ascii="Arial" w:cs="Arial" w:eastAsia="Arial" w:hAnsi="Arial"/>
                <w:sz w:val="13"/>
                <w:szCs w:val="13"/>
                <w:color w:val="auto"/>
              </w:rPr>
              <w:t>U.S. Well Services, Inc.</w:t>
            </w:r>
          </w:p>
        </w:tc>
        <w:tc>
          <w:tcPr>
            <w:tcW w:w="1760" w:type="dxa"/>
            <w:vAlign w:val="bottom"/>
          </w:tcPr>
          <w:p>
            <w:pPr>
              <w:spacing w:after="0"/>
              <w:rPr>
                <w:sz w:val="20"/>
                <w:szCs w:val="20"/>
                <w:color w:val="auto"/>
              </w:rPr>
            </w:pPr>
            <w:r>
              <w:rPr>
                <w:rFonts w:ascii="Arial" w:cs="Arial" w:eastAsia="Arial" w:hAnsi="Arial"/>
                <w:sz w:val="13"/>
                <w:szCs w:val="13"/>
                <w:color w:val="auto"/>
              </w:rPr>
              <w:t>Oil &amp; Gas Services</w:t>
            </w:r>
          </w:p>
        </w:tc>
      </w:tr>
      <w:tr>
        <w:trPr>
          <w:trHeight w:val="621"/>
        </w:trPr>
        <w:tc>
          <w:tcPr>
            <w:tcW w:w="2560" w:type="dxa"/>
            <w:vAlign w:val="bottom"/>
            <w:gridSpan w:val="3"/>
          </w:tcPr>
          <w:p>
            <w:pPr>
              <w:spacing w:after="0"/>
              <w:rPr>
                <w:sz w:val="20"/>
                <w:szCs w:val="20"/>
                <w:color w:val="auto"/>
              </w:rPr>
            </w:pPr>
            <w:r>
              <w:rPr>
                <w:rFonts w:ascii="Arial" w:cs="Arial" w:eastAsia="Arial" w:hAnsi="Arial"/>
                <w:sz w:val="13"/>
                <w:szCs w:val="13"/>
                <w:color w:val="auto"/>
              </w:rPr>
              <w:t>Vology, Inc.</w:t>
            </w:r>
          </w:p>
        </w:tc>
        <w:tc>
          <w:tcPr>
            <w:tcW w:w="1760" w:type="dxa"/>
            <w:vAlign w:val="bottom"/>
          </w:tcPr>
          <w:p>
            <w:pPr>
              <w:spacing w:after="0"/>
              <w:rPr>
                <w:sz w:val="20"/>
                <w:szCs w:val="20"/>
                <w:color w:val="auto"/>
              </w:rPr>
            </w:pPr>
            <w:r>
              <w:rPr>
                <w:rFonts w:ascii="Arial" w:cs="Arial" w:eastAsia="Arial" w:hAnsi="Arial"/>
                <w:sz w:val="13"/>
                <w:szCs w:val="13"/>
                <w:color w:val="auto"/>
              </w:rPr>
              <w:t>Information Technology</w:t>
            </w:r>
          </w:p>
        </w:tc>
      </w:tr>
      <w:tr>
        <w:trPr>
          <w:trHeight w:val="716"/>
        </w:trPr>
        <w:tc>
          <w:tcPr>
            <w:tcW w:w="2560" w:type="dxa"/>
            <w:vAlign w:val="bottom"/>
            <w:gridSpan w:val="3"/>
          </w:tcPr>
          <w:p>
            <w:pPr>
              <w:spacing w:after="0"/>
              <w:rPr>
                <w:sz w:val="20"/>
                <w:szCs w:val="20"/>
                <w:color w:val="auto"/>
              </w:rPr>
            </w:pPr>
            <w:r>
              <w:rPr>
                <w:rFonts w:ascii="Arial" w:cs="Arial" w:eastAsia="Arial" w:hAnsi="Arial"/>
                <w:sz w:val="13"/>
                <w:szCs w:val="13"/>
                <w:color w:val="auto"/>
              </w:rPr>
              <w:t>Xirgo Technologies, LLC</w:t>
            </w:r>
          </w:p>
        </w:tc>
        <w:tc>
          <w:tcPr>
            <w:tcW w:w="1760" w:type="dxa"/>
            <w:vAlign w:val="bottom"/>
          </w:tcPr>
          <w:p>
            <w:pPr>
              <w:spacing w:after="0"/>
              <w:rPr>
                <w:sz w:val="20"/>
                <w:szCs w:val="20"/>
                <w:color w:val="auto"/>
              </w:rPr>
            </w:pPr>
            <w:r>
              <w:rPr>
                <w:rFonts w:ascii="Arial" w:cs="Arial" w:eastAsia="Arial" w:hAnsi="Arial"/>
                <w:sz w:val="13"/>
                <w:szCs w:val="13"/>
                <w:color w:val="auto"/>
              </w:rPr>
              <w:t>Information Technology</w:t>
            </w:r>
          </w:p>
        </w:tc>
      </w:tr>
      <w:tr>
        <w:trPr>
          <w:trHeight w:val="270"/>
        </w:trPr>
        <w:tc>
          <w:tcPr>
            <w:tcW w:w="2560" w:type="dxa"/>
            <w:vAlign w:val="bottom"/>
            <w:gridSpan w:val="3"/>
          </w:tcPr>
          <w:p>
            <w:pPr>
              <w:spacing w:after="0"/>
              <w:rPr>
                <w:sz w:val="20"/>
                <w:szCs w:val="20"/>
                <w:color w:val="auto"/>
              </w:rPr>
            </w:pPr>
            <w:r>
              <w:rPr>
                <w:rFonts w:ascii="Arial" w:cs="Arial" w:eastAsia="Arial" w:hAnsi="Arial"/>
                <w:sz w:val="13"/>
                <w:szCs w:val="13"/>
                <w:color w:val="auto"/>
              </w:rPr>
              <w:t>Xirgo Technologies, LLC</w:t>
            </w:r>
          </w:p>
        </w:tc>
        <w:tc>
          <w:tcPr>
            <w:tcW w:w="1760" w:type="dxa"/>
            <w:vAlign w:val="bottom"/>
          </w:tcPr>
          <w:p>
            <w:pPr>
              <w:spacing w:after="0"/>
              <w:rPr>
                <w:sz w:val="20"/>
                <w:szCs w:val="20"/>
                <w:color w:val="auto"/>
              </w:rPr>
            </w:pPr>
            <w:r>
              <w:rPr>
                <w:rFonts w:ascii="Arial" w:cs="Arial" w:eastAsia="Arial" w:hAnsi="Arial"/>
                <w:sz w:val="13"/>
                <w:szCs w:val="13"/>
                <w:color w:val="auto"/>
              </w:rPr>
              <w:t>Information Technology</w:t>
            </w:r>
          </w:p>
        </w:tc>
      </w:tr>
      <w:tr>
        <w:trPr>
          <w:trHeight w:val="552"/>
        </w:trPr>
        <w:tc>
          <w:tcPr>
            <w:tcW w:w="2560" w:type="dxa"/>
            <w:vAlign w:val="bottom"/>
            <w:gridSpan w:val="3"/>
          </w:tcPr>
          <w:p>
            <w:pPr>
              <w:spacing w:after="0"/>
              <w:rPr>
                <w:sz w:val="20"/>
                <w:szCs w:val="20"/>
                <w:color w:val="auto"/>
              </w:rPr>
            </w:pPr>
            <w:r>
              <w:rPr>
                <w:rFonts w:ascii="Arial" w:cs="Arial" w:eastAsia="Arial" w:hAnsi="Arial"/>
                <w:sz w:val="13"/>
                <w:szCs w:val="13"/>
                <w:b w:val="1"/>
                <w:bCs w:val="1"/>
                <w:color w:val="auto"/>
              </w:rPr>
              <w:t>Sub Total Non-control/non-affiliated</w:t>
            </w:r>
          </w:p>
        </w:tc>
        <w:tc>
          <w:tcPr>
            <w:tcW w:w="1760" w:type="dxa"/>
            <w:vAlign w:val="bottom"/>
          </w:tcPr>
          <w:p>
            <w:pPr>
              <w:spacing w:after="0"/>
              <w:rPr>
                <w:sz w:val="24"/>
                <w:szCs w:val="24"/>
                <w:color w:val="auto"/>
              </w:rPr>
            </w:pPr>
          </w:p>
        </w:tc>
      </w:tr>
      <w:tr>
        <w:trPr>
          <w:trHeight w:val="164"/>
        </w:trPr>
        <w:tc>
          <w:tcPr>
            <w:tcW w:w="2560" w:type="dxa"/>
            <w:vAlign w:val="bottom"/>
            <w:gridSpan w:val="3"/>
          </w:tcPr>
          <w:p>
            <w:pPr>
              <w:spacing w:after="0"/>
              <w:rPr>
                <w:sz w:val="20"/>
                <w:szCs w:val="20"/>
                <w:color w:val="auto"/>
              </w:rPr>
            </w:pPr>
            <w:r>
              <w:rPr>
                <w:rFonts w:ascii="Arial" w:cs="Arial" w:eastAsia="Arial" w:hAnsi="Arial"/>
                <w:sz w:val="13"/>
                <w:szCs w:val="13"/>
                <w:b w:val="1"/>
                <w:bCs w:val="1"/>
                <w:color w:val="auto"/>
              </w:rPr>
              <w:t>investments - United States</w:t>
            </w:r>
          </w:p>
        </w:tc>
        <w:tc>
          <w:tcPr>
            <w:tcW w:w="1760" w:type="dxa"/>
            <w:vAlign w:val="bottom"/>
          </w:tcPr>
          <w:p>
            <w:pPr>
              <w:spacing w:after="0"/>
              <w:rPr>
                <w:sz w:val="14"/>
                <w:szCs w:val="14"/>
                <w:color w:val="auto"/>
              </w:rPr>
            </w:pPr>
          </w:p>
        </w:tc>
      </w:tr>
      <w:tr>
        <w:trPr>
          <w:trHeight w:val="268"/>
        </w:trPr>
        <w:tc>
          <w:tcPr>
            <w:tcW w:w="2560" w:type="dxa"/>
            <w:vAlign w:val="bottom"/>
            <w:gridSpan w:val="3"/>
          </w:tcPr>
          <w:p>
            <w:pPr>
              <w:spacing w:after="0"/>
              <w:rPr>
                <w:sz w:val="20"/>
                <w:szCs w:val="20"/>
                <w:color w:val="auto"/>
              </w:rPr>
            </w:pPr>
            <w:r>
              <w:rPr>
                <w:rFonts w:ascii="Arial" w:cs="Arial" w:eastAsia="Arial" w:hAnsi="Arial"/>
                <w:sz w:val="13"/>
                <w:szCs w:val="13"/>
                <w:b w:val="1"/>
                <w:bCs w:val="1"/>
                <w:color w:val="auto"/>
              </w:rPr>
              <w:t>Non-control/non-affiliated investments -</w:t>
            </w:r>
          </w:p>
        </w:tc>
        <w:tc>
          <w:tcPr>
            <w:tcW w:w="1760" w:type="dxa"/>
            <w:vAlign w:val="bottom"/>
          </w:tcPr>
          <w:p>
            <w:pPr>
              <w:spacing w:after="0"/>
              <w:rPr>
                <w:sz w:val="23"/>
                <w:szCs w:val="23"/>
                <w:color w:val="auto"/>
              </w:rPr>
            </w:pPr>
          </w:p>
        </w:tc>
      </w:tr>
      <w:tr>
        <w:trPr>
          <w:trHeight w:val="164"/>
        </w:trPr>
        <w:tc>
          <w:tcPr>
            <w:tcW w:w="2560" w:type="dxa"/>
            <w:vAlign w:val="bottom"/>
            <w:gridSpan w:val="3"/>
          </w:tcPr>
          <w:p>
            <w:pPr>
              <w:spacing w:after="0"/>
              <w:rPr>
                <w:sz w:val="20"/>
                <w:szCs w:val="20"/>
                <w:color w:val="auto"/>
              </w:rPr>
            </w:pPr>
            <w:r>
              <w:rPr>
                <w:rFonts w:ascii="Arial" w:cs="Arial" w:eastAsia="Arial" w:hAnsi="Arial"/>
                <w:sz w:val="13"/>
                <w:szCs w:val="13"/>
                <w:b w:val="1"/>
                <w:bCs w:val="1"/>
                <w:color w:val="auto"/>
              </w:rPr>
              <w:t>Brazil</w:t>
            </w:r>
          </w:p>
        </w:tc>
        <w:tc>
          <w:tcPr>
            <w:tcW w:w="1760" w:type="dxa"/>
            <w:vAlign w:val="bottom"/>
          </w:tcPr>
          <w:p>
            <w:pPr>
              <w:spacing w:after="0"/>
              <w:rPr>
                <w:sz w:val="14"/>
                <w:szCs w:val="14"/>
                <w:color w:val="auto"/>
              </w:rPr>
            </w:pPr>
          </w:p>
        </w:tc>
      </w:tr>
      <w:tr>
        <w:trPr>
          <w:trHeight w:val="270"/>
        </w:trPr>
        <w:tc>
          <w:tcPr>
            <w:tcW w:w="2560" w:type="dxa"/>
            <w:vAlign w:val="bottom"/>
            <w:gridSpan w:val="3"/>
          </w:tcPr>
          <w:p>
            <w:pPr>
              <w:spacing w:after="0"/>
              <w:rPr>
                <w:sz w:val="20"/>
                <w:szCs w:val="20"/>
                <w:color w:val="auto"/>
              </w:rPr>
            </w:pPr>
            <w:r>
              <w:rPr>
                <w:rFonts w:ascii="Arial" w:cs="Arial" w:eastAsia="Arial" w:hAnsi="Arial"/>
                <w:sz w:val="13"/>
                <w:szCs w:val="13"/>
                <w:color w:val="auto"/>
              </w:rPr>
              <w:t>Velum Global Credit Management, LLC</w:t>
            </w:r>
          </w:p>
        </w:tc>
        <w:tc>
          <w:tcPr>
            <w:tcW w:w="1760" w:type="dxa"/>
            <w:vAlign w:val="bottom"/>
          </w:tcPr>
          <w:p>
            <w:pPr>
              <w:spacing w:after="0"/>
              <w:rPr>
                <w:sz w:val="20"/>
                <w:szCs w:val="20"/>
                <w:color w:val="auto"/>
              </w:rPr>
            </w:pPr>
            <w:r>
              <w:rPr>
                <w:rFonts w:ascii="Arial" w:cs="Arial" w:eastAsia="Arial" w:hAnsi="Arial"/>
                <w:sz w:val="13"/>
                <w:szCs w:val="13"/>
                <w:color w:val="auto"/>
              </w:rPr>
              <w:t>Financial Services</w:t>
            </w: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w w:val="90"/>
              </w:rPr>
              <w:t>Principal</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3060" w:type="dxa"/>
            <w:vAlign w:val="bottom"/>
            <w:tcBorders>
              <w:bottom w:val="single" w:sz="8" w:color="auto"/>
            </w:tcBorders>
          </w:tcPr>
          <w:p>
            <w:pPr>
              <w:ind w:left="1020"/>
              <w:spacing w:after="0"/>
              <w:rPr>
                <w:sz w:val="20"/>
                <w:szCs w:val="20"/>
                <w:color w:val="auto"/>
              </w:rPr>
            </w:pPr>
            <w:r>
              <w:rPr>
                <w:rFonts w:ascii="Arial" w:cs="Arial" w:eastAsia="Arial" w:hAnsi="Arial"/>
                <w:sz w:val="13"/>
                <w:szCs w:val="13"/>
                <w:b w:val="1"/>
                <w:bCs w:val="1"/>
                <w:color w:val="auto"/>
              </w:rPr>
              <w:t>Type of Investment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0"/>
              </w:rPr>
              <w:t>Fair Value</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3"/>
              </w:rPr>
              <w:t>Net Assets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0"/>
                <w:szCs w:val="20"/>
                <w:color w:val="auto"/>
              </w:rPr>
            </w:pPr>
            <w:r>
              <w:rPr>
                <w:rFonts w:ascii="Arial" w:cs="Arial" w:eastAsia="Arial" w:hAnsi="Arial"/>
                <w:sz w:val="13"/>
                <w:szCs w:val="13"/>
                <w:color w:val="auto"/>
              </w:rPr>
              <w:t xml:space="preserve">Class A Common Stock (77,073 shares) </w:t>
            </w:r>
            <w:r>
              <w:rPr>
                <w:rFonts w:ascii="Arial" w:cs="Arial" w:eastAsia="Arial" w:hAnsi="Arial"/>
                <w:sz w:val="20"/>
                <w:szCs w:val="20"/>
                <w:color w:val="auto"/>
                <w:vertAlign w:val="superscript"/>
              </w:rPr>
              <w:t>(8)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771</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632</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304"/>
        </w:trPr>
        <w:tc>
          <w:tcPr>
            <w:tcW w:w="3280" w:type="dxa"/>
            <w:vAlign w:val="bottom"/>
            <w:gridSpan w:val="2"/>
          </w:tcPr>
          <w:p>
            <w:pPr>
              <w:spacing w:after="0"/>
              <w:rPr>
                <w:sz w:val="20"/>
                <w:szCs w:val="20"/>
                <w:color w:val="auto"/>
              </w:rPr>
            </w:pPr>
            <w:r>
              <w:rPr>
                <w:rFonts w:ascii="Arial" w:cs="Arial" w:eastAsia="Arial" w:hAnsi="Arial"/>
                <w:sz w:val="13"/>
                <w:szCs w:val="13"/>
                <w:color w:val="auto"/>
              </w:rPr>
              <w:t xml:space="preserve">Class B Common Stock (1,125,426 shares) </w:t>
            </w:r>
            <w:r>
              <w:rPr>
                <w:rFonts w:ascii="Arial" w:cs="Arial" w:eastAsia="Arial" w:hAnsi="Arial"/>
                <w:sz w:val="20"/>
                <w:szCs w:val="20"/>
                <w:color w:val="auto"/>
                <w:vertAlign w:val="superscript"/>
              </w:rPr>
              <w:t>(8)</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6,701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9,229</w:t>
            </w:r>
          </w:p>
        </w:tc>
        <w:tc>
          <w:tcPr>
            <w:tcW w:w="2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59"/>
        </w:trPr>
        <w:tc>
          <w:tcPr>
            <w:tcW w:w="3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7,472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9,861</w:t>
            </w:r>
          </w:p>
        </w:tc>
        <w:tc>
          <w:tcPr>
            <w:tcW w:w="22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5.2</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3280" w:type="dxa"/>
            <w:vAlign w:val="bottom"/>
            <w:gridSpan w:val="2"/>
          </w:tcPr>
          <w:p>
            <w:pPr>
              <w:spacing w:after="0"/>
              <w:rPr>
                <w:sz w:val="20"/>
                <w:szCs w:val="20"/>
                <w:color w:val="auto"/>
              </w:rPr>
            </w:pPr>
            <w:r>
              <w:rPr>
                <w:rFonts w:ascii="Arial" w:cs="Arial" w:eastAsia="Arial" w:hAnsi="Arial"/>
                <w:sz w:val="13"/>
                <w:szCs w:val="13"/>
                <w:color w:val="auto"/>
                <w:w w:val="95"/>
              </w:rPr>
              <w:t>Subordinated Debt (15.0% Cash (1 month LIBOR + 14.0%,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280" w:type="dxa"/>
            <w:vAlign w:val="bottom"/>
            <w:gridSpan w:val="2"/>
          </w:tcPr>
          <w:p>
            <w:pPr>
              <w:spacing w:after="0"/>
              <w:rPr>
                <w:sz w:val="20"/>
                <w:szCs w:val="20"/>
                <w:color w:val="auto"/>
              </w:rPr>
            </w:pPr>
            <w:r>
              <w:rPr>
                <w:rFonts w:ascii="Arial" w:cs="Arial" w:eastAsia="Arial" w:hAnsi="Arial"/>
                <w:sz w:val="13"/>
                <w:szCs w:val="13"/>
                <w:color w:val="auto"/>
              </w:rPr>
              <w:t>1.0% Ceiling), 4.0% PIK Due 6/30/20)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8,720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8,720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8,645</w:t>
            </w:r>
          </w:p>
        </w:tc>
        <w:tc>
          <w:tcPr>
            <w:tcW w:w="2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8,720</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8,645</w:t>
            </w:r>
          </w:p>
        </w:tc>
        <w:tc>
          <w:tcPr>
            <w:tcW w:w="220" w:type="dxa"/>
            <w:vAlign w:val="bottom"/>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80" w:type="dxa"/>
            <w:vAlign w:val="bottom"/>
            <w:gridSpan w:val="2"/>
          </w:tcPr>
          <w:p>
            <w:pPr>
              <w:spacing w:after="0"/>
              <w:rPr>
                <w:sz w:val="20"/>
                <w:szCs w:val="20"/>
                <w:color w:val="auto"/>
              </w:rPr>
            </w:pPr>
            <w:r>
              <w:rPr>
                <w:rFonts w:ascii="Arial" w:cs="Arial" w:eastAsia="Arial" w:hAnsi="Arial"/>
                <w:sz w:val="13"/>
                <w:szCs w:val="13"/>
                <w:color w:val="auto"/>
              </w:rPr>
              <w:t>Subordinated Debt (11.5% Cash, Due 3/1/22)</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15,750</w:t>
            </w: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15,750</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15,750</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3"/>
                <w:szCs w:val="13"/>
                <w:color w:val="auto"/>
              </w:rPr>
              <w:t>Membership Units (600,000 units)</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837</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16,350</w:t>
            </w:r>
          </w:p>
        </w:tc>
        <w:tc>
          <w:tcPr>
            <w:tcW w:w="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16,587</w:t>
            </w:r>
          </w:p>
        </w:tc>
        <w:tc>
          <w:tcPr>
            <w:tcW w:w="220" w:type="dxa"/>
            <w:vAlign w:val="bottom"/>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8.7</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268,298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283,965</w:t>
            </w:r>
          </w:p>
        </w:tc>
        <w:tc>
          <w:tcPr>
            <w:tcW w:w="2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148.9%</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3"/>
                <w:szCs w:val="13"/>
                <w:color w:val="auto"/>
              </w:rPr>
              <w:t xml:space="preserve">First Lien Debt (15.0% PIK, Due 12/31/17) </w:t>
            </w:r>
            <w:r>
              <w:rPr>
                <w:rFonts w:ascii="Arial" w:cs="Arial" w:eastAsia="Arial" w:hAnsi="Arial"/>
                <w:sz w:val="20"/>
                <w:szCs w:val="20"/>
                <w:color w:val="auto"/>
                <w:vertAlign w:val="superscript"/>
              </w:rPr>
              <w:t>(7) (8) (12)</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14,277</w:t>
            </w:r>
          </w:p>
        </w:tc>
        <w:tc>
          <w:tcPr>
            <w:tcW w:w="1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11,816</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2,878</w:t>
            </w:r>
          </w:p>
        </w:tc>
        <w:tc>
          <w:tcPr>
            <w:tcW w:w="2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-2294255</wp:posOffset>
            </wp:positionV>
            <wp:extent cx="7246620"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-2088515</wp:posOffset>
            </wp:positionV>
            <wp:extent cx="7246620" cy="1117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-1882775</wp:posOffset>
            </wp:positionV>
            <wp:extent cx="7246620"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-1694180</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-1428115</wp:posOffset>
            </wp:positionV>
            <wp:extent cx="7246620"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-1239520</wp:posOffset>
            </wp:positionV>
            <wp:extent cx="724662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-1068070</wp:posOffset>
            </wp:positionV>
            <wp:extent cx="724662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-887730</wp:posOffset>
            </wp:positionV>
            <wp:extent cx="7246620"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-699135</wp:posOffset>
            </wp:positionV>
            <wp:extent cx="7246620"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-424815</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-167640</wp:posOffset>
            </wp:positionV>
            <wp:extent cx="7246620" cy="1117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320" w:space="120"/>
            <w:col w:w="698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11,816</w:t>
            </w:r>
          </w:p>
        </w:tc>
        <w:tc>
          <w:tcPr>
            <w:tcW w:w="1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2,878</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240" w:type="dxa"/>
            <w:vAlign w:val="bottom"/>
            <w:shd w:val="clear" w:color="auto" w:fill="CCEEFF"/>
          </w:tcPr>
          <w:p>
            <w:pPr>
              <w:spacing w:after="0" w:line="97" w:lineRule="exact"/>
              <w:rPr>
                <w:sz w:val="20"/>
                <w:szCs w:val="20"/>
                <w:color w:val="auto"/>
              </w:rPr>
            </w:pPr>
            <w:r>
              <w:rPr>
                <w:rFonts w:ascii="Arial" w:cs="Arial" w:eastAsia="Arial" w:hAnsi="Arial"/>
                <w:sz w:val="11"/>
                <w:szCs w:val="11"/>
                <w:b w:val="1"/>
                <w:bCs w:val="1"/>
                <w:color w:val="auto"/>
              </w:rPr>
              <w:t>Sub Total Non-control/non-affiliated</w:t>
            </w:r>
          </w:p>
        </w:tc>
        <w:tc>
          <w:tcPr>
            <w:tcW w:w="2020" w:type="dxa"/>
            <w:vAlign w:val="bottom"/>
            <w:shd w:val="clear" w:color="auto" w:fill="CCEEFF"/>
          </w:tcPr>
          <w:p>
            <w:pPr>
              <w:spacing w:after="0"/>
              <w:rPr>
                <w:sz w:val="8"/>
                <w:szCs w:val="8"/>
                <w:color w:val="auto"/>
              </w:rPr>
            </w:pPr>
          </w:p>
        </w:tc>
        <w:tc>
          <w:tcPr>
            <w:tcW w:w="31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investments - Brazil</w:t>
            </w:r>
          </w:p>
        </w:tc>
        <w:tc>
          <w:tcPr>
            <w:tcW w:w="202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11,816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2,878</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tcBorders>
              <w:bottom w:val="single" w:sz="8" w:color="CCEEFF"/>
            </w:tcBorders>
          </w:tcPr>
          <w:p>
            <w:pPr>
              <w:spacing w:after="0"/>
              <w:rPr>
                <w:sz w:val="11"/>
                <w:szCs w:val="11"/>
                <w:color w:val="auto"/>
              </w:rPr>
            </w:pPr>
          </w:p>
        </w:tc>
        <w:tc>
          <w:tcPr>
            <w:tcW w:w="2020" w:type="dxa"/>
            <w:vAlign w:val="bottom"/>
            <w:tcBorders>
              <w:bottom w:val="single" w:sz="8" w:color="CCEEFF"/>
            </w:tcBorders>
          </w:tcPr>
          <w:p>
            <w:pPr>
              <w:spacing w:after="0"/>
              <w:rPr>
                <w:sz w:val="11"/>
                <w:szCs w:val="11"/>
                <w:color w:val="auto"/>
              </w:rPr>
            </w:pPr>
          </w:p>
        </w:tc>
        <w:tc>
          <w:tcPr>
            <w:tcW w:w="318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240" w:type="dxa"/>
            <w:vAlign w:val="bottom"/>
            <w:shd w:val="clear" w:color="auto" w:fill="CCEEFF"/>
          </w:tcPr>
          <w:p>
            <w:pPr>
              <w:spacing w:after="0" w:line="97" w:lineRule="exact"/>
              <w:rPr>
                <w:sz w:val="20"/>
                <w:szCs w:val="20"/>
                <w:color w:val="auto"/>
              </w:rPr>
            </w:pPr>
            <w:r>
              <w:rPr>
                <w:rFonts w:ascii="Arial" w:cs="Arial" w:eastAsia="Arial" w:hAnsi="Arial"/>
                <w:sz w:val="11"/>
                <w:szCs w:val="11"/>
                <w:b w:val="1"/>
                <w:bCs w:val="1"/>
                <w:color w:val="auto"/>
              </w:rPr>
              <w:t>Sub Total Non-control/non-affiliated</w:t>
            </w:r>
          </w:p>
        </w:tc>
        <w:tc>
          <w:tcPr>
            <w:tcW w:w="2020" w:type="dxa"/>
            <w:vAlign w:val="bottom"/>
            <w:shd w:val="clear" w:color="auto" w:fill="CCEEFF"/>
          </w:tcPr>
          <w:p>
            <w:pPr>
              <w:spacing w:after="0"/>
              <w:rPr>
                <w:sz w:val="8"/>
                <w:szCs w:val="8"/>
                <w:color w:val="auto"/>
              </w:rPr>
            </w:pPr>
          </w:p>
        </w:tc>
        <w:tc>
          <w:tcPr>
            <w:tcW w:w="31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investments</w:t>
            </w:r>
          </w:p>
        </w:tc>
        <w:tc>
          <w:tcPr>
            <w:tcW w:w="20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280,114</w:t>
            </w:r>
          </w:p>
        </w:tc>
        <w:tc>
          <w:tcPr>
            <w:tcW w:w="1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286,843</w:t>
            </w: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1"/>
                <w:szCs w:val="11"/>
                <w:color w:val="auto"/>
              </w:rPr>
              <w:t>150.4</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2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Affiliate Investments - 48.8%</w:t>
            </w:r>
          </w:p>
        </w:tc>
        <w:tc>
          <w:tcPr>
            <w:tcW w:w="20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2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Affiliate investments - United States</w:t>
            </w:r>
          </w:p>
        </w:tc>
        <w:tc>
          <w:tcPr>
            <w:tcW w:w="20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2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Burgaflex Holdings, LLC</w:t>
            </w:r>
          </w:p>
        </w:tc>
        <w:tc>
          <w:tcPr>
            <w:tcW w:w="2020" w:type="dxa"/>
            <w:vAlign w:val="bottom"/>
            <w:shd w:val="clear" w:color="auto" w:fill="CCEEFF"/>
          </w:tcPr>
          <w:p>
            <w:pPr>
              <w:ind w:left="300"/>
              <w:spacing w:after="0" w:line="135" w:lineRule="exact"/>
              <w:rPr>
                <w:sz w:val="20"/>
                <w:szCs w:val="20"/>
                <w:color w:val="auto"/>
              </w:rPr>
            </w:pPr>
            <w:r>
              <w:rPr>
                <w:rFonts w:ascii="Arial" w:cs="Arial" w:eastAsia="Arial" w:hAnsi="Arial"/>
                <w:sz w:val="13"/>
                <w:szCs w:val="13"/>
                <w:color w:val="auto"/>
                <w:w w:val="98"/>
              </w:rPr>
              <w:t>Automobile Part Manufacturer</w:t>
            </w:r>
          </w:p>
        </w:tc>
        <w:tc>
          <w:tcPr>
            <w:tcW w:w="31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w w:val="97"/>
              </w:rPr>
              <w:t>First Lien Debt (12.0% Cash, 1.0% PIK, Due 3/23/21)</w:t>
            </w:r>
          </w:p>
        </w:tc>
        <w:tc>
          <w:tcPr>
            <w:tcW w:w="5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14,801</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14,801</w:t>
            </w:r>
          </w:p>
        </w:tc>
        <w:tc>
          <w:tcPr>
            <w:tcW w:w="3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14,384</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2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Burgaflex Holdings, LLC</w:t>
            </w:r>
          </w:p>
        </w:tc>
        <w:tc>
          <w:tcPr>
            <w:tcW w:w="2020" w:type="dxa"/>
            <w:vAlign w:val="bottom"/>
            <w:shd w:val="clear" w:color="auto" w:fill="CCEEFF"/>
          </w:tcPr>
          <w:p>
            <w:pPr>
              <w:ind w:left="300"/>
              <w:spacing w:after="0" w:line="135" w:lineRule="exact"/>
              <w:rPr>
                <w:sz w:val="20"/>
                <w:szCs w:val="20"/>
                <w:color w:val="auto"/>
              </w:rPr>
            </w:pPr>
            <w:r>
              <w:rPr>
                <w:rFonts w:ascii="Arial" w:cs="Arial" w:eastAsia="Arial" w:hAnsi="Arial"/>
                <w:sz w:val="13"/>
                <w:szCs w:val="13"/>
                <w:color w:val="auto"/>
                <w:w w:val="98"/>
              </w:rPr>
              <w:t>Automobile Part Manufacturer</w:t>
            </w:r>
          </w:p>
        </w:tc>
        <w:tc>
          <w:tcPr>
            <w:tcW w:w="31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Common Stock Class A (1,253,198 shares)</w:t>
            </w: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2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Burgaflex Holdings, LLC</w:t>
            </w:r>
          </w:p>
        </w:tc>
        <w:tc>
          <w:tcPr>
            <w:tcW w:w="2020" w:type="dxa"/>
            <w:vAlign w:val="bottom"/>
            <w:shd w:val="clear" w:color="auto" w:fill="CCEEFF"/>
          </w:tcPr>
          <w:p>
            <w:pPr>
              <w:ind w:left="300"/>
              <w:spacing w:after="0" w:line="135" w:lineRule="exact"/>
              <w:rPr>
                <w:sz w:val="20"/>
                <w:szCs w:val="20"/>
                <w:color w:val="auto"/>
              </w:rPr>
            </w:pPr>
            <w:r>
              <w:rPr>
                <w:rFonts w:ascii="Arial" w:cs="Arial" w:eastAsia="Arial" w:hAnsi="Arial"/>
                <w:sz w:val="13"/>
                <w:szCs w:val="13"/>
                <w:color w:val="auto"/>
                <w:w w:val="98"/>
              </w:rPr>
              <w:t>Automobile Part Manufacturer</w:t>
            </w:r>
          </w:p>
        </w:tc>
        <w:tc>
          <w:tcPr>
            <w:tcW w:w="31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Common Stock Class B (900,000 shares)</w:t>
            </w: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16,605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14,384</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ectPr>
          <w:pgSz w:w="11900" w:h="16838" w:orient="portrait"/>
          <w:cols w:equalWidth="0" w:num="1">
            <w:col w:w="11420"/>
          </w:cols>
          <w:pgMar w:left="240" w:top="904" w:right="239" w:bottom="1440" w:gutter="0" w:footer="0" w:header="0"/>
        </w:sect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3"/>
                <w:szCs w:val="13"/>
                <w:b w:val="1"/>
                <w:bCs w:val="1"/>
                <w:color w:val="auto"/>
                <w:w w:val="85"/>
              </w:rPr>
              <w:t xml:space="preserve">Portfolio Company, Country </w:t>
            </w:r>
            <w:r>
              <w:rPr>
                <w:rFonts w:ascii="Arial" w:cs="Arial" w:eastAsia="Arial" w:hAnsi="Arial"/>
                <w:sz w:val="20"/>
                <w:szCs w:val="20"/>
                <w:b w:val="1"/>
                <w:bCs w:val="1"/>
                <w:color w:val="auto"/>
                <w:w w:val="85"/>
                <w:vertAlign w:val="superscript"/>
              </w:rPr>
              <w:t>(1)</w:t>
            </w:r>
            <w:r>
              <w:rPr>
                <w:rFonts w:ascii="Arial" w:cs="Arial" w:eastAsia="Arial" w:hAnsi="Arial"/>
                <w:sz w:val="20"/>
                <w:szCs w:val="20"/>
                <w:b w:val="1"/>
                <w:bCs w:val="1"/>
                <w:u w:val="single" w:color="auto"/>
                <w:color w:val="auto"/>
                <w:w w:val="85"/>
                <w:vertAlign w:val="superscript"/>
              </w:rPr>
              <w:t>,</w:t>
            </w:r>
            <w:r>
              <w:rPr>
                <w:rFonts w:ascii="Arial" w:cs="Arial" w:eastAsia="Arial" w:hAnsi="Arial"/>
                <w:sz w:val="13"/>
                <w:szCs w:val="13"/>
                <w:b w:val="1"/>
                <w:bCs w:val="1"/>
                <w:color w:val="auto"/>
                <w:w w:val="85"/>
              </w:rPr>
              <w:t xml:space="preserve"> </w:t>
            </w:r>
            <w:r>
              <w:rPr>
                <w:rFonts w:ascii="Arial" w:cs="Arial" w:eastAsia="Arial" w:hAnsi="Arial"/>
                <w:sz w:val="20"/>
                <w:szCs w:val="20"/>
                <w:b w:val="1"/>
                <w:bCs w:val="1"/>
                <w:color w:val="auto"/>
                <w:w w:val="85"/>
                <w:vertAlign w:val="superscript"/>
              </w:rPr>
              <w:t>(2), (3), (4), (19)</w:t>
            </w:r>
          </w:p>
        </w:tc>
        <w:tc>
          <w:tcPr>
            <w:tcW w:w="1760" w:type="dxa"/>
            <w:vAlign w:val="bottom"/>
          </w:tcPr>
          <w:p>
            <w:pPr>
              <w:ind w:left="660"/>
              <w:spacing w:after="0"/>
              <w:rPr>
                <w:sz w:val="20"/>
                <w:szCs w:val="20"/>
                <w:color w:val="auto"/>
              </w:rPr>
            </w:pPr>
            <w:r>
              <w:rPr>
                <w:rFonts w:ascii="Arial" w:cs="Arial" w:eastAsia="Arial" w:hAnsi="Arial"/>
                <w:sz w:val="13"/>
                <w:szCs w:val="13"/>
                <w:b w:val="1"/>
                <w:bCs w:val="1"/>
                <w:color w:val="auto"/>
              </w:rPr>
              <w:t>Industry</w:t>
            </w:r>
          </w:p>
        </w:tc>
      </w:tr>
      <w:tr>
        <w:trPr>
          <w:trHeight w:val="154"/>
        </w:trPr>
        <w:tc>
          <w:tcPr>
            <w:tcW w:w="20" w:type="dxa"/>
            <w:vAlign w:val="bottom"/>
          </w:tcPr>
          <w:p>
            <w:pPr>
              <w:spacing w:after="0"/>
              <w:rPr>
                <w:sz w:val="13"/>
                <w:szCs w:val="13"/>
                <w:color w:val="auto"/>
              </w:rPr>
            </w:pPr>
          </w:p>
        </w:tc>
        <w:tc>
          <w:tcPr>
            <w:tcW w:w="24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City Gear, LLC</w:t>
            </w:r>
          </w:p>
        </w:tc>
        <w:tc>
          <w:tcPr>
            <w:tcW w:w="100" w:type="dxa"/>
            <w:vAlign w:val="bottom"/>
          </w:tcPr>
          <w:p>
            <w:pPr>
              <w:spacing w:after="0"/>
              <w:rPr>
                <w:sz w:val="13"/>
                <w:szCs w:val="13"/>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Footwear Retail</w:t>
            </w:r>
          </w:p>
        </w:tc>
      </w:tr>
      <w:tr>
        <w:trPr>
          <w:trHeight w:val="607"/>
        </w:trPr>
        <w:tc>
          <w:tcPr>
            <w:tcW w:w="2560" w:type="dxa"/>
            <w:vAlign w:val="bottom"/>
            <w:gridSpan w:val="3"/>
          </w:tcPr>
          <w:p>
            <w:pPr>
              <w:spacing w:after="0"/>
              <w:rPr>
                <w:sz w:val="20"/>
                <w:szCs w:val="20"/>
                <w:color w:val="auto"/>
              </w:rPr>
            </w:pPr>
            <w:r>
              <w:rPr>
                <w:rFonts w:ascii="Arial" w:cs="Arial" w:eastAsia="Arial" w:hAnsi="Arial"/>
                <w:sz w:val="13"/>
                <w:szCs w:val="13"/>
                <w:color w:val="auto"/>
              </w:rPr>
              <w:t>Eastport Holdings, LLC</w:t>
            </w:r>
          </w:p>
        </w:tc>
        <w:tc>
          <w:tcPr>
            <w:tcW w:w="176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405"/>
        </w:trPr>
        <w:tc>
          <w:tcPr>
            <w:tcW w:w="2560" w:type="dxa"/>
            <w:vAlign w:val="bottom"/>
            <w:gridSpan w:val="3"/>
          </w:tcPr>
          <w:p>
            <w:pPr>
              <w:spacing w:after="0"/>
              <w:rPr>
                <w:sz w:val="20"/>
                <w:szCs w:val="20"/>
                <w:color w:val="auto"/>
              </w:rPr>
            </w:pPr>
            <w:r>
              <w:rPr>
                <w:rFonts w:ascii="Arial" w:cs="Arial" w:eastAsia="Arial" w:hAnsi="Arial"/>
                <w:sz w:val="13"/>
                <w:szCs w:val="13"/>
                <w:color w:val="auto"/>
              </w:rPr>
              <w:t>Eastport Holdings, LLC</w:t>
            </w:r>
          </w:p>
        </w:tc>
        <w:tc>
          <w:tcPr>
            <w:tcW w:w="176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581"/>
        </w:trPr>
        <w:tc>
          <w:tcPr>
            <w:tcW w:w="2560" w:type="dxa"/>
            <w:vAlign w:val="bottom"/>
            <w:gridSpan w:val="3"/>
          </w:tcPr>
          <w:p>
            <w:pPr>
              <w:spacing w:after="0"/>
              <w:rPr>
                <w:sz w:val="20"/>
                <w:szCs w:val="20"/>
                <w:color w:val="auto"/>
              </w:rPr>
            </w:pPr>
            <w:r>
              <w:rPr>
                <w:rFonts w:ascii="Arial" w:cs="Arial" w:eastAsia="Arial" w:hAnsi="Arial"/>
                <w:sz w:val="13"/>
                <w:szCs w:val="13"/>
                <w:color w:val="auto"/>
              </w:rPr>
              <w:t>GA Communications, Inc.</w:t>
            </w:r>
          </w:p>
        </w:tc>
        <w:tc>
          <w:tcPr>
            <w:tcW w:w="1760" w:type="dxa"/>
            <w:vAlign w:val="bottom"/>
          </w:tcPr>
          <w:p>
            <w:pPr>
              <w:spacing w:after="0"/>
              <w:rPr>
                <w:sz w:val="20"/>
                <w:szCs w:val="20"/>
                <w:color w:val="auto"/>
              </w:rPr>
            </w:pPr>
            <w:r>
              <w:rPr>
                <w:rFonts w:ascii="Arial" w:cs="Arial" w:eastAsia="Arial" w:hAnsi="Arial"/>
                <w:sz w:val="13"/>
                <w:szCs w:val="13"/>
                <w:color w:val="auto"/>
                <w:w w:val="91"/>
              </w:rPr>
              <w:t>Advertising &amp; Marketing Services</w:t>
            </w:r>
          </w:p>
        </w:tc>
      </w:tr>
      <w:tr>
        <w:trPr>
          <w:trHeight w:val="446"/>
        </w:trPr>
        <w:tc>
          <w:tcPr>
            <w:tcW w:w="2560" w:type="dxa"/>
            <w:vAlign w:val="bottom"/>
            <w:gridSpan w:val="3"/>
          </w:tcPr>
          <w:p>
            <w:pPr>
              <w:spacing w:after="0"/>
              <w:rPr>
                <w:sz w:val="20"/>
                <w:szCs w:val="20"/>
                <w:color w:val="auto"/>
              </w:rPr>
            </w:pPr>
            <w:r>
              <w:rPr>
                <w:rFonts w:ascii="Arial" w:cs="Arial" w:eastAsia="Arial" w:hAnsi="Arial"/>
                <w:sz w:val="13"/>
                <w:szCs w:val="13"/>
                <w:color w:val="auto"/>
              </w:rPr>
              <w:t>GA Communications, Inc.</w:t>
            </w:r>
          </w:p>
        </w:tc>
        <w:tc>
          <w:tcPr>
            <w:tcW w:w="1760" w:type="dxa"/>
            <w:vAlign w:val="bottom"/>
          </w:tcPr>
          <w:p>
            <w:pPr>
              <w:spacing w:after="0"/>
              <w:rPr>
                <w:sz w:val="20"/>
                <w:szCs w:val="20"/>
                <w:color w:val="auto"/>
              </w:rPr>
            </w:pPr>
            <w:r>
              <w:rPr>
                <w:rFonts w:ascii="Arial" w:cs="Arial" w:eastAsia="Arial" w:hAnsi="Arial"/>
                <w:sz w:val="13"/>
                <w:szCs w:val="13"/>
                <w:color w:val="auto"/>
                <w:w w:val="91"/>
              </w:rPr>
              <w:t>Advertising &amp; Marketing Services</w:t>
            </w:r>
          </w:p>
        </w:tc>
      </w:tr>
      <w:tr>
        <w:trPr>
          <w:trHeight w:val="581"/>
        </w:trPr>
        <w:tc>
          <w:tcPr>
            <w:tcW w:w="2560" w:type="dxa"/>
            <w:vAlign w:val="bottom"/>
            <w:gridSpan w:val="3"/>
          </w:tcPr>
          <w:p>
            <w:pPr>
              <w:spacing w:after="0"/>
              <w:rPr>
                <w:sz w:val="20"/>
                <w:szCs w:val="20"/>
                <w:color w:val="auto"/>
              </w:rPr>
            </w:pPr>
            <w:r>
              <w:rPr>
                <w:rFonts w:ascii="Arial" w:cs="Arial" w:eastAsia="Arial" w:hAnsi="Arial"/>
                <w:sz w:val="13"/>
                <w:szCs w:val="13"/>
                <w:color w:val="auto"/>
              </w:rPr>
              <w:t>J&amp;J Produce Holdings, Inc.</w:t>
            </w:r>
          </w:p>
        </w:tc>
        <w:tc>
          <w:tcPr>
            <w:tcW w:w="1760" w:type="dxa"/>
            <w:vAlign w:val="bottom"/>
          </w:tcPr>
          <w:p>
            <w:pPr>
              <w:spacing w:after="0"/>
              <w:rPr>
                <w:sz w:val="20"/>
                <w:szCs w:val="20"/>
                <w:color w:val="auto"/>
              </w:rPr>
            </w:pPr>
            <w:r>
              <w:rPr>
                <w:rFonts w:ascii="Arial" w:cs="Arial" w:eastAsia="Arial" w:hAnsi="Arial"/>
                <w:sz w:val="13"/>
                <w:szCs w:val="13"/>
                <w:color w:val="auto"/>
              </w:rPr>
              <w:t>Produce Distribution</w:t>
            </w:r>
          </w:p>
        </w:tc>
      </w:tr>
      <w:tr>
        <w:trPr>
          <w:trHeight w:val="311"/>
        </w:trPr>
        <w:tc>
          <w:tcPr>
            <w:tcW w:w="2560" w:type="dxa"/>
            <w:vAlign w:val="bottom"/>
            <w:gridSpan w:val="3"/>
          </w:tcPr>
          <w:p>
            <w:pPr>
              <w:spacing w:after="0"/>
              <w:rPr>
                <w:sz w:val="20"/>
                <w:szCs w:val="20"/>
                <w:color w:val="auto"/>
              </w:rPr>
            </w:pPr>
            <w:r>
              <w:rPr>
                <w:rFonts w:ascii="Arial" w:cs="Arial" w:eastAsia="Arial" w:hAnsi="Arial"/>
                <w:sz w:val="13"/>
                <w:szCs w:val="13"/>
                <w:color w:val="auto"/>
              </w:rPr>
              <w:t>J&amp;J Produce Holdings, Inc.</w:t>
            </w:r>
          </w:p>
        </w:tc>
        <w:tc>
          <w:tcPr>
            <w:tcW w:w="1760" w:type="dxa"/>
            <w:vAlign w:val="bottom"/>
          </w:tcPr>
          <w:p>
            <w:pPr>
              <w:spacing w:after="0"/>
              <w:rPr>
                <w:sz w:val="20"/>
                <w:szCs w:val="20"/>
                <w:color w:val="auto"/>
              </w:rPr>
            </w:pPr>
            <w:r>
              <w:rPr>
                <w:rFonts w:ascii="Arial" w:cs="Arial" w:eastAsia="Arial" w:hAnsi="Arial"/>
                <w:sz w:val="13"/>
                <w:szCs w:val="13"/>
                <w:color w:val="auto"/>
              </w:rPr>
              <w:t>Produce Distribution</w:t>
            </w:r>
          </w:p>
        </w:tc>
      </w:tr>
      <w:tr>
        <w:trPr>
          <w:trHeight w:val="270"/>
        </w:trPr>
        <w:tc>
          <w:tcPr>
            <w:tcW w:w="2560" w:type="dxa"/>
            <w:vAlign w:val="bottom"/>
            <w:gridSpan w:val="3"/>
          </w:tcPr>
          <w:p>
            <w:pPr>
              <w:spacing w:after="0"/>
              <w:rPr>
                <w:sz w:val="20"/>
                <w:szCs w:val="20"/>
                <w:color w:val="auto"/>
              </w:rPr>
            </w:pPr>
            <w:r>
              <w:rPr>
                <w:rFonts w:ascii="Arial" w:cs="Arial" w:eastAsia="Arial" w:hAnsi="Arial"/>
                <w:sz w:val="13"/>
                <w:szCs w:val="13"/>
                <w:color w:val="auto"/>
              </w:rPr>
              <w:t>J&amp;J Produce Holdings, Inc.</w:t>
            </w:r>
          </w:p>
        </w:tc>
        <w:tc>
          <w:tcPr>
            <w:tcW w:w="1760" w:type="dxa"/>
            <w:vAlign w:val="bottom"/>
          </w:tcPr>
          <w:p>
            <w:pPr>
              <w:spacing w:after="0"/>
              <w:rPr>
                <w:sz w:val="20"/>
                <w:szCs w:val="20"/>
                <w:color w:val="auto"/>
              </w:rPr>
            </w:pPr>
            <w:r>
              <w:rPr>
                <w:rFonts w:ascii="Arial" w:cs="Arial" w:eastAsia="Arial" w:hAnsi="Arial"/>
                <w:sz w:val="13"/>
                <w:szCs w:val="13"/>
                <w:color w:val="auto"/>
              </w:rPr>
              <w:t>Produce Distribution</w:t>
            </w:r>
          </w:p>
        </w:tc>
      </w:tr>
      <w:tr>
        <w:trPr>
          <w:trHeight w:val="581"/>
        </w:trPr>
        <w:tc>
          <w:tcPr>
            <w:tcW w:w="2560" w:type="dxa"/>
            <w:vAlign w:val="bottom"/>
            <w:gridSpan w:val="3"/>
          </w:tcPr>
          <w:p>
            <w:pPr>
              <w:spacing w:after="0"/>
              <w:rPr>
                <w:sz w:val="20"/>
                <w:szCs w:val="20"/>
                <w:color w:val="auto"/>
              </w:rPr>
            </w:pPr>
            <w:r>
              <w:rPr>
                <w:rFonts w:ascii="Arial" w:cs="Arial" w:eastAsia="Arial" w:hAnsi="Arial"/>
                <w:sz w:val="13"/>
                <w:szCs w:val="13"/>
                <w:color w:val="auto"/>
              </w:rPr>
              <w:t>LJS Partners, LLC</w:t>
            </w:r>
          </w:p>
        </w:tc>
        <w:tc>
          <w:tcPr>
            <w:tcW w:w="1760" w:type="dxa"/>
            <w:vAlign w:val="bottom"/>
          </w:tcPr>
          <w:p>
            <w:pPr>
              <w:spacing w:after="0"/>
              <w:rPr>
                <w:sz w:val="20"/>
                <w:szCs w:val="20"/>
                <w:color w:val="auto"/>
              </w:rPr>
            </w:pPr>
            <w:r>
              <w:rPr>
                <w:rFonts w:ascii="Arial" w:cs="Arial" w:eastAsia="Arial" w:hAnsi="Arial"/>
                <w:sz w:val="13"/>
                <w:szCs w:val="13"/>
                <w:color w:val="auto"/>
              </w:rPr>
              <w:t>QSR Franchisor</w:t>
            </w:r>
          </w:p>
        </w:tc>
      </w:tr>
      <w:tr>
        <w:trPr>
          <w:trHeight w:val="581"/>
        </w:trPr>
        <w:tc>
          <w:tcPr>
            <w:tcW w:w="2560" w:type="dxa"/>
            <w:vAlign w:val="bottom"/>
            <w:gridSpan w:val="3"/>
          </w:tcPr>
          <w:p>
            <w:pPr>
              <w:spacing w:after="0"/>
              <w:rPr>
                <w:sz w:val="20"/>
                <w:szCs w:val="20"/>
                <w:color w:val="auto"/>
              </w:rPr>
            </w:pPr>
            <w:r>
              <w:rPr>
                <w:rFonts w:ascii="Arial" w:cs="Arial" w:eastAsia="Arial" w:hAnsi="Arial"/>
                <w:sz w:val="13"/>
                <w:szCs w:val="13"/>
                <w:color w:val="auto"/>
              </w:rPr>
              <w:t>MMI Holdings, LLC</w:t>
            </w:r>
          </w:p>
        </w:tc>
        <w:tc>
          <w:tcPr>
            <w:tcW w:w="1760" w:type="dxa"/>
            <w:vAlign w:val="bottom"/>
          </w:tcPr>
          <w:p>
            <w:pPr>
              <w:spacing w:after="0"/>
              <w:rPr>
                <w:sz w:val="20"/>
                <w:szCs w:val="20"/>
                <w:color w:val="auto"/>
              </w:rPr>
            </w:pPr>
            <w:r>
              <w:rPr>
                <w:rFonts w:ascii="Arial" w:cs="Arial" w:eastAsia="Arial" w:hAnsi="Arial"/>
                <w:sz w:val="13"/>
                <w:szCs w:val="13"/>
                <w:color w:val="auto"/>
              </w:rPr>
              <w:t>Medical Device Distributor</w:t>
            </w:r>
          </w:p>
        </w:tc>
      </w:tr>
      <w:tr>
        <w:trPr>
          <w:trHeight w:val="311"/>
        </w:trPr>
        <w:tc>
          <w:tcPr>
            <w:tcW w:w="2560" w:type="dxa"/>
            <w:vAlign w:val="bottom"/>
            <w:gridSpan w:val="3"/>
          </w:tcPr>
          <w:p>
            <w:pPr>
              <w:spacing w:after="0"/>
              <w:rPr>
                <w:sz w:val="20"/>
                <w:szCs w:val="20"/>
                <w:color w:val="auto"/>
              </w:rPr>
            </w:pPr>
            <w:r>
              <w:rPr>
                <w:rFonts w:ascii="Arial" w:cs="Arial" w:eastAsia="Arial" w:hAnsi="Arial"/>
                <w:sz w:val="13"/>
                <w:szCs w:val="13"/>
                <w:color w:val="auto"/>
              </w:rPr>
              <w:t>MMI Holdings, LLC</w:t>
            </w:r>
          </w:p>
        </w:tc>
        <w:tc>
          <w:tcPr>
            <w:tcW w:w="1760" w:type="dxa"/>
            <w:vAlign w:val="bottom"/>
          </w:tcPr>
          <w:p>
            <w:pPr>
              <w:spacing w:after="0"/>
              <w:rPr>
                <w:sz w:val="20"/>
                <w:szCs w:val="20"/>
                <w:color w:val="auto"/>
              </w:rPr>
            </w:pPr>
            <w:r>
              <w:rPr>
                <w:rFonts w:ascii="Arial" w:cs="Arial" w:eastAsia="Arial" w:hAnsi="Arial"/>
                <w:sz w:val="13"/>
                <w:szCs w:val="13"/>
                <w:color w:val="auto"/>
              </w:rPr>
              <w:t>Medical Device Distributor</w:t>
            </w:r>
          </w:p>
        </w:tc>
      </w:tr>
      <w:tr>
        <w:trPr>
          <w:trHeight w:val="311"/>
        </w:trPr>
        <w:tc>
          <w:tcPr>
            <w:tcW w:w="2560" w:type="dxa"/>
            <w:vAlign w:val="bottom"/>
            <w:gridSpan w:val="3"/>
          </w:tcPr>
          <w:p>
            <w:pPr>
              <w:spacing w:after="0"/>
              <w:rPr>
                <w:sz w:val="20"/>
                <w:szCs w:val="20"/>
                <w:color w:val="auto"/>
              </w:rPr>
            </w:pPr>
            <w:r>
              <w:rPr>
                <w:rFonts w:ascii="Arial" w:cs="Arial" w:eastAsia="Arial" w:hAnsi="Arial"/>
                <w:sz w:val="13"/>
                <w:szCs w:val="13"/>
                <w:color w:val="auto"/>
              </w:rPr>
              <w:t>MMI Holdings, LLC</w:t>
            </w:r>
          </w:p>
        </w:tc>
        <w:tc>
          <w:tcPr>
            <w:tcW w:w="1760" w:type="dxa"/>
            <w:vAlign w:val="bottom"/>
          </w:tcPr>
          <w:p>
            <w:pPr>
              <w:spacing w:after="0"/>
              <w:rPr>
                <w:sz w:val="20"/>
                <w:szCs w:val="20"/>
                <w:color w:val="auto"/>
              </w:rPr>
            </w:pPr>
            <w:r>
              <w:rPr>
                <w:rFonts w:ascii="Arial" w:cs="Arial" w:eastAsia="Arial" w:hAnsi="Arial"/>
                <w:sz w:val="13"/>
                <w:szCs w:val="13"/>
                <w:color w:val="auto"/>
              </w:rPr>
              <w:t>Medical Device Distributor</w:t>
            </w:r>
          </w:p>
        </w:tc>
      </w:tr>
      <w:tr>
        <w:trPr>
          <w:trHeight w:val="311"/>
        </w:trPr>
        <w:tc>
          <w:tcPr>
            <w:tcW w:w="2560" w:type="dxa"/>
            <w:vAlign w:val="bottom"/>
            <w:gridSpan w:val="3"/>
          </w:tcPr>
          <w:p>
            <w:pPr>
              <w:spacing w:after="0"/>
              <w:rPr>
                <w:sz w:val="20"/>
                <w:szCs w:val="20"/>
                <w:color w:val="auto"/>
              </w:rPr>
            </w:pPr>
            <w:r>
              <w:rPr>
                <w:rFonts w:ascii="Arial" w:cs="Arial" w:eastAsia="Arial" w:hAnsi="Arial"/>
                <w:sz w:val="13"/>
                <w:szCs w:val="13"/>
                <w:color w:val="auto"/>
              </w:rPr>
              <w:t>MMI Holdings, LLC</w:t>
            </w:r>
          </w:p>
        </w:tc>
        <w:tc>
          <w:tcPr>
            <w:tcW w:w="1760" w:type="dxa"/>
            <w:vAlign w:val="bottom"/>
          </w:tcPr>
          <w:p>
            <w:pPr>
              <w:spacing w:after="0"/>
              <w:rPr>
                <w:sz w:val="20"/>
                <w:szCs w:val="20"/>
                <w:color w:val="auto"/>
              </w:rPr>
            </w:pPr>
            <w:r>
              <w:rPr>
                <w:rFonts w:ascii="Arial" w:cs="Arial" w:eastAsia="Arial" w:hAnsi="Arial"/>
                <w:sz w:val="13"/>
                <w:szCs w:val="13"/>
                <w:color w:val="auto"/>
              </w:rPr>
              <w:t>Medical Device Distributor</w:t>
            </w:r>
          </w:p>
        </w:tc>
      </w:tr>
      <w:tr>
        <w:trPr>
          <w:trHeight w:val="556"/>
        </w:trPr>
        <w:tc>
          <w:tcPr>
            <w:tcW w:w="2560" w:type="dxa"/>
            <w:vAlign w:val="bottom"/>
            <w:gridSpan w:val="3"/>
          </w:tcPr>
          <w:p>
            <w:pPr>
              <w:spacing w:after="0"/>
              <w:rPr>
                <w:sz w:val="20"/>
                <w:szCs w:val="20"/>
                <w:color w:val="auto"/>
              </w:rPr>
            </w:pPr>
            <w:r>
              <w:rPr>
                <w:rFonts w:ascii="Arial" w:cs="Arial" w:eastAsia="Arial" w:hAnsi="Arial"/>
                <w:sz w:val="13"/>
                <w:szCs w:val="13"/>
                <w:color w:val="auto"/>
              </w:rPr>
              <w:t>Sierra Hamilton Holdings Corporation</w:t>
            </w:r>
          </w:p>
        </w:tc>
        <w:tc>
          <w:tcPr>
            <w:tcW w:w="1760" w:type="dxa"/>
            <w:vAlign w:val="bottom"/>
          </w:tcPr>
          <w:p>
            <w:pPr>
              <w:spacing w:after="0"/>
              <w:rPr>
                <w:sz w:val="20"/>
                <w:szCs w:val="20"/>
                <w:color w:val="auto"/>
              </w:rPr>
            </w:pPr>
            <w:r>
              <w:rPr>
                <w:rFonts w:ascii="Arial" w:cs="Arial" w:eastAsia="Arial" w:hAnsi="Arial"/>
                <w:sz w:val="13"/>
                <w:szCs w:val="13"/>
                <w:color w:val="auto"/>
              </w:rPr>
              <w:t>Oil &amp; Gas Engineering and</w:t>
            </w:r>
          </w:p>
        </w:tc>
      </w:tr>
      <w:tr>
        <w:trPr>
          <w:trHeight w:val="160"/>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20"/>
                <w:szCs w:val="20"/>
                <w:color w:val="auto"/>
              </w:rPr>
            </w:pPr>
            <w:r>
              <w:rPr>
                <w:rFonts w:ascii="Arial" w:cs="Arial" w:eastAsia="Arial" w:hAnsi="Arial"/>
                <w:sz w:val="13"/>
                <w:szCs w:val="13"/>
                <w:color w:val="auto"/>
              </w:rPr>
              <w:t>Consulting Services</w:t>
            </w: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w w:val="90"/>
              </w:rPr>
              <w:t>Principal</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3"/>
          </w:tcPr>
          <w:p>
            <w:pPr>
              <w:jc w:val="right"/>
              <w:ind w:right="233"/>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3060" w:type="dxa"/>
            <w:vAlign w:val="bottom"/>
            <w:tcBorders>
              <w:bottom w:val="single" w:sz="8" w:color="auto"/>
            </w:tcBorders>
          </w:tcPr>
          <w:p>
            <w:pPr>
              <w:ind w:left="1020"/>
              <w:spacing w:after="0"/>
              <w:rPr>
                <w:sz w:val="20"/>
                <w:szCs w:val="20"/>
                <w:color w:val="auto"/>
              </w:rPr>
            </w:pPr>
            <w:r>
              <w:rPr>
                <w:rFonts w:ascii="Arial" w:cs="Arial" w:eastAsia="Arial" w:hAnsi="Arial"/>
                <w:sz w:val="13"/>
                <w:szCs w:val="13"/>
                <w:b w:val="1"/>
                <w:bCs w:val="1"/>
                <w:color w:val="auto"/>
              </w:rPr>
              <w:t>Type of Investment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0"/>
              </w:rPr>
              <w:t>Fair Value</w:t>
            </w:r>
          </w:p>
        </w:tc>
        <w:tc>
          <w:tcPr>
            <w:tcW w:w="22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3"/>
              </w:rPr>
              <w:t>Net Assets</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0"/>
                <w:szCs w:val="20"/>
                <w:color w:val="auto"/>
              </w:rPr>
            </w:pPr>
            <w:r>
              <w:rPr>
                <w:rFonts w:ascii="Arial" w:cs="Arial" w:eastAsia="Arial" w:hAnsi="Arial"/>
                <w:sz w:val="13"/>
                <w:szCs w:val="13"/>
                <w:color w:val="auto"/>
              </w:rPr>
              <w:t xml:space="preserve">Membership Unit Warrants (11.4% fully diluted) </w:t>
            </w:r>
            <w:r>
              <w:rPr>
                <w:rFonts w:ascii="Arial" w:cs="Arial" w:eastAsia="Arial" w:hAnsi="Arial"/>
                <w:sz w:val="20"/>
                <w:szCs w:val="20"/>
                <w:color w:val="auto"/>
                <w:vertAlign w:val="superscript"/>
              </w:rPr>
              <w:t>(14)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3,184</w:t>
            </w:r>
          </w:p>
        </w:tc>
        <w:tc>
          <w:tcPr>
            <w:tcW w:w="22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52"/>
        </w:trPr>
        <w:tc>
          <w:tcPr>
            <w:tcW w:w="3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3,184</w:t>
            </w:r>
          </w:p>
        </w:tc>
        <w:tc>
          <w:tcPr>
            <w:tcW w:w="220" w:type="dxa"/>
            <w:vAlign w:val="bottom"/>
          </w:tcPr>
          <w:p>
            <w:pPr>
              <w:spacing w:after="0"/>
              <w:rPr>
                <w:sz w:val="11"/>
                <w:szCs w:val="11"/>
                <w:color w:val="auto"/>
              </w:rPr>
            </w:pPr>
          </w:p>
        </w:tc>
        <w:tc>
          <w:tcPr>
            <w:tcW w:w="62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1.7</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3280" w:type="dxa"/>
            <w:vAlign w:val="bottom"/>
            <w:gridSpan w:val="2"/>
          </w:tcPr>
          <w:p>
            <w:pPr>
              <w:spacing w:after="0"/>
              <w:rPr>
                <w:sz w:val="20"/>
                <w:szCs w:val="20"/>
                <w:color w:val="auto"/>
              </w:rPr>
            </w:pPr>
            <w:r>
              <w:rPr>
                <w:rFonts w:ascii="Arial" w:cs="Arial" w:eastAsia="Arial" w:hAnsi="Arial"/>
                <w:sz w:val="13"/>
                <w:szCs w:val="13"/>
                <w:color w:val="auto"/>
                <w:w w:val="95"/>
              </w:rPr>
              <w:t>Subordinated Debt (15.8% Cash (3 month LIBOR + 13.0%,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280" w:type="dxa"/>
            <w:vAlign w:val="bottom"/>
            <w:gridSpan w:val="2"/>
          </w:tcPr>
          <w:p>
            <w:pPr>
              <w:spacing w:after="0"/>
              <w:rPr>
                <w:sz w:val="20"/>
                <w:szCs w:val="20"/>
                <w:color w:val="auto"/>
              </w:rPr>
            </w:pPr>
            <w:r>
              <w:rPr>
                <w:rFonts w:ascii="Arial" w:cs="Arial" w:eastAsia="Arial" w:hAnsi="Arial"/>
                <w:sz w:val="13"/>
                <w:szCs w:val="13"/>
                <w:color w:val="auto"/>
              </w:rPr>
              <w:t>0.5% Floor), Due 4/29/20)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16,500</w:t>
            </w:r>
          </w:p>
        </w:tc>
        <w:tc>
          <w:tcPr>
            <w:tcW w:w="1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15,496</w:t>
            </w:r>
          </w:p>
        </w:tc>
        <w:tc>
          <w:tcPr>
            <w:tcW w:w="10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16,500</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3"/>
                <w:szCs w:val="13"/>
                <w:color w:val="auto"/>
              </w:rPr>
              <w:t>Membership Units (22.9% ownership)</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3,263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17,610</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18,759</w:t>
            </w:r>
          </w:p>
        </w:tc>
        <w:tc>
          <w:tcPr>
            <w:tcW w:w="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34,110</w:t>
            </w:r>
          </w:p>
        </w:tc>
        <w:tc>
          <w:tcPr>
            <w:tcW w:w="220" w:type="dxa"/>
            <w:vAlign w:val="bottom"/>
            <w:vMerge w:val="continue"/>
          </w:tcPr>
          <w:p>
            <w:pPr>
              <w:spacing w:after="0"/>
              <w:rPr>
                <w:sz w:val="11"/>
                <w:szCs w:val="11"/>
                <w:color w:val="auto"/>
              </w:rPr>
            </w:pPr>
          </w:p>
        </w:tc>
        <w:tc>
          <w:tcPr>
            <w:tcW w:w="62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17.9</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3280" w:type="dxa"/>
            <w:vAlign w:val="bottom"/>
            <w:gridSpan w:val="2"/>
          </w:tcPr>
          <w:p>
            <w:pPr>
              <w:spacing w:after="0"/>
              <w:rPr>
                <w:sz w:val="20"/>
                <w:szCs w:val="20"/>
                <w:color w:val="auto"/>
              </w:rPr>
            </w:pPr>
            <w:r>
              <w:rPr>
                <w:rFonts w:ascii="Arial" w:cs="Arial" w:eastAsia="Arial" w:hAnsi="Arial"/>
                <w:sz w:val="13"/>
                <w:szCs w:val="13"/>
                <w:color w:val="auto"/>
              </w:rPr>
              <w:t>Series A-1 Preferred Stock (1,998 shares, 8.0% PIK</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280" w:type="dxa"/>
            <w:vAlign w:val="bottom"/>
            <w:gridSpan w:val="2"/>
          </w:tcPr>
          <w:p>
            <w:pPr>
              <w:spacing w:after="0"/>
              <w:rPr>
                <w:sz w:val="20"/>
                <w:szCs w:val="20"/>
                <w:color w:val="auto"/>
              </w:rPr>
            </w:pPr>
            <w:r>
              <w:rPr>
                <w:rFonts w:ascii="Arial" w:cs="Arial" w:eastAsia="Arial" w:hAnsi="Arial"/>
                <w:sz w:val="13"/>
                <w:szCs w:val="13"/>
                <w:color w:val="auto"/>
              </w:rPr>
              <w:t xml:space="preserve">Dividend) </w:t>
            </w:r>
            <w:r>
              <w:rPr>
                <w:rFonts w:ascii="Arial" w:cs="Arial" w:eastAsia="Arial" w:hAnsi="Arial"/>
                <w:sz w:val="20"/>
                <w:szCs w:val="20"/>
                <w:color w:val="auto"/>
                <w:vertAlign w:val="superscript"/>
              </w:rPr>
              <w:t>(5)</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3,179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3,482</w:t>
            </w:r>
          </w:p>
        </w:tc>
        <w:tc>
          <w:tcPr>
            <w:tcW w:w="22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92"/>
        </w:trPr>
        <w:tc>
          <w:tcPr>
            <w:tcW w:w="3280" w:type="dxa"/>
            <w:vAlign w:val="bottom"/>
            <w:gridSpan w:val="2"/>
          </w:tcPr>
          <w:p>
            <w:pPr>
              <w:spacing w:after="0"/>
              <w:rPr>
                <w:sz w:val="20"/>
                <w:szCs w:val="20"/>
                <w:color w:val="auto"/>
              </w:rPr>
            </w:pPr>
            <w:r>
              <w:rPr>
                <w:rFonts w:ascii="Arial" w:cs="Arial" w:eastAsia="Arial" w:hAnsi="Arial"/>
                <w:sz w:val="13"/>
                <w:szCs w:val="13"/>
                <w:color w:val="auto"/>
              </w:rPr>
              <w:t>Series B-1 Common Stock (200,000 shares)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1,325</w:t>
            </w:r>
          </w:p>
        </w:tc>
        <w:tc>
          <w:tcPr>
            <w:tcW w:w="22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3,181</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4,807</w:t>
            </w:r>
          </w:p>
        </w:tc>
        <w:tc>
          <w:tcPr>
            <w:tcW w:w="220" w:type="dxa"/>
            <w:vAlign w:val="bottom"/>
          </w:tcPr>
          <w:p>
            <w:pPr>
              <w:spacing w:after="0"/>
              <w:rPr>
                <w:sz w:val="11"/>
                <w:szCs w:val="11"/>
                <w:color w:val="auto"/>
              </w:rPr>
            </w:pPr>
          </w:p>
        </w:tc>
        <w:tc>
          <w:tcPr>
            <w:tcW w:w="62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2.5</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3"/>
        </w:trPr>
        <w:tc>
          <w:tcPr>
            <w:tcW w:w="3280" w:type="dxa"/>
            <w:vAlign w:val="bottom"/>
            <w:gridSpan w:val="2"/>
          </w:tcPr>
          <w:p>
            <w:pPr>
              <w:spacing w:after="0"/>
              <w:rPr>
                <w:sz w:val="20"/>
                <w:szCs w:val="20"/>
                <w:color w:val="auto"/>
              </w:rPr>
            </w:pPr>
            <w:r>
              <w:rPr>
                <w:rFonts w:ascii="Arial" w:cs="Arial" w:eastAsia="Arial" w:hAnsi="Arial"/>
                <w:sz w:val="13"/>
                <w:szCs w:val="13"/>
                <w:color w:val="auto"/>
              </w:rPr>
              <w:t xml:space="preserve">Subordinated Debt (13.0% Cash, Due 6/16/19) </w:t>
            </w:r>
            <w:r>
              <w:rPr>
                <w:rFonts w:ascii="Arial" w:cs="Arial" w:eastAsia="Arial" w:hAnsi="Arial"/>
                <w:sz w:val="20"/>
                <w:szCs w:val="20"/>
                <w:color w:val="auto"/>
                <w:vertAlign w:val="superscript"/>
              </w:rPr>
              <w:t>(12)</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6,406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6,406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6,210</w:t>
            </w: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92"/>
        </w:trPr>
        <w:tc>
          <w:tcPr>
            <w:tcW w:w="3280" w:type="dxa"/>
            <w:vAlign w:val="bottom"/>
            <w:gridSpan w:val="2"/>
          </w:tcPr>
          <w:p>
            <w:pPr>
              <w:spacing w:after="0"/>
              <w:rPr>
                <w:sz w:val="20"/>
                <w:szCs w:val="20"/>
                <w:color w:val="auto"/>
              </w:rPr>
            </w:pPr>
            <w:r>
              <w:rPr>
                <w:rFonts w:ascii="Arial" w:cs="Arial" w:eastAsia="Arial" w:hAnsi="Arial"/>
                <w:sz w:val="13"/>
                <w:szCs w:val="13"/>
                <w:color w:val="auto"/>
              </w:rPr>
              <w:t>Common Stock (8,182 shares)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818</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3"/>
                <w:szCs w:val="13"/>
                <w:color w:val="auto"/>
              </w:rPr>
              <w:t>Common Stock Warrants (6,369 shares)</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7,224</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6,210</w:t>
            </w:r>
          </w:p>
        </w:tc>
        <w:tc>
          <w:tcPr>
            <w:tcW w:w="220" w:type="dxa"/>
            <w:vAlign w:val="bottom"/>
          </w:tcPr>
          <w:p>
            <w:pPr>
              <w:spacing w:after="0"/>
              <w:rPr>
                <w:sz w:val="11"/>
                <w:szCs w:val="11"/>
                <w:color w:val="auto"/>
              </w:rPr>
            </w:pPr>
          </w:p>
        </w:tc>
        <w:tc>
          <w:tcPr>
            <w:tcW w:w="62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3.3</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80" w:type="dxa"/>
            <w:vAlign w:val="bottom"/>
            <w:gridSpan w:val="2"/>
          </w:tcPr>
          <w:p>
            <w:pPr>
              <w:spacing w:after="0"/>
              <w:rPr>
                <w:sz w:val="20"/>
                <w:szCs w:val="20"/>
                <w:color w:val="auto"/>
              </w:rPr>
            </w:pPr>
            <w:r>
              <w:rPr>
                <w:rFonts w:ascii="Arial" w:cs="Arial" w:eastAsia="Arial" w:hAnsi="Arial"/>
                <w:sz w:val="13"/>
                <w:szCs w:val="13"/>
                <w:color w:val="auto"/>
              </w:rPr>
              <w:t>Common Stock (1,587,848 shares)</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1,188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3,018</w:t>
            </w:r>
          </w:p>
        </w:tc>
        <w:tc>
          <w:tcPr>
            <w:tcW w:w="22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1,188</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3,018</w:t>
            </w:r>
          </w:p>
        </w:tc>
        <w:tc>
          <w:tcPr>
            <w:tcW w:w="220" w:type="dxa"/>
            <w:vAlign w:val="bottom"/>
          </w:tcPr>
          <w:p>
            <w:pPr>
              <w:spacing w:after="0"/>
              <w:rPr>
                <w:sz w:val="11"/>
                <w:szCs w:val="11"/>
                <w:color w:val="auto"/>
              </w:rPr>
            </w:pPr>
          </w:p>
        </w:tc>
        <w:tc>
          <w:tcPr>
            <w:tcW w:w="62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1.6</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3"/>
        </w:trPr>
        <w:tc>
          <w:tcPr>
            <w:tcW w:w="3280" w:type="dxa"/>
            <w:vAlign w:val="bottom"/>
            <w:gridSpan w:val="2"/>
          </w:tcPr>
          <w:p>
            <w:pPr>
              <w:spacing w:after="0"/>
              <w:rPr>
                <w:sz w:val="20"/>
                <w:szCs w:val="20"/>
                <w:color w:val="auto"/>
              </w:rPr>
            </w:pPr>
            <w:r>
              <w:rPr>
                <w:rFonts w:ascii="Arial" w:cs="Arial" w:eastAsia="Arial" w:hAnsi="Arial"/>
                <w:sz w:val="13"/>
                <w:szCs w:val="13"/>
                <w:color w:val="auto"/>
              </w:rPr>
              <w:t xml:space="preserve">First Lien Debt (12.0% Cash, Due 1/31/20) </w:t>
            </w:r>
            <w:r>
              <w:rPr>
                <w:rFonts w:ascii="Arial" w:cs="Arial" w:eastAsia="Arial" w:hAnsi="Arial"/>
                <w:sz w:val="20"/>
                <w:szCs w:val="20"/>
                <w:color w:val="auto"/>
                <w:vertAlign w:val="superscript"/>
              </w:rPr>
              <w:t>(12)</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2,600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2,600</w:t>
            </w: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311"/>
        </w:trPr>
        <w:tc>
          <w:tcPr>
            <w:tcW w:w="3280" w:type="dxa"/>
            <w:vAlign w:val="bottom"/>
            <w:gridSpan w:val="2"/>
          </w:tcPr>
          <w:p>
            <w:pPr>
              <w:spacing w:after="0"/>
              <w:rPr>
                <w:sz w:val="20"/>
                <w:szCs w:val="20"/>
                <w:color w:val="auto"/>
              </w:rPr>
            </w:pPr>
            <w:r>
              <w:rPr>
                <w:rFonts w:ascii="Arial" w:cs="Arial" w:eastAsia="Arial" w:hAnsi="Arial"/>
                <w:sz w:val="13"/>
                <w:szCs w:val="13"/>
                <w:color w:val="auto"/>
              </w:rPr>
              <w:t xml:space="preserve">Subordinated Debt (6.0% Cash, Due 1/31/20) </w:t>
            </w:r>
            <w:r>
              <w:rPr>
                <w:rFonts w:ascii="Arial" w:cs="Arial" w:eastAsia="Arial" w:hAnsi="Arial"/>
                <w:sz w:val="20"/>
                <w:szCs w:val="20"/>
                <w:color w:val="auto"/>
                <w:vertAlign w:val="superscript"/>
              </w:rPr>
              <w:t>(12)</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400</w:t>
            </w:r>
          </w:p>
        </w:tc>
        <w:tc>
          <w:tcPr>
            <w:tcW w:w="1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388</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400</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311"/>
        </w:trPr>
        <w:tc>
          <w:tcPr>
            <w:tcW w:w="3280" w:type="dxa"/>
            <w:vAlign w:val="bottom"/>
            <w:gridSpan w:val="2"/>
          </w:tcPr>
          <w:p>
            <w:pPr>
              <w:spacing w:after="0"/>
              <w:rPr>
                <w:sz w:val="20"/>
                <w:szCs w:val="20"/>
                <w:color w:val="auto"/>
              </w:rPr>
            </w:pPr>
            <w:r>
              <w:rPr>
                <w:rFonts w:ascii="Arial" w:cs="Arial" w:eastAsia="Arial" w:hAnsi="Arial"/>
                <w:sz w:val="13"/>
                <w:szCs w:val="13"/>
                <w:color w:val="auto"/>
              </w:rPr>
              <w:t xml:space="preserve">Preferred Units (1,000 units, 6.0% PIK Dividend) </w:t>
            </w:r>
            <w:r>
              <w:rPr>
                <w:rFonts w:ascii="Arial" w:cs="Arial" w:eastAsia="Arial" w:hAnsi="Arial"/>
                <w:sz w:val="20"/>
                <w:szCs w:val="20"/>
                <w:color w:val="auto"/>
                <w:vertAlign w:val="superscript"/>
              </w:rPr>
              <w:t>(5)</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1,474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1,612</w:t>
            </w: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92"/>
        </w:trPr>
        <w:tc>
          <w:tcPr>
            <w:tcW w:w="3280" w:type="dxa"/>
            <w:vAlign w:val="bottom"/>
            <w:gridSpan w:val="2"/>
          </w:tcPr>
          <w:p>
            <w:pPr>
              <w:spacing w:after="0"/>
              <w:rPr>
                <w:sz w:val="20"/>
                <w:szCs w:val="20"/>
                <w:color w:val="auto"/>
              </w:rPr>
            </w:pPr>
            <w:r>
              <w:rPr>
                <w:rFonts w:ascii="Arial" w:cs="Arial" w:eastAsia="Arial" w:hAnsi="Arial"/>
                <w:sz w:val="13"/>
                <w:szCs w:val="13"/>
                <w:color w:val="auto"/>
              </w:rPr>
              <w:t>Common Membership Units (45 units)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185</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4,462</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4,797</w:t>
            </w:r>
          </w:p>
        </w:tc>
        <w:tc>
          <w:tcPr>
            <w:tcW w:w="220" w:type="dxa"/>
            <w:vAlign w:val="bottom"/>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w:t>
            </w:r>
          </w:p>
        </w:tc>
        <w:tc>
          <w:tcPr>
            <w:tcW w:w="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80" w:type="dxa"/>
            <w:vAlign w:val="bottom"/>
            <w:gridSpan w:val="2"/>
          </w:tcPr>
          <w:p>
            <w:pPr>
              <w:spacing w:after="0"/>
              <w:rPr>
                <w:sz w:val="20"/>
                <w:szCs w:val="20"/>
                <w:color w:val="auto"/>
              </w:rPr>
            </w:pPr>
            <w:r>
              <w:rPr>
                <w:rFonts w:ascii="Arial" w:cs="Arial" w:eastAsia="Arial" w:hAnsi="Arial"/>
                <w:sz w:val="13"/>
                <w:szCs w:val="13"/>
                <w:color w:val="auto"/>
              </w:rPr>
              <w:t>Common Stock (15,068,000 shares)</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6,958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6,854</w:t>
            </w:r>
          </w:p>
        </w:tc>
        <w:tc>
          <w:tcPr>
            <w:tcW w:w="220" w:type="dxa"/>
            <w:vAlign w:val="bottom"/>
          </w:tcPr>
          <w:p>
            <w:pPr>
              <w:spacing w:after="0"/>
              <w:rPr>
                <w:sz w:val="23"/>
                <w:szCs w:val="23"/>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6,958</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6,854</w:t>
            </w:r>
          </w:p>
        </w:tc>
        <w:tc>
          <w:tcPr>
            <w:tcW w:w="220" w:type="dxa"/>
            <w:vAlign w:val="bottom"/>
          </w:tcPr>
          <w:p>
            <w:pPr>
              <w:spacing w:after="0"/>
              <w:rPr>
                <w:sz w:val="11"/>
                <w:szCs w:val="11"/>
                <w:color w:val="auto"/>
              </w:rPr>
            </w:pPr>
          </w:p>
        </w:tc>
        <w:tc>
          <w:tcPr>
            <w:tcW w:w="62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3.6</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-4116070</wp:posOffset>
            </wp:positionV>
            <wp:extent cx="7246620"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-3901440</wp:posOffset>
            </wp:positionV>
            <wp:extent cx="7246620" cy="94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-3712845</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-3455670</wp:posOffset>
            </wp:positionV>
            <wp:extent cx="724662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-3275330</wp:posOffset>
            </wp:positionV>
            <wp:extent cx="7246620" cy="94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-3086735</wp:posOffset>
            </wp:positionV>
            <wp:extent cx="7246620" cy="197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-2803525</wp:posOffset>
            </wp:positionV>
            <wp:extent cx="724662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-2623820</wp:posOffset>
            </wp:positionV>
            <wp:extent cx="7246620" cy="94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-2434590</wp:posOffset>
            </wp:positionV>
            <wp:extent cx="7246620" cy="1117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-2237740</wp:posOffset>
            </wp:positionV>
            <wp:extent cx="724662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-2066290</wp:posOffset>
            </wp:positionV>
            <wp:extent cx="724662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-1885950</wp:posOffset>
            </wp:positionV>
            <wp:extent cx="7246620"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-1697355</wp:posOffset>
            </wp:positionV>
            <wp:extent cx="724662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-1517015</wp:posOffset>
            </wp:positionV>
            <wp:extent cx="7246620" cy="94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-1328420</wp:posOffset>
            </wp:positionV>
            <wp:extent cx="7246620" cy="1117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-1131570</wp:posOffset>
            </wp:positionV>
            <wp:extent cx="7246620" cy="1117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-934085</wp:posOffset>
            </wp:positionV>
            <wp:extent cx="7246620" cy="1117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-736600</wp:posOffset>
            </wp:positionV>
            <wp:extent cx="724662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-556895</wp:posOffset>
            </wp:positionV>
            <wp:extent cx="7246620" cy="94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-368300</wp:posOffset>
            </wp:positionV>
            <wp:extent cx="72466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-102235</wp:posOffset>
            </wp:positionV>
            <wp:extent cx="7246620" cy="94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120"/>
            <w:col w:w="6980"/>
          </w:cols>
          <w:pgMar w:left="240" w:top="904" w:right="23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1"/>
              </w:rPr>
              <w:t xml:space="preserve">Portfolio Company, Country </w:t>
            </w:r>
            <w:r>
              <w:rPr>
                <w:rFonts w:ascii="Arial" w:cs="Arial" w:eastAsia="Arial" w:hAnsi="Arial"/>
                <w:sz w:val="20"/>
                <w:szCs w:val="20"/>
                <w:b w:val="1"/>
                <w:bCs w:val="1"/>
                <w:color w:val="auto"/>
                <w:w w:val="81"/>
                <w:vertAlign w:val="superscript"/>
              </w:rPr>
              <w:t>(1)</w:t>
            </w:r>
            <w:r>
              <w:rPr>
                <w:rFonts w:ascii="Arial" w:cs="Arial" w:eastAsia="Arial" w:hAnsi="Arial"/>
                <w:sz w:val="20"/>
                <w:szCs w:val="20"/>
                <w:b w:val="1"/>
                <w:bCs w:val="1"/>
                <w:u w:val="single" w:color="auto"/>
                <w:color w:val="auto"/>
                <w:w w:val="81"/>
                <w:vertAlign w:val="superscript"/>
              </w:rPr>
              <w:t>,</w:t>
            </w:r>
            <w:r>
              <w:rPr>
                <w:rFonts w:ascii="Arial" w:cs="Arial" w:eastAsia="Arial" w:hAnsi="Arial"/>
                <w:sz w:val="13"/>
                <w:szCs w:val="13"/>
                <w:b w:val="1"/>
                <w:bCs w:val="1"/>
                <w:color w:val="auto"/>
                <w:w w:val="81"/>
              </w:rPr>
              <w:t xml:space="preserve"> </w:t>
            </w:r>
            <w:r>
              <w:rPr>
                <w:rFonts w:ascii="Arial" w:cs="Arial" w:eastAsia="Arial" w:hAnsi="Arial"/>
                <w:sz w:val="20"/>
                <w:szCs w:val="20"/>
                <w:b w:val="1"/>
                <w:bCs w:val="1"/>
                <w:color w:val="auto"/>
                <w:w w:val="81"/>
                <w:vertAlign w:val="superscript"/>
              </w:rPr>
              <w:t>(2), (3), (4), (19)</w:t>
            </w:r>
          </w:p>
        </w:tc>
        <w:tc>
          <w:tcPr>
            <w:tcW w:w="1520" w:type="dxa"/>
            <w:vAlign w:val="bottom"/>
          </w:tcPr>
          <w:p>
            <w:pPr>
              <w:ind w:left="760"/>
              <w:spacing w:after="0"/>
              <w:rPr>
                <w:sz w:val="20"/>
                <w:szCs w:val="20"/>
                <w:color w:val="auto"/>
              </w:rPr>
            </w:pPr>
            <w:r>
              <w:rPr>
                <w:rFonts w:ascii="Arial" w:cs="Arial" w:eastAsia="Arial" w:hAnsi="Arial"/>
                <w:sz w:val="13"/>
                <w:szCs w:val="13"/>
                <w:b w:val="1"/>
                <w:bCs w:val="1"/>
                <w:color w:val="auto"/>
              </w:rPr>
              <w:t>Industry</w:t>
            </w:r>
          </w:p>
        </w:tc>
      </w:tr>
      <w:tr>
        <w:trPr>
          <w:trHeight w:val="154"/>
        </w:trPr>
        <w:tc>
          <w:tcPr>
            <w:tcW w:w="20" w:type="dxa"/>
            <w:vAlign w:val="bottom"/>
          </w:tcPr>
          <w:p>
            <w:pPr>
              <w:spacing w:after="0"/>
              <w:rPr>
                <w:sz w:val="13"/>
                <w:szCs w:val="13"/>
                <w:color w:val="auto"/>
              </w:rPr>
            </w:pPr>
          </w:p>
        </w:tc>
        <w:tc>
          <w:tcPr>
            <w:tcW w:w="2440" w:type="dxa"/>
            <w:vAlign w:val="bottom"/>
          </w:tcPr>
          <w:p>
            <w:pPr>
              <w:spacing w:after="0"/>
              <w:rPr>
                <w:sz w:val="20"/>
                <w:szCs w:val="20"/>
                <w:color w:val="auto"/>
              </w:rPr>
            </w:pPr>
            <w:r>
              <w:rPr>
                <w:rFonts w:ascii="Arial" w:cs="Arial" w:eastAsia="Arial" w:hAnsi="Arial"/>
                <w:sz w:val="13"/>
                <w:szCs w:val="13"/>
                <w:color w:val="auto"/>
              </w:rPr>
              <w:t>US Bath Group, LLC</w:t>
            </w:r>
          </w:p>
        </w:tc>
        <w:tc>
          <w:tcPr>
            <w:tcW w:w="1520" w:type="dxa"/>
            <w:vAlign w:val="bottom"/>
          </w:tcPr>
          <w:p>
            <w:pPr>
              <w:ind w:left="100"/>
              <w:spacing w:after="0" w:line="141" w:lineRule="exact"/>
              <w:rPr>
                <w:sz w:val="20"/>
                <w:szCs w:val="20"/>
                <w:color w:val="auto"/>
              </w:rPr>
            </w:pPr>
            <w:r>
              <w:rPr>
                <w:rFonts w:ascii="Arial" w:cs="Arial" w:eastAsia="Arial" w:hAnsi="Arial"/>
                <w:sz w:val="13"/>
                <w:szCs w:val="13"/>
                <w:color w:val="auto"/>
              </w:rPr>
              <w:t>Building Products</w:t>
            </w:r>
          </w:p>
        </w:tc>
      </w:tr>
      <w:tr>
        <w:trPr>
          <w:trHeight w:val="391"/>
        </w:trPr>
        <w:tc>
          <w:tcPr>
            <w:tcW w:w="2460" w:type="dxa"/>
            <w:vAlign w:val="bottom"/>
            <w:gridSpan w:val="2"/>
          </w:tcPr>
          <w:p>
            <w:pPr>
              <w:spacing w:after="0"/>
              <w:rPr>
                <w:sz w:val="20"/>
                <w:szCs w:val="20"/>
                <w:color w:val="auto"/>
              </w:rPr>
            </w:pPr>
            <w:r>
              <w:rPr>
                <w:rFonts w:ascii="Arial" w:cs="Arial" w:eastAsia="Arial" w:hAnsi="Arial"/>
                <w:sz w:val="13"/>
                <w:szCs w:val="13"/>
                <w:color w:val="auto"/>
              </w:rPr>
              <w:t>US Bath Group, LLC</w:t>
            </w:r>
          </w:p>
        </w:tc>
        <w:tc>
          <w:tcPr>
            <w:tcW w:w="1520" w:type="dxa"/>
            <w:vAlign w:val="bottom"/>
          </w:tcPr>
          <w:p>
            <w:pPr>
              <w:ind w:left="100"/>
              <w:spacing w:after="0"/>
              <w:rPr>
                <w:sz w:val="20"/>
                <w:szCs w:val="20"/>
                <w:color w:val="auto"/>
              </w:rPr>
            </w:pPr>
            <w:r>
              <w:rPr>
                <w:rFonts w:ascii="Arial" w:cs="Arial" w:eastAsia="Arial" w:hAnsi="Arial"/>
                <w:sz w:val="13"/>
                <w:szCs w:val="13"/>
                <w:color w:val="auto"/>
              </w:rPr>
              <w:t>Building Products</w:t>
            </w:r>
          </w:p>
        </w:tc>
      </w:tr>
      <w:tr>
        <w:trPr>
          <w:trHeight w:val="556"/>
        </w:trPr>
        <w:tc>
          <w:tcPr>
            <w:tcW w:w="2460" w:type="dxa"/>
            <w:vAlign w:val="bottom"/>
            <w:gridSpan w:val="2"/>
          </w:tcPr>
          <w:p>
            <w:pPr>
              <w:spacing w:after="0"/>
              <w:rPr>
                <w:sz w:val="20"/>
                <w:szCs w:val="20"/>
                <w:color w:val="auto"/>
              </w:rPr>
            </w:pPr>
            <w:r>
              <w:rPr>
                <w:rFonts w:ascii="Arial" w:cs="Arial" w:eastAsia="Arial" w:hAnsi="Arial"/>
                <w:sz w:val="13"/>
                <w:szCs w:val="13"/>
                <w:color w:val="auto"/>
              </w:rPr>
              <w:t>V12 Holdings, Inc.</w:t>
            </w:r>
          </w:p>
        </w:tc>
        <w:tc>
          <w:tcPr>
            <w:tcW w:w="1520" w:type="dxa"/>
            <w:vAlign w:val="bottom"/>
          </w:tcPr>
          <w:p>
            <w:pPr>
              <w:ind w:left="100"/>
              <w:spacing w:after="0"/>
              <w:rPr>
                <w:sz w:val="20"/>
                <w:szCs w:val="20"/>
                <w:color w:val="auto"/>
              </w:rPr>
            </w:pPr>
            <w:r>
              <w:rPr>
                <w:rFonts w:ascii="Arial" w:cs="Arial" w:eastAsia="Arial" w:hAnsi="Arial"/>
                <w:sz w:val="13"/>
                <w:szCs w:val="13"/>
                <w:color w:val="auto"/>
                <w:w w:val="94"/>
              </w:rPr>
              <w:t>Data Processing &amp; Digital</w:t>
            </w:r>
          </w:p>
        </w:tc>
      </w:tr>
      <w:tr>
        <w:trPr>
          <w:trHeight w:val="160"/>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520" w:type="dxa"/>
            <w:vAlign w:val="bottom"/>
          </w:tcPr>
          <w:p>
            <w:pPr>
              <w:ind w:left="100"/>
              <w:spacing w:after="0"/>
              <w:rPr>
                <w:sz w:val="20"/>
                <w:szCs w:val="20"/>
                <w:color w:val="auto"/>
              </w:rPr>
            </w:pPr>
            <w:r>
              <w:rPr>
                <w:rFonts w:ascii="Arial" w:cs="Arial" w:eastAsia="Arial" w:hAnsi="Arial"/>
                <w:sz w:val="13"/>
                <w:szCs w:val="13"/>
                <w:color w:val="auto"/>
              </w:rPr>
              <w:t>Marketing</w:t>
            </w:r>
          </w:p>
        </w:tc>
      </w:tr>
      <w:tr>
        <w:trPr>
          <w:trHeight w:val="552"/>
        </w:trPr>
        <w:tc>
          <w:tcPr>
            <w:tcW w:w="2460" w:type="dxa"/>
            <w:vAlign w:val="bottom"/>
            <w:gridSpan w:val="2"/>
          </w:tcPr>
          <w:p>
            <w:pPr>
              <w:spacing w:after="0"/>
              <w:rPr>
                <w:sz w:val="20"/>
                <w:szCs w:val="20"/>
                <w:color w:val="auto"/>
              </w:rPr>
            </w:pPr>
            <w:r>
              <w:rPr>
                <w:rFonts w:ascii="Arial" w:cs="Arial" w:eastAsia="Arial" w:hAnsi="Arial"/>
                <w:sz w:val="13"/>
                <w:szCs w:val="13"/>
                <w:b w:val="1"/>
                <w:bCs w:val="1"/>
                <w:color w:val="auto"/>
              </w:rPr>
              <w:t>Sub Total Affiliate investments - United</w:t>
            </w:r>
          </w:p>
        </w:tc>
        <w:tc>
          <w:tcPr>
            <w:tcW w:w="1520" w:type="dxa"/>
            <w:vAlign w:val="bottom"/>
          </w:tcPr>
          <w:p>
            <w:pPr>
              <w:spacing w:after="0"/>
              <w:rPr>
                <w:sz w:val="24"/>
                <w:szCs w:val="24"/>
                <w:color w:val="auto"/>
              </w:rPr>
            </w:pPr>
          </w:p>
        </w:tc>
      </w:tr>
      <w:tr>
        <w:trPr>
          <w:trHeight w:val="164"/>
        </w:trPr>
        <w:tc>
          <w:tcPr>
            <w:tcW w:w="2460" w:type="dxa"/>
            <w:vAlign w:val="bottom"/>
            <w:gridSpan w:val="2"/>
          </w:tcPr>
          <w:p>
            <w:pPr>
              <w:spacing w:after="0"/>
              <w:rPr>
                <w:sz w:val="20"/>
                <w:szCs w:val="20"/>
                <w:color w:val="auto"/>
              </w:rPr>
            </w:pPr>
            <w:r>
              <w:rPr>
                <w:rFonts w:ascii="Arial" w:cs="Arial" w:eastAsia="Arial" w:hAnsi="Arial"/>
                <w:sz w:val="13"/>
                <w:szCs w:val="13"/>
                <w:b w:val="1"/>
                <w:bCs w:val="1"/>
                <w:color w:val="auto"/>
              </w:rPr>
              <w:t>States</w:t>
            </w:r>
          </w:p>
        </w:tc>
        <w:tc>
          <w:tcPr>
            <w:tcW w:w="1520" w:type="dxa"/>
            <w:vAlign w:val="bottom"/>
          </w:tcPr>
          <w:p>
            <w:pPr>
              <w:spacing w:after="0"/>
              <w:rPr>
                <w:sz w:val="14"/>
                <w:szCs w:val="14"/>
                <w:color w:val="auto"/>
              </w:rPr>
            </w:pPr>
          </w:p>
        </w:tc>
      </w:tr>
      <w:tr>
        <w:trPr>
          <w:trHeight w:val="338"/>
        </w:trPr>
        <w:tc>
          <w:tcPr>
            <w:tcW w:w="2460" w:type="dxa"/>
            <w:vAlign w:val="bottom"/>
            <w:gridSpan w:val="2"/>
          </w:tcPr>
          <w:p>
            <w:pPr>
              <w:spacing w:after="0"/>
              <w:rPr>
                <w:sz w:val="20"/>
                <w:szCs w:val="20"/>
                <w:color w:val="auto"/>
              </w:rPr>
            </w:pPr>
            <w:r>
              <w:rPr>
                <w:rFonts w:ascii="Arial" w:cs="Arial" w:eastAsia="Arial" w:hAnsi="Arial"/>
                <w:sz w:val="13"/>
                <w:szCs w:val="13"/>
                <w:b w:val="1"/>
                <w:bCs w:val="1"/>
                <w:color w:val="auto"/>
              </w:rPr>
              <w:t>Control Investments - 36.3%</w:t>
            </w:r>
          </w:p>
        </w:tc>
        <w:tc>
          <w:tcPr>
            <w:tcW w:w="1520" w:type="dxa"/>
            <w:vAlign w:val="bottom"/>
          </w:tcPr>
          <w:p>
            <w:pPr>
              <w:spacing w:after="0"/>
              <w:rPr>
                <w:sz w:val="24"/>
                <w:szCs w:val="24"/>
                <w:color w:val="auto"/>
              </w:rPr>
            </w:pPr>
          </w:p>
        </w:tc>
      </w:tr>
      <w:tr>
        <w:trPr>
          <w:trHeight w:val="270"/>
        </w:trPr>
        <w:tc>
          <w:tcPr>
            <w:tcW w:w="2460" w:type="dxa"/>
            <w:vAlign w:val="bottom"/>
            <w:gridSpan w:val="2"/>
          </w:tcPr>
          <w:p>
            <w:pPr>
              <w:spacing w:after="0"/>
              <w:rPr>
                <w:sz w:val="20"/>
                <w:szCs w:val="20"/>
                <w:color w:val="auto"/>
              </w:rPr>
            </w:pPr>
            <w:r>
              <w:rPr>
                <w:rFonts w:ascii="Arial" w:cs="Arial" w:eastAsia="Arial" w:hAnsi="Arial"/>
                <w:sz w:val="13"/>
                <w:szCs w:val="13"/>
                <w:b w:val="1"/>
                <w:bCs w:val="1"/>
                <w:color w:val="auto"/>
              </w:rPr>
              <w:t>Control investments - United States</w:t>
            </w:r>
          </w:p>
        </w:tc>
        <w:tc>
          <w:tcPr>
            <w:tcW w:w="1520" w:type="dxa"/>
            <w:vAlign w:val="bottom"/>
          </w:tcPr>
          <w:p>
            <w:pPr>
              <w:spacing w:after="0"/>
              <w:rPr>
                <w:sz w:val="23"/>
                <w:szCs w:val="23"/>
                <w:color w:val="auto"/>
              </w:rPr>
            </w:pPr>
          </w:p>
        </w:tc>
      </w:tr>
      <w:tr>
        <w:trPr>
          <w:trHeight w:val="270"/>
        </w:trPr>
        <w:tc>
          <w:tcPr>
            <w:tcW w:w="2460" w:type="dxa"/>
            <w:vAlign w:val="bottom"/>
            <w:gridSpan w:val="2"/>
          </w:tcPr>
          <w:p>
            <w:pPr>
              <w:spacing w:after="0"/>
              <w:rPr>
                <w:sz w:val="20"/>
                <w:szCs w:val="20"/>
                <w:color w:val="auto"/>
              </w:rPr>
            </w:pPr>
            <w:r>
              <w:rPr>
                <w:rFonts w:ascii="Arial" w:cs="Arial" w:eastAsia="Arial" w:hAnsi="Arial"/>
                <w:sz w:val="13"/>
                <w:szCs w:val="13"/>
                <w:color w:val="auto"/>
              </w:rPr>
              <w:t>AAE Acquisition, LLC</w:t>
            </w:r>
          </w:p>
        </w:tc>
        <w:tc>
          <w:tcPr>
            <w:tcW w:w="1520" w:type="dxa"/>
            <w:vAlign w:val="bottom"/>
          </w:tcPr>
          <w:p>
            <w:pPr>
              <w:ind w:left="100"/>
              <w:spacing w:after="0"/>
              <w:rPr>
                <w:sz w:val="20"/>
                <w:szCs w:val="20"/>
                <w:color w:val="auto"/>
              </w:rPr>
            </w:pPr>
            <w:r>
              <w:rPr>
                <w:rFonts w:ascii="Arial" w:cs="Arial" w:eastAsia="Arial" w:hAnsi="Arial"/>
                <w:sz w:val="13"/>
                <w:szCs w:val="13"/>
                <w:color w:val="auto"/>
                <w:w w:val="87"/>
              </w:rPr>
              <w:t>Industrial Equipment Rental</w:t>
            </w:r>
          </w:p>
        </w:tc>
      </w:tr>
      <w:tr>
        <w:trPr>
          <w:trHeight w:val="311"/>
        </w:trPr>
        <w:tc>
          <w:tcPr>
            <w:tcW w:w="2460" w:type="dxa"/>
            <w:vAlign w:val="bottom"/>
            <w:gridSpan w:val="2"/>
          </w:tcPr>
          <w:p>
            <w:pPr>
              <w:spacing w:after="0"/>
              <w:rPr>
                <w:sz w:val="20"/>
                <w:szCs w:val="20"/>
                <w:color w:val="auto"/>
              </w:rPr>
            </w:pPr>
            <w:r>
              <w:rPr>
                <w:rFonts w:ascii="Arial" w:cs="Arial" w:eastAsia="Arial" w:hAnsi="Arial"/>
                <w:sz w:val="13"/>
                <w:szCs w:val="13"/>
                <w:color w:val="auto"/>
              </w:rPr>
              <w:t>AAE Acquisition, LLC</w:t>
            </w:r>
          </w:p>
        </w:tc>
        <w:tc>
          <w:tcPr>
            <w:tcW w:w="1520" w:type="dxa"/>
            <w:vAlign w:val="bottom"/>
          </w:tcPr>
          <w:p>
            <w:pPr>
              <w:ind w:left="100"/>
              <w:spacing w:after="0"/>
              <w:rPr>
                <w:sz w:val="20"/>
                <w:szCs w:val="20"/>
                <w:color w:val="auto"/>
              </w:rPr>
            </w:pPr>
            <w:r>
              <w:rPr>
                <w:rFonts w:ascii="Arial" w:cs="Arial" w:eastAsia="Arial" w:hAnsi="Arial"/>
                <w:sz w:val="13"/>
                <w:szCs w:val="13"/>
                <w:color w:val="auto"/>
                <w:w w:val="87"/>
              </w:rPr>
              <w:t>Industrial Equipment Rental</w:t>
            </w:r>
          </w:p>
        </w:tc>
      </w:tr>
      <w:tr>
        <w:trPr>
          <w:trHeight w:val="270"/>
        </w:trPr>
        <w:tc>
          <w:tcPr>
            <w:tcW w:w="2460" w:type="dxa"/>
            <w:vAlign w:val="bottom"/>
            <w:gridSpan w:val="2"/>
          </w:tcPr>
          <w:p>
            <w:pPr>
              <w:spacing w:after="0"/>
              <w:rPr>
                <w:sz w:val="20"/>
                <w:szCs w:val="20"/>
                <w:color w:val="auto"/>
              </w:rPr>
            </w:pPr>
            <w:r>
              <w:rPr>
                <w:rFonts w:ascii="Arial" w:cs="Arial" w:eastAsia="Arial" w:hAnsi="Arial"/>
                <w:sz w:val="13"/>
                <w:szCs w:val="13"/>
                <w:color w:val="auto"/>
              </w:rPr>
              <w:t>AAE Acquisition, LLC</w:t>
            </w:r>
          </w:p>
        </w:tc>
        <w:tc>
          <w:tcPr>
            <w:tcW w:w="1520" w:type="dxa"/>
            <w:vAlign w:val="bottom"/>
          </w:tcPr>
          <w:p>
            <w:pPr>
              <w:ind w:left="100"/>
              <w:spacing w:after="0"/>
              <w:rPr>
                <w:sz w:val="20"/>
                <w:szCs w:val="20"/>
                <w:color w:val="auto"/>
              </w:rPr>
            </w:pPr>
            <w:r>
              <w:rPr>
                <w:rFonts w:ascii="Arial" w:cs="Arial" w:eastAsia="Arial" w:hAnsi="Arial"/>
                <w:sz w:val="13"/>
                <w:szCs w:val="13"/>
                <w:color w:val="auto"/>
                <w:w w:val="87"/>
              </w:rPr>
              <w:t>Industrial Equipment Rental</w:t>
            </w:r>
          </w:p>
        </w:tc>
      </w:tr>
      <w:tr>
        <w:trPr>
          <w:trHeight w:val="581"/>
        </w:trPr>
        <w:tc>
          <w:tcPr>
            <w:tcW w:w="2460" w:type="dxa"/>
            <w:vAlign w:val="bottom"/>
            <w:gridSpan w:val="2"/>
          </w:tcPr>
          <w:p>
            <w:pPr>
              <w:spacing w:after="0"/>
              <w:rPr>
                <w:sz w:val="20"/>
                <w:szCs w:val="20"/>
                <w:color w:val="auto"/>
              </w:rPr>
            </w:pPr>
            <w:r>
              <w:rPr>
                <w:rFonts w:ascii="Arial" w:cs="Arial" w:eastAsia="Arial" w:hAnsi="Arial"/>
                <w:sz w:val="13"/>
                <w:szCs w:val="13"/>
                <w:color w:val="auto"/>
              </w:rPr>
              <w:t>CableOrganizer Acquisition, LLC</w:t>
            </w:r>
          </w:p>
        </w:tc>
        <w:tc>
          <w:tcPr>
            <w:tcW w:w="1520" w:type="dxa"/>
            <w:vAlign w:val="bottom"/>
          </w:tcPr>
          <w:p>
            <w:pPr>
              <w:ind w:left="100"/>
              <w:spacing w:after="0"/>
              <w:rPr>
                <w:sz w:val="20"/>
                <w:szCs w:val="20"/>
                <w:color w:val="auto"/>
              </w:rPr>
            </w:pPr>
            <w:r>
              <w:rPr>
                <w:rFonts w:ascii="Arial" w:cs="Arial" w:eastAsia="Arial" w:hAnsi="Arial"/>
                <w:sz w:val="13"/>
                <w:szCs w:val="13"/>
                <w:color w:val="auto"/>
              </w:rPr>
              <w:t>Computer Supply Retail</w:t>
            </w:r>
          </w:p>
        </w:tc>
      </w:tr>
      <w:tr>
        <w:trPr>
          <w:trHeight w:val="311"/>
        </w:trPr>
        <w:tc>
          <w:tcPr>
            <w:tcW w:w="2460" w:type="dxa"/>
            <w:vAlign w:val="bottom"/>
            <w:gridSpan w:val="2"/>
          </w:tcPr>
          <w:p>
            <w:pPr>
              <w:spacing w:after="0"/>
              <w:rPr>
                <w:sz w:val="20"/>
                <w:szCs w:val="20"/>
                <w:color w:val="auto"/>
              </w:rPr>
            </w:pPr>
            <w:r>
              <w:rPr>
                <w:rFonts w:ascii="Arial" w:cs="Arial" w:eastAsia="Arial" w:hAnsi="Arial"/>
                <w:sz w:val="13"/>
                <w:szCs w:val="13"/>
                <w:color w:val="auto"/>
              </w:rPr>
              <w:t>CableOrganizer Acquisition, LLC</w:t>
            </w:r>
          </w:p>
        </w:tc>
        <w:tc>
          <w:tcPr>
            <w:tcW w:w="1520" w:type="dxa"/>
            <w:vAlign w:val="bottom"/>
          </w:tcPr>
          <w:p>
            <w:pPr>
              <w:ind w:left="100"/>
              <w:spacing w:after="0"/>
              <w:rPr>
                <w:sz w:val="20"/>
                <w:szCs w:val="20"/>
                <w:color w:val="auto"/>
              </w:rPr>
            </w:pPr>
            <w:r>
              <w:rPr>
                <w:rFonts w:ascii="Arial" w:cs="Arial" w:eastAsia="Arial" w:hAnsi="Arial"/>
                <w:sz w:val="13"/>
                <w:szCs w:val="13"/>
                <w:color w:val="auto"/>
              </w:rPr>
              <w:t>Computer Supply Retail</w:t>
            </w:r>
          </w:p>
        </w:tc>
      </w:tr>
      <w:tr>
        <w:trPr>
          <w:trHeight w:val="311"/>
        </w:trPr>
        <w:tc>
          <w:tcPr>
            <w:tcW w:w="2460" w:type="dxa"/>
            <w:vAlign w:val="bottom"/>
            <w:gridSpan w:val="2"/>
          </w:tcPr>
          <w:p>
            <w:pPr>
              <w:spacing w:after="0"/>
              <w:rPr>
                <w:sz w:val="20"/>
                <w:szCs w:val="20"/>
                <w:color w:val="auto"/>
              </w:rPr>
            </w:pPr>
            <w:r>
              <w:rPr>
                <w:rFonts w:ascii="Arial" w:cs="Arial" w:eastAsia="Arial" w:hAnsi="Arial"/>
                <w:sz w:val="13"/>
                <w:szCs w:val="13"/>
                <w:color w:val="auto"/>
              </w:rPr>
              <w:t>CableOrganizer Acquisition, LLC</w:t>
            </w:r>
          </w:p>
        </w:tc>
        <w:tc>
          <w:tcPr>
            <w:tcW w:w="1520" w:type="dxa"/>
            <w:vAlign w:val="bottom"/>
          </w:tcPr>
          <w:p>
            <w:pPr>
              <w:ind w:left="100"/>
              <w:spacing w:after="0"/>
              <w:rPr>
                <w:sz w:val="20"/>
                <w:szCs w:val="20"/>
                <w:color w:val="auto"/>
              </w:rPr>
            </w:pPr>
            <w:r>
              <w:rPr>
                <w:rFonts w:ascii="Arial" w:cs="Arial" w:eastAsia="Arial" w:hAnsi="Arial"/>
                <w:sz w:val="13"/>
                <w:szCs w:val="13"/>
                <w:color w:val="auto"/>
              </w:rPr>
              <w:t>Computer Supply Retail</w:t>
            </w:r>
          </w:p>
        </w:tc>
      </w:tr>
      <w:tr>
        <w:trPr>
          <w:trHeight w:val="270"/>
        </w:trPr>
        <w:tc>
          <w:tcPr>
            <w:tcW w:w="2460" w:type="dxa"/>
            <w:vAlign w:val="bottom"/>
            <w:gridSpan w:val="2"/>
          </w:tcPr>
          <w:p>
            <w:pPr>
              <w:spacing w:after="0"/>
              <w:rPr>
                <w:sz w:val="20"/>
                <w:szCs w:val="20"/>
                <w:color w:val="auto"/>
              </w:rPr>
            </w:pPr>
            <w:r>
              <w:rPr>
                <w:rFonts w:ascii="Arial" w:cs="Arial" w:eastAsia="Arial" w:hAnsi="Arial"/>
                <w:sz w:val="13"/>
                <w:szCs w:val="13"/>
                <w:color w:val="auto"/>
              </w:rPr>
              <w:t>CableOrganizer Acquisition, LLC</w:t>
            </w:r>
          </w:p>
        </w:tc>
        <w:tc>
          <w:tcPr>
            <w:tcW w:w="1520" w:type="dxa"/>
            <w:vAlign w:val="bottom"/>
          </w:tcPr>
          <w:p>
            <w:pPr>
              <w:ind w:left="100"/>
              <w:spacing w:after="0"/>
              <w:rPr>
                <w:sz w:val="20"/>
                <w:szCs w:val="20"/>
                <w:color w:val="auto"/>
              </w:rPr>
            </w:pPr>
            <w:r>
              <w:rPr>
                <w:rFonts w:ascii="Arial" w:cs="Arial" w:eastAsia="Arial" w:hAnsi="Arial"/>
                <w:sz w:val="13"/>
                <w:szCs w:val="13"/>
                <w:color w:val="auto"/>
              </w:rPr>
              <w:t>Computer Supply Retail</w:t>
            </w:r>
          </w:p>
        </w:tc>
      </w:tr>
      <w:tr>
        <w:trPr>
          <w:trHeight w:val="270"/>
        </w:trPr>
        <w:tc>
          <w:tcPr>
            <w:tcW w:w="2460" w:type="dxa"/>
            <w:vAlign w:val="bottom"/>
            <w:gridSpan w:val="2"/>
          </w:tcPr>
          <w:p>
            <w:pPr>
              <w:spacing w:after="0"/>
              <w:rPr>
                <w:sz w:val="20"/>
                <w:szCs w:val="20"/>
                <w:color w:val="auto"/>
              </w:rPr>
            </w:pPr>
            <w:r>
              <w:rPr>
                <w:rFonts w:ascii="Arial" w:cs="Arial" w:eastAsia="Arial" w:hAnsi="Arial"/>
                <w:sz w:val="13"/>
                <w:szCs w:val="13"/>
                <w:color w:val="auto"/>
              </w:rPr>
              <w:t>CableOrganizer Acquisition, LLC</w:t>
            </w:r>
          </w:p>
        </w:tc>
        <w:tc>
          <w:tcPr>
            <w:tcW w:w="1520" w:type="dxa"/>
            <w:vAlign w:val="bottom"/>
          </w:tcPr>
          <w:p>
            <w:pPr>
              <w:ind w:left="100"/>
              <w:spacing w:after="0"/>
              <w:rPr>
                <w:sz w:val="20"/>
                <w:szCs w:val="20"/>
                <w:color w:val="auto"/>
              </w:rPr>
            </w:pPr>
            <w:r>
              <w:rPr>
                <w:rFonts w:ascii="Arial" w:cs="Arial" w:eastAsia="Arial" w:hAnsi="Arial"/>
                <w:sz w:val="13"/>
                <w:szCs w:val="13"/>
                <w:color w:val="auto"/>
              </w:rPr>
              <w:t>Computer Supply Retail</w:t>
            </w:r>
          </w:p>
        </w:tc>
      </w:tr>
      <w:tr>
        <w:trPr>
          <w:trHeight w:val="581"/>
        </w:trPr>
        <w:tc>
          <w:tcPr>
            <w:tcW w:w="2460" w:type="dxa"/>
            <w:vAlign w:val="bottom"/>
            <w:gridSpan w:val="2"/>
          </w:tcPr>
          <w:p>
            <w:pPr>
              <w:spacing w:after="0"/>
              <w:rPr>
                <w:sz w:val="20"/>
                <w:szCs w:val="20"/>
                <w:color w:val="auto"/>
              </w:rPr>
            </w:pPr>
            <w:r>
              <w:rPr>
                <w:rFonts w:ascii="Arial" w:cs="Arial" w:eastAsia="Arial" w:hAnsi="Arial"/>
                <w:sz w:val="13"/>
                <w:szCs w:val="13"/>
                <w:color w:val="auto"/>
              </w:rPr>
              <w:t>Capitala Senior Loan Fund II, LLC</w:t>
            </w:r>
          </w:p>
        </w:tc>
        <w:tc>
          <w:tcPr>
            <w:tcW w:w="1520" w:type="dxa"/>
            <w:vAlign w:val="bottom"/>
          </w:tcPr>
          <w:p>
            <w:pPr>
              <w:ind w:left="100"/>
              <w:spacing w:after="0"/>
              <w:rPr>
                <w:sz w:val="20"/>
                <w:szCs w:val="20"/>
                <w:color w:val="auto"/>
              </w:rPr>
            </w:pPr>
            <w:r>
              <w:rPr>
                <w:rFonts w:ascii="Arial" w:cs="Arial" w:eastAsia="Arial" w:hAnsi="Arial"/>
                <w:sz w:val="13"/>
                <w:szCs w:val="13"/>
                <w:color w:val="auto"/>
              </w:rPr>
              <w:t>Investment Funds</w:t>
            </w:r>
          </w:p>
        </w:tc>
      </w:tr>
    </w:tbl>
    <w:p>
      <w:pPr>
        <w:spacing w:after="0" w:line="20" w:lineRule="exact"/>
        <w:rPr>
          <w:sz w:val="20"/>
          <w:szCs w:val="20"/>
          <w:color w:val="auto"/>
        </w:rPr>
      </w:pPr>
      <w:r>
        <w:rPr>
          <w:sz w:val="20"/>
          <w:szCs w:val="20"/>
          <w:color w:val="auto"/>
        </w:rPr>
        <w:br w:type="column"/>
      </w:r>
    </w:p>
    <w:p>
      <w:pPr>
        <w:jc w:val="center"/>
        <w:ind w:right="4240"/>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ind w:right="4240"/>
        <w:spacing w:after="0"/>
        <w:rPr>
          <w:sz w:val="20"/>
          <w:szCs w:val="20"/>
          <w:color w:val="auto"/>
        </w:rPr>
      </w:pPr>
      <w:r>
        <w:rPr>
          <w:rFonts w:ascii="Arial" w:cs="Arial" w:eastAsia="Arial" w:hAnsi="Arial"/>
          <w:sz w:val="15"/>
          <w:szCs w:val="15"/>
          <w:b w:val="1"/>
          <w:bCs w:val="1"/>
          <w:color w:val="auto"/>
        </w:rPr>
        <w:t>Consolidated Schedule of Investments</w:t>
      </w:r>
    </w:p>
    <w:p>
      <w:pPr>
        <w:spacing w:after="0" w:line="44" w:lineRule="exact"/>
        <w:rPr>
          <w:sz w:val="20"/>
          <w:szCs w:val="20"/>
          <w:color w:val="auto"/>
        </w:rPr>
      </w:pPr>
    </w:p>
    <w:p>
      <w:pPr>
        <w:jc w:val="center"/>
        <w:ind w:right="4240"/>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4240"/>
        <w:spacing w:after="0"/>
        <w:rPr>
          <w:sz w:val="20"/>
          <w:szCs w:val="20"/>
          <w:color w:val="auto"/>
        </w:rPr>
      </w:pPr>
      <w:r>
        <w:rPr>
          <w:rFonts w:ascii="Arial" w:cs="Arial" w:eastAsia="Arial" w:hAnsi="Arial"/>
          <w:sz w:val="18"/>
          <w:szCs w:val="18"/>
          <w:b w:val="1"/>
          <w:bCs w:val="1"/>
          <w:color w:val="auto"/>
        </w:rPr>
        <w:t>December 31, 2018</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0"/>
              </w:rPr>
              <w:t>Principal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3"/>
          </w:tcPr>
          <w:p>
            <w:pPr>
              <w:jc w:val="right"/>
              <w:ind w:right="233"/>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3280" w:type="dxa"/>
            <w:vAlign w:val="bottom"/>
            <w:gridSpan w:val="2"/>
          </w:tcPr>
          <w:p>
            <w:pPr>
              <w:ind w:left="1020"/>
              <w:spacing w:after="0"/>
              <w:rPr>
                <w:sz w:val="20"/>
                <w:szCs w:val="20"/>
                <w:color w:val="auto"/>
              </w:rPr>
            </w:pPr>
            <w:r>
              <w:rPr>
                <w:rFonts w:ascii="Arial" w:cs="Arial" w:eastAsia="Arial" w:hAnsi="Arial"/>
                <w:sz w:val="13"/>
                <w:szCs w:val="13"/>
                <w:b w:val="1"/>
                <w:bCs w:val="1"/>
                <w:color w:val="auto"/>
              </w:rPr>
              <w:t>Type of Investment</w:t>
            </w:r>
          </w:p>
        </w:tc>
        <w:tc>
          <w:tcPr>
            <w:tcW w:w="12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Fair Value</w:t>
            </w:r>
          </w:p>
        </w:tc>
        <w:tc>
          <w:tcPr>
            <w:tcW w:w="700" w:type="dxa"/>
            <w:vAlign w:val="bottom"/>
            <w:gridSpan w:val="3"/>
          </w:tcPr>
          <w:p>
            <w:pPr>
              <w:jc w:val="right"/>
              <w:ind w:right="73"/>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14"/>
        </w:trPr>
        <w:tc>
          <w:tcPr>
            <w:tcW w:w="30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98"/>
              </w:rPr>
              <w:t>First Lien Debt (11.4% Cash (1 month LIBOR + 9.0%,</w:t>
            </w: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280" w:type="dxa"/>
            <w:vAlign w:val="bottom"/>
            <w:gridSpan w:val="2"/>
          </w:tcPr>
          <w:p>
            <w:pPr>
              <w:spacing w:after="0"/>
              <w:rPr>
                <w:sz w:val="20"/>
                <w:szCs w:val="20"/>
                <w:color w:val="auto"/>
              </w:rPr>
            </w:pPr>
            <w:r>
              <w:rPr>
                <w:rFonts w:ascii="Arial" w:cs="Arial" w:eastAsia="Arial" w:hAnsi="Arial"/>
                <w:sz w:val="13"/>
                <w:szCs w:val="13"/>
                <w:color w:val="auto"/>
              </w:rPr>
              <w:t>1.0% Floor), Due 1/2/23)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12,750</w:t>
            </w:r>
          </w:p>
        </w:tc>
        <w:tc>
          <w:tcPr>
            <w:tcW w:w="180" w:type="dxa"/>
            <w:vAlign w:val="bottom"/>
          </w:tcPr>
          <w:p>
            <w:pPr>
              <w:jc w:val="right"/>
              <w:ind w:right="27"/>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12,750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12,750</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3"/>
                <w:szCs w:val="13"/>
                <w:color w:val="auto"/>
              </w:rPr>
              <w:t>Membership Units (500,000 units)</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2,083</w:t>
            </w:r>
          </w:p>
        </w:tc>
        <w:tc>
          <w:tcPr>
            <w:tcW w:w="22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13,250</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14,833</w:t>
            </w:r>
          </w:p>
        </w:tc>
        <w:tc>
          <w:tcPr>
            <w:tcW w:w="220" w:type="dxa"/>
            <w:vAlign w:val="bottom"/>
            <w:vMerge w:val="continue"/>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7.8</w:t>
            </w:r>
          </w:p>
        </w:tc>
        <w:tc>
          <w:tcPr>
            <w:tcW w:w="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2"/>
        </w:trPr>
        <w:tc>
          <w:tcPr>
            <w:tcW w:w="3280" w:type="dxa"/>
            <w:vAlign w:val="bottom"/>
            <w:gridSpan w:val="2"/>
          </w:tcPr>
          <w:p>
            <w:pPr>
              <w:spacing w:after="0"/>
              <w:rPr>
                <w:sz w:val="20"/>
                <w:szCs w:val="20"/>
                <w:color w:val="auto"/>
              </w:rPr>
            </w:pPr>
            <w:r>
              <w:rPr>
                <w:rFonts w:ascii="Arial" w:cs="Arial" w:eastAsia="Arial" w:hAnsi="Arial"/>
                <w:sz w:val="13"/>
                <w:szCs w:val="13"/>
                <w:color w:val="auto"/>
              </w:rPr>
              <w:t xml:space="preserve">Subordinated Debt </w:t>
            </w:r>
            <w:r>
              <w:rPr>
                <w:rFonts w:ascii="Arial" w:cs="Arial" w:eastAsia="Arial" w:hAnsi="Arial"/>
                <w:sz w:val="20"/>
                <w:szCs w:val="20"/>
                <w:color w:val="auto"/>
                <w:vertAlign w:val="superscript"/>
              </w:rPr>
              <w:t>(15)</w:t>
            </w:r>
          </w:p>
        </w:tc>
        <w:tc>
          <w:tcPr>
            <w:tcW w:w="12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673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742</w:t>
            </w:r>
          </w:p>
        </w:tc>
        <w:tc>
          <w:tcPr>
            <w:tcW w:w="700" w:type="dxa"/>
            <w:vAlign w:val="bottom"/>
            <w:gridSpan w:val="3"/>
            <w:vMerge w:val="restart"/>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38"/>
        </w:trPr>
        <w:tc>
          <w:tcPr>
            <w:tcW w:w="3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673</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742</w:t>
            </w:r>
          </w:p>
        </w:tc>
        <w:tc>
          <w:tcPr>
            <w:tcW w:w="220" w:type="dxa"/>
            <w:vAlign w:val="bottom"/>
            <w:vMerge w:val="continue"/>
          </w:tcPr>
          <w:p>
            <w:pPr>
              <w:spacing w:after="0"/>
              <w:rPr>
                <w:sz w:val="11"/>
                <w:szCs w:val="11"/>
                <w:color w:val="auto"/>
              </w:rPr>
            </w:pPr>
          </w:p>
        </w:tc>
        <w:tc>
          <w:tcPr>
            <w:tcW w:w="62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0.4</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ind w:right="67"/>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72,300</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92,939</w:t>
            </w:r>
          </w:p>
        </w:tc>
        <w:tc>
          <w:tcPr>
            <w:tcW w:w="700" w:type="dxa"/>
            <w:vAlign w:val="bottom"/>
            <w:gridSpan w:val="3"/>
          </w:tcPr>
          <w:p>
            <w:pPr>
              <w:jc w:val="right"/>
              <w:spacing w:after="0" w:line="277" w:lineRule="exact"/>
              <w:rPr>
                <w:sz w:val="20"/>
                <w:szCs w:val="20"/>
                <w:color w:val="auto"/>
              </w:rPr>
            </w:pPr>
            <w:r>
              <w:rPr>
                <w:rFonts w:ascii="Arial" w:cs="Arial" w:eastAsia="Arial" w:hAnsi="Arial"/>
                <w:sz w:val="13"/>
                <w:szCs w:val="13"/>
                <w:color w:val="auto"/>
              </w:rPr>
              <w:t>48.8</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3"/>
                <w:szCs w:val="13"/>
                <w:color w:val="auto"/>
              </w:rPr>
              <w:t xml:space="preserve">Second Lien Debt (6.0% Cash, Due 8/24/19) </w:t>
            </w:r>
            <w:r>
              <w:rPr>
                <w:rFonts w:ascii="Arial" w:cs="Arial" w:eastAsia="Arial" w:hAnsi="Arial"/>
                <w:sz w:val="20"/>
                <w:szCs w:val="20"/>
                <w:color w:val="auto"/>
                <w:vertAlign w:val="superscript"/>
              </w:rPr>
              <w:t>(12)</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1"/>
        </w:trPr>
        <w:tc>
          <w:tcPr>
            <w:tcW w:w="3280" w:type="dxa"/>
            <w:vAlign w:val="bottom"/>
            <w:gridSpan w:val="2"/>
            <w:vMerge w:val="continue"/>
          </w:tcPr>
          <w:p>
            <w:pPr>
              <w:spacing w:after="0"/>
              <w:rPr>
                <w:sz w:val="24"/>
                <w:szCs w:val="24"/>
                <w:color w:val="auto"/>
              </w:rPr>
            </w:pPr>
          </w:p>
        </w:tc>
        <w:tc>
          <w:tcPr>
            <w:tcW w:w="120" w:type="dxa"/>
            <w:vAlign w:val="bottom"/>
          </w:tcPr>
          <w:p>
            <w:pPr>
              <w:jc w:val="right"/>
              <w:ind w:right="5"/>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16,327</w:t>
            </w:r>
          </w:p>
        </w:tc>
        <w:tc>
          <w:tcPr>
            <w:tcW w:w="180" w:type="dxa"/>
            <w:vAlign w:val="bottom"/>
          </w:tcPr>
          <w:p>
            <w:pPr>
              <w:jc w:val="right"/>
              <w:ind w:right="67"/>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16,327</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16,327</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92"/>
        </w:trPr>
        <w:tc>
          <w:tcPr>
            <w:tcW w:w="3280" w:type="dxa"/>
            <w:vAlign w:val="bottom"/>
            <w:gridSpan w:val="2"/>
          </w:tcPr>
          <w:p>
            <w:pPr>
              <w:spacing w:after="0"/>
              <w:rPr>
                <w:sz w:val="20"/>
                <w:szCs w:val="20"/>
                <w:color w:val="auto"/>
              </w:rPr>
            </w:pPr>
            <w:r>
              <w:rPr>
                <w:rFonts w:ascii="Arial" w:cs="Arial" w:eastAsia="Arial" w:hAnsi="Arial"/>
                <w:sz w:val="13"/>
                <w:szCs w:val="13"/>
                <w:color w:val="auto"/>
              </w:rPr>
              <w:t>Membership Units (2.2% fully diluted)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3"/>
                <w:szCs w:val="13"/>
                <w:color w:val="auto"/>
              </w:rPr>
              <w:t>Warrants (37.8% fully diluted)</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16,344</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16,327</w:t>
            </w:r>
          </w:p>
        </w:tc>
        <w:tc>
          <w:tcPr>
            <w:tcW w:w="220" w:type="dxa"/>
            <w:vAlign w:val="bottom"/>
            <w:vMerge w:val="continue"/>
          </w:tcPr>
          <w:p>
            <w:pPr>
              <w:spacing w:after="0"/>
              <w:rPr>
                <w:sz w:val="11"/>
                <w:szCs w:val="11"/>
                <w:color w:val="auto"/>
              </w:rPr>
            </w:pPr>
          </w:p>
        </w:tc>
        <w:tc>
          <w:tcPr>
            <w:tcW w:w="62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8.6</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3"/>
        </w:trPr>
        <w:tc>
          <w:tcPr>
            <w:tcW w:w="3280" w:type="dxa"/>
            <w:vAlign w:val="bottom"/>
            <w:gridSpan w:val="2"/>
          </w:tcPr>
          <w:p>
            <w:pPr>
              <w:spacing w:after="0"/>
              <w:rPr>
                <w:sz w:val="20"/>
                <w:szCs w:val="20"/>
                <w:color w:val="auto"/>
              </w:rPr>
            </w:pPr>
            <w:r>
              <w:rPr>
                <w:rFonts w:ascii="Arial" w:cs="Arial" w:eastAsia="Arial" w:hAnsi="Arial"/>
                <w:sz w:val="13"/>
                <w:szCs w:val="13"/>
                <w:color w:val="auto"/>
              </w:rPr>
              <w:t xml:space="preserve">First Lien Debt (10.0% Cash, Due 5/24/19) </w:t>
            </w:r>
            <w:r>
              <w:rPr>
                <w:rFonts w:ascii="Arial" w:cs="Arial" w:eastAsia="Arial" w:hAnsi="Arial"/>
                <w:sz w:val="20"/>
                <w:szCs w:val="20"/>
                <w:color w:val="auto"/>
                <w:vertAlign w:val="superscript"/>
              </w:rPr>
              <w:t>(16)</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1,708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1,708</w:t>
            </w: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311"/>
        </w:trPr>
        <w:tc>
          <w:tcPr>
            <w:tcW w:w="3280" w:type="dxa"/>
            <w:vAlign w:val="bottom"/>
            <w:gridSpan w:val="2"/>
          </w:tcPr>
          <w:p>
            <w:pPr>
              <w:spacing w:after="0"/>
              <w:rPr>
                <w:sz w:val="20"/>
                <w:szCs w:val="20"/>
                <w:color w:val="auto"/>
              </w:rPr>
            </w:pPr>
            <w:r>
              <w:rPr>
                <w:rFonts w:ascii="Arial" w:cs="Arial" w:eastAsia="Arial" w:hAnsi="Arial"/>
                <w:sz w:val="13"/>
                <w:szCs w:val="13"/>
                <w:color w:val="auto"/>
                <w:w w:val="97"/>
              </w:rPr>
              <w:t xml:space="preserve">First Lien Debt (12.0% Cash, 4.0% PIK, Due 6/30/19) </w:t>
            </w:r>
            <w:r>
              <w:rPr>
                <w:rFonts w:ascii="Arial" w:cs="Arial" w:eastAsia="Arial" w:hAnsi="Arial"/>
                <w:sz w:val="20"/>
                <w:szCs w:val="20"/>
                <w:color w:val="auto"/>
                <w:w w:val="97"/>
                <w:vertAlign w:val="superscript"/>
              </w:rPr>
              <w:t>(12)</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8,889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8,889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8,889</w:t>
            </w: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92"/>
        </w:trPr>
        <w:tc>
          <w:tcPr>
            <w:tcW w:w="3280" w:type="dxa"/>
            <w:vAlign w:val="bottom"/>
            <w:gridSpan w:val="2"/>
          </w:tcPr>
          <w:p>
            <w:pPr>
              <w:spacing w:after="0"/>
              <w:rPr>
                <w:sz w:val="20"/>
                <w:szCs w:val="20"/>
                <w:color w:val="auto"/>
              </w:rPr>
            </w:pPr>
            <w:r>
              <w:rPr>
                <w:rFonts w:ascii="Arial" w:cs="Arial" w:eastAsia="Arial" w:hAnsi="Arial"/>
                <w:sz w:val="13"/>
                <w:szCs w:val="13"/>
                <w:color w:val="auto"/>
              </w:rPr>
              <w:t>Preferred Units (4,000,000 units)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3"/>
                <w:szCs w:val="13"/>
                <w:color w:val="auto"/>
              </w:rPr>
              <w:t>Common Stock (21.3% fully diluted)</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1,394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3"/>
                <w:szCs w:val="13"/>
                <w:color w:val="auto"/>
              </w:rPr>
              <w:t>Common Stock Warrants (10.0% fully diluted )</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vMerge w:val="restart"/>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14,345</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10,597</w:t>
            </w:r>
          </w:p>
        </w:tc>
        <w:tc>
          <w:tcPr>
            <w:tcW w:w="220" w:type="dxa"/>
            <w:vAlign w:val="bottom"/>
            <w:vMerge w:val="continue"/>
          </w:tcPr>
          <w:p>
            <w:pPr>
              <w:spacing w:after="0"/>
              <w:rPr>
                <w:sz w:val="11"/>
                <w:szCs w:val="11"/>
                <w:color w:val="auto"/>
              </w:rPr>
            </w:pPr>
          </w:p>
        </w:tc>
        <w:tc>
          <w:tcPr>
            <w:tcW w:w="62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5.5</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3"/>
        </w:trPr>
        <w:tc>
          <w:tcPr>
            <w:tcW w:w="3280" w:type="dxa"/>
            <w:vAlign w:val="bottom"/>
            <w:gridSpan w:val="2"/>
          </w:tcPr>
          <w:p>
            <w:pPr>
              <w:spacing w:after="0"/>
              <w:rPr>
                <w:sz w:val="20"/>
                <w:szCs w:val="20"/>
                <w:color w:val="auto"/>
              </w:rPr>
            </w:pPr>
            <w:r>
              <w:rPr>
                <w:rFonts w:ascii="Arial" w:cs="Arial" w:eastAsia="Arial" w:hAnsi="Arial"/>
                <w:sz w:val="13"/>
                <w:szCs w:val="13"/>
                <w:color w:val="auto"/>
              </w:rPr>
              <w:t xml:space="preserve">Membership Units (80.0% ownership) </w:t>
            </w:r>
            <w:r>
              <w:rPr>
                <w:rFonts w:ascii="Arial" w:cs="Arial" w:eastAsia="Arial" w:hAnsi="Arial"/>
                <w:sz w:val="20"/>
                <w:szCs w:val="20"/>
                <w:color w:val="auto"/>
                <w:vertAlign w:val="superscript"/>
              </w:rPr>
              <w:t>(8)(17)</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13,600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13,695</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59"/>
        </w:trPr>
        <w:tc>
          <w:tcPr>
            <w:tcW w:w="3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13,600</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13,695</w:t>
            </w:r>
          </w:p>
        </w:tc>
        <w:tc>
          <w:tcPr>
            <w:tcW w:w="220" w:type="dxa"/>
            <w:vAlign w:val="bottom"/>
            <w:vMerge w:val="continue"/>
          </w:tcPr>
          <w:p>
            <w:pPr>
              <w:spacing w:after="0"/>
              <w:rPr>
                <w:sz w:val="11"/>
                <w:szCs w:val="11"/>
                <w:color w:val="auto"/>
              </w:rPr>
            </w:pPr>
          </w:p>
        </w:tc>
        <w:tc>
          <w:tcPr>
            <w:tcW w:w="62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7.2</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-3618230</wp:posOffset>
            </wp:positionV>
            <wp:extent cx="7246620"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-3438525</wp:posOffset>
            </wp:positionV>
            <wp:extent cx="7246620" cy="94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-3249295</wp:posOffset>
            </wp:positionV>
            <wp:extent cx="72466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-2983865</wp:posOffset>
            </wp:positionV>
            <wp:extent cx="7246620" cy="94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-2795270</wp:posOffset>
            </wp:positionV>
            <wp:extent cx="7246620" cy="1974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-2494915</wp:posOffset>
            </wp:positionV>
            <wp:extent cx="7246620"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-2323465</wp:posOffset>
            </wp:positionV>
            <wp:extent cx="724662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-2152015</wp:posOffset>
            </wp:positionV>
            <wp:extent cx="7246620" cy="1117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-1954530</wp:posOffset>
            </wp:positionV>
            <wp:extent cx="7246620"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-1783080</wp:posOffset>
            </wp:positionV>
            <wp:extent cx="7246620" cy="85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-1602740</wp:posOffset>
            </wp:positionV>
            <wp:extent cx="7246620" cy="946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-1414145</wp:posOffset>
            </wp:positionV>
            <wp:extent cx="7246620" cy="1117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-1217295</wp:posOffset>
            </wp:positionV>
            <wp:extent cx="7246620" cy="1117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-1019810</wp:posOffset>
            </wp:positionV>
            <wp:extent cx="7246620"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-848360</wp:posOffset>
            </wp:positionV>
            <wp:extent cx="7246620"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-676910</wp:posOffset>
            </wp:positionV>
            <wp:extent cx="7246620" cy="85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-496570</wp:posOffset>
            </wp:positionV>
            <wp:extent cx="7246620" cy="946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-307975</wp:posOffset>
            </wp:positionV>
            <wp:extent cx="7246620" cy="1117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-102235</wp:posOffset>
            </wp:positionV>
            <wp:extent cx="7246620" cy="946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-3884295</wp:posOffset>
            </wp:positionV>
            <wp:extent cx="7246620" cy="180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980" w:space="280"/>
            <w:col w:w="716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5"/>
              </w:rPr>
              <w:t xml:space="preserve">Portfolio Company, Country </w:t>
            </w:r>
            <w:r>
              <w:rPr>
                <w:rFonts w:ascii="Arial" w:cs="Arial" w:eastAsia="Arial" w:hAnsi="Arial"/>
                <w:sz w:val="20"/>
                <w:szCs w:val="20"/>
                <w:b w:val="1"/>
                <w:bCs w:val="1"/>
                <w:color w:val="auto"/>
                <w:w w:val="85"/>
                <w:vertAlign w:val="superscript"/>
              </w:rPr>
              <w:t>(1)</w:t>
            </w:r>
            <w:r>
              <w:rPr>
                <w:rFonts w:ascii="Arial" w:cs="Arial" w:eastAsia="Arial" w:hAnsi="Arial"/>
                <w:sz w:val="20"/>
                <w:szCs w:val="20"/>
                <w:b w:val="1"/>
                <w:bCs w:val="1"/>
                <w:u w:val="single" w:color="auto"/>
                <w:color w:val="auto"/>
                <w:w w:val="85"/>
                <w:vertAlign w:val="superscript"/>
              </w:rPr>
              <w:t>,</w:t>
            </w:r>
            <w:r>
              <w:rPr>
                <w:rFonts w:ascii="Arial" w:cs="Arial" w:eastAsia="Arial" w:hAnsi="Arial"/>
                <w:sz w:val="13"/>
                <w:szCs w:val="13"/>
                <w:b w:val="1"/>
                <w:bCs w:val="1"/>
                <w:color w:val="auto"/>
                <w:w w:val="85"/>
              </w:rPr>
              <w:t xml:space="preserve"> </w:t>
            </w:r>
            <w:r>
              <w:rPr>
                <w:rFonts w:ascii="Arial" w:cs="Arial" w:eastAsia="Arial" w:hAnsi="Arial"/>
                <w:sz w:val="20"/>
                <w:szCs w:val="20"/>
                <w:b w:val="1"/>
                <w:bCs w:val="1"/>
                <w:color w:val="auto"/>
                <w:w w:val="85"/>
                <w:vertAlign w:val="superscript"/>
              </w:rPr>
              <w:t>(2), (3), (4), (19)</w:t>
            </w: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Principal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right"/>
              <w:ind w:right="24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40" w:type="dxa"/>
            <w:vAlign w:val="bottom"/>
            <w:gridSpan w:val="2"/>
            <w:vMerge w:val="continue"/>
          </w:tcPr>
          <w:p>
            <w:pPr>
              <w:spacing w:after="0"/>
              <w:rPr>
                <w:sz w:val="13"/>
                <w:szCs w:val="13"/>
                <w:color w:val="auto"/>
              </w:rPr>
            </w:pPr>
          </w:p>
        </w:tc>
        <w:tc>
          <w:tcPr>
            <w:tcW w:w="1760" w:type="dxa"/>
            <w:vAlign w:val="bottom"/>
          </w:tcPr>
          <w:p>
            <w:pPr>
              <w:ind w:left="640"/>
              <w:spacing w:after="0"/>
              <w:rPr>
                <w:sz w:val="20"/>
                <w:szCs w:val="20"/>
                <w:color w:val="auto"/>
              </w:rPr>
            </w:pPr>
            <w:r>
              <w:rPr>
                <w:rFonts w:ascii="Arial" w:cs="Arial" w:eastAsia="Arial" w:hAnsi="Arial"/>
                <w:sz w:val="13"/>
                <w:szCs w:val="13"/>
                <w:b w:val="1"/>
                <w:bCs w:val="1"/>
                <w:color w:val="auto"/>
              </w:rPr>
              <w:t>Industry</w:t>
            </w:r>
          </w:p>
        </w:tc>
        <w:tc>
          <w:tcPr>
            <w:tcW w:w="100" w:type="dxa"/>
            <w:vAlign w:val="bottom"/>
          </w:tcPr>
          <w:p>
            <w:pPr>
              <w:spacing w:after="0"/>
              <w:rPr>
                <w:sz w:val="13"/>
                <w:szCs w:val="13"/>
                <w:color w:val="auto"/>
              </w:rPr>
            </w:pPr>
          </w:p>
        </w:tc>
        <w:tc>
          <w:tcPr>
            <w:tcW w:w="2260" w:type="dxa"/>
            <w:vAlign w:val="bottom"/>
            <w:gridSpan w:val="2"/>
          </w:tcPr>
          <w:p>
            <w:pPr>
              <w:jc w:val="right"/>
              <w:ind w:right="168"/>
              <w:spacing w:after="0"/>
              <w:rPr>
                <w:sz w:val="20"/>
                <w:szCs w:val="20"/>
                <w:color w:val="auto"/>
              </w:rPr>
            </w:pPr>
            <w:r>
              <w:rPr>
                <w:rFonts w:ascii="Arial" w:cs="Arial" w:eastAsia="Arial" w:hAnsi="Arial"/>
                <w:sz w:val="13"/>
                <w:szCs w:val="13"/>
                <w:b w:val="1"/>
                <w:bCs w:val="1"/>
                <w:color w:val="auto"/>
              </w:rPr>
              <w:t>Type of Investment</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Fair Value</w:t>
            </w:r>
          </w:p>
        </w:tc>
        <w:tc>
          <w:tcPr>
            <w:tcW w:w="720" w:type="dxa"/>
            <w:vAlign w:val="bottom"/>
            <w:gridSpan w:val="2"/>
          </w:tcPr>
          <w:p>
            <w:pPr>
              <w:jc w:val="right"/>
              <w:ind w:right="102"/>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Micro Precision, LLC</w:t>
            </w: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17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Conglomerate</w:t>
            </w:r>
          </w:p>
        </w:tc>
        <w:tc>
          <w:tcPr>
            <w:tcW w:w="100" w:type="dxa"/>
            <w:vAlign w:val="bottom"/>
            <w:tcBorders>
              <w:bottom w:val="single" w:sz="8" w:color="CCEEFF"/>
            </w:tcBorders>
            <w:shd w:val="clear" w:color="auto" w:fill="CCEEFF"/>
          </w:tcPr>
          <w:p>
            <w:pPr>
              <w:spacing w:after="0"/>
              <w:rPr>
                <w:sz w:val="12"/>
                <w:szCs w:val="12"/>
                <w:color w:val="auto"/>
              </w:rPr>
            </w:pPr>
          </w:p>
        </w:tc>
        <w:tc>
          <w:tcPr>
            <w:tcW w:w="2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w w:val="87"/>
              </w:rPr>
              <w:t>Subordinated Debt (10.0% Cash, Due 1/1/19)</w:t>
            </w:r>
          </w:p>
        </w:tc>
        <w:tc>
          <w:tcPr>
            <w:tcW w:w="74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0"/>
                <w:szCs w:val="10"/>
                <w:color w:val="auto"/>
                <w:w w:val="89"/>
              </w:rPr>
              <w:t>(12)</w:t>
            </w: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Micro Precision, LLC</w:t>
            </w:r>
          </w:p>
        </w:tc>
        <w:tc>
          <w:tcPr>
            <w:tcW w:w="17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Conglomerate</w:t>
            </w:r>
          </w:p>
        </w:tc>
        <w:tc>
          <w:tcPr>
            <w:tcW w:w="3380" w:type="dxa"/>
            <w:vAlign w:val="bottom"/>
            <w:gridSpan w:val="6"/>
            <w:shd w:val="clear" w:color="auto" w:fill="CCEEFF"/>
          </w:tcPr>
          <w:p>
            <w:pPr>
              <w:ind w:left="100"/>
              <w:spacing w:after="0" w:line="128" w:lineRule="exact"/>
              <w:rPr>
                <w:sz w:val="20"/>
                <w:szCs w:val="20"/>
                <w:color w:val="auto"/>
              </w:rPr>
            </w:pPr>
            <w:r>
              <w:rPr>
                <w:rFonts w:ascii="Arial" w:cs="Arial" w:eastAsia="Arial" w:hAnsi="Arial"/>
                <w:sz w:val="13"/>
                <w:szCs w:val="13"/>
                <w:color w:val="auto"/>
              </w:rPr>
              <w:t>Subordinated Debt (14.0% Cash, 4.0% PIK, Due 1/1/19)</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(12)</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Micro Precision, LLC</w:t>
            </w:r>
          </w:p>
        </w:tc>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Conglomerate</w:t>
            </w:r>
          </w:p>
        </w:tc>
        <w:tc>
          <w:tcPr>
            <w:tcW w:w="19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Series A Preferred Units (47 units)</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1,629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2,817</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7,816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9,004</w:t>
            </w:r>
          </w:p>
        </w:tc>
        <w:tc>
          <w:tcPr>
            <w:tcW w:w="2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94"/>
              </w:rPr>
              <w:t>Textile Equipment Manufacturer</w:t>
            </w:r>
          </w:p>
        </w:tc>
        <w:tc>
          <w:tcPr>
            <w:tcW w:w="2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3"/>
                <w:szCs w:val="13"/>
                <w:color w:val="auto"/>
                <w:w w:val="88"/>
              </w:rPr>
              <w:t>First Lien Debt (15.0% Cash, Due 10/30/20)</w:t>
            </w:r>
          </w:p>
        </w:tc>
        <w:tc>
          <w:tcPr>
            <w:tcW w:w="800" w:type="dxa"/>
            <w:vAlign w:val="bottom"/>
            <w:tcBorders>
              <w:bottom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0"/>
                <w:szCs w:val="10"/>
                <w:color w:val="auto"/>
              </w:rPr>
              <w:t>(12)</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7,500</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60" w:type="dxa"/>
            <w:vAlign w:val="bottom"/>
            <w:gridSpan w:val="4"/>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Navis Holdings, Inc.</w:t>
            </w:r>
          </w:p>
        </w:tc>
        <w:tc>
          <w:tcPr>
            <w:tcW w:w="17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94"/>
              </w:rPr>
              <w:t>Textile Equipment Manufacturer</w:t>
            </w:r>
          </w:p>
        </w:tc>
        <w:tc>
          <w:tcPr>
            <w:tcW w:w="3380" w:type="dxa"/>
            <w:vAlign w:val="bottom"/>
            <w:gridSpan w:val="6"/>
            <w:shd w:val="clear" w:color="auto" w:fill="CCEEFF"/>
          </w:tcPr>
          <w:p>
            <w:pPr>
              <w:ind w:left="100"/>
              <w:spacing w:after="0" w:line="128" w:lineRule="exact"/>
              <w:rPr>
                <w:sz w:val="20"/>
                <w:szCs w:val="20"/>
                <w:color w:val="auto"/>
              </w:rPr>
            </w:pPr>
            <w:r>
              <w:rPr>
                <w:rFonts w:ascii="Arial" w:cs="Arial" w:eastAsia="Arial" w:hAnsi="Arial"/>
                <w:sz w:val="13"/>
                <w:szCs w:val="13"/>
                <w:color w:val="auto"/>
              </w:rPr>
              <w:t>Class A Preferred Stock (1,000 shares, 10.0% Cash</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100"/>
              <w:spacing w:after="0" w:line="183" w:lineRule="exact"/>
              <w:rPr>
                <w:sz w:val="20"/>
                <w:szCs w:val="20"/>
                <w:color w:val="auto"/>
              </w:rPr>
            </w:pPr>
            <w:r>
              <w:rPr>
                <w:rFonts w:ascii="Arial" w:cs="Arial" w:eastAsia="Arial" w:hAnsi="Arial"/>
                <w:sz w:val="13"/>
                <w:szCs w:val="13"/>
                <w:color w:val="auto"/>
              </w:rPr>
              <w:t xml:space="preserve">Dividend) </w:t>
            </w:r>
            <w:r>
              <w:rPr>
                <w:rFonts w:ascii="Arial" w:cs="Arial" w:eastAsia="Arial" w:hAnsi="Arial"/>
                <w:sz w:val="20"/>
                <w:szCs w:val="20"/>
                <w:color w:val="auto"/>
                <w:vertAlign w:val="superscript"/>
              </w:rPr>
              <w:t>(5)</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Navis Holdings, Inc.</w:t>
            </w:r>
          </w:p>
        </w:tc>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Textile Equipment Manufacturer</w:t>
            </w:r>
          </w:p>
        </w:tc>
        <w:tc>
          <w:tcPr>
            <w:tcW w:w="19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96"/>
              </w:rPr>
              <w:t>Common Stock (300,000 shares)</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4,348</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8,501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12,848</w:t>
            </w:r>
          </w:p>
        </w:tc>
        <w:tc>
          <w:tcPr>
            <w:tcW w:w="2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Portrait Studio, LLC</w:t>
            </w:r>
          </w:p>
        </w:tc>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Professional and Personal Digital</w:t>
            </w:r>
          </w:p>
        </w:tc>
        <w:tc>
          <w:tcPr>
            <w:tcW w:w="3380" w:type="dxa"/>
            <w:vAlign w:val="bottom"/>
            <w:gridSpan w:val="6"/>
            <w:shd w:val="clear" w:color="auto" w:fill="CCEEFF"/>
          </w:tcPr>
          <w:p>
            <w:pPr>
              <w:ind w:left="100"/>
              <w:spacing w:after="0" w:line="121" w:lineRule="exact"/>
              <w:rPr>
                <w:sz w:val="20"/>
                <w:szCs w:val="20"/>
                <w:color w:val="auto"/>
              </w:rPr>
            </w:pPr>
            <w:r>
              <w:rPr>
                <w:rFonts w:ascii="Arial" w:cs="Arial" w:eastAsia="Arial" w:hAnsi="Arial"/>
                <w:sz w:val="13"/>
                <w:szCs w:val="13"/>
                <w:color w:val="auto"/>
                <w:w w:val="97"/>
              </w:rPr>
              <w:t>First Lien Debt (9.0% Cash (1 month LIBOR + 7.0%, 1.0%</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Imaging</w:t>
            </w:r>
          </w:p>
        </w:tc>
        <w:tc>
          <w:tcPr>
            <w:tcW w:w="1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w w:val="90"/>
              </w:rPr>
              <w:t>Floor, 2.0% Ceiling), Due 12/31/22)</w:t>
            </w:r>
          </w:p>
        </w:tc>
        <w:tc>
          <w:tcPr>
            <w:tcW w:w="40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0"/>
                <w:szCs w:val="10"/>
                <w:color w:val="auto"/>
                <w:w w:val="89"/>
              </w:rPr>
              <w:t>(18)</w:t>
            </w: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60" w:type="dxa"/>
            <w:vAlign w:val="bottom"/>
            <w:gridSpan w:val="4"/>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Portrait Studio, LLC</w:t>
            </w:r>
          </w:p>
        </w:tc>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Professional and Personal Digital</w:t>
            </w:r>
          </w:p>
        </w:tc>
        <w:tc>
          <w:tcPr>
            <w:tcW w:w="3380" w:type="dxa"/>
            <w:vAlign w:val="bottom"/>
            <w:gridSpan w:val="6"/>
            <w:shd w:val="clear" w:color="auto" w:fill="CCEEFF"/>
          </w:tcPr>
          <w:p>
            <w:pPr>
              <w:ind w:left="100"/>
              <w:spacing w:after="0" w:line="121" w:lineRule="exact"/>
              <w:rPr>
                <w:sz w:val="20"/>
                <w:szCs w:val="20"/>
                <w:color w:val="auto"/>
              </w:rPr>
            </w:pPr>
            <w:r>
              <w:rPr>
                <w:rFonts w:ascii="Arial" w:cs="Arial" w:eastAsia="Arial" w:hAnsi="Arial"/>
                <w:sz w:val="13"/>
                <w:szCs w:val="13"/>
                <w:color w:val="auto"/>
                <w:w w:val="97"/>
              </w:rPr>
              <w:t>First Lien Debt (9.4% Cash (1 month LIBOR + 7.0%, 1.0%</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Imaging</w:t>
            </w:r>
          </w:p>
        </w:tc>
        <w:tc>
          <w:tcPr>
            <w:tcW w:w="19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0"/>
              </w:rPr>
              <w:t>Floor, 5.0% Ceiling), Due 12/31/22)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Portrait Studio, LLC</w:t>
            </w:r>
          </w:p>
        </w:tc>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Professional and Personal Digital</w:t>
            </w:r>
          </w:p>
        </w:tc>
        <w:tc>
          <w:tcPr>
            <w:tcW w:w="19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Preferred Units (4,350,000 Units)</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Imaging</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2,174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Portrait Studio, LLC</w:t>
            </w:r>
          </w:p>
        </w:tc>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Professional and Personal Digital</w:t>
            </w:r>
          </w:p>
        </w:tc>
        <w:tc>
          <w:tcPr>
            <w:tcW w:w="19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w w:val="93"/>
              </w:rPr>
              <w:t>Membership Units (150,000 Units)</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Imaging</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6,950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6,674</w:t>
            </w:r>
          </w:p>
        </w:tc>
        <w:tc>
          <w:tcPr>
            <w:tcW w:w="2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7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6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Borders>
              <w:bottom w:val="single" w:sz="8" w:color="CCEEFF"/>
            </w:tcBorders>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88"/>
              </w:rPr>
              <w:t>Sub Total Control investments - United States</w:t>
            </w:r>
          </w:p>
        </w:tc>
        <w:tc>
          <w:tcPr>
            <w:tcW w:w="1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67,556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69,145</w:t>
            </w: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36.3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- 235.5%</w:t>
            </w: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9"/>
                <w:szCs w:val="9"/>
                <w:b w:val="1"/>
                <w:bCs w:val="1"/>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419,970</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448,927</w:t>
            </w:r>
          </w:p>
        </w:tc>
        <w:tc>
          <w:tcPr>
            <w:tcW w:w="7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0"/>
                <w:szCs w:val="10"/>
                <w:b w:val="1"/>
                <w:bCs w:val="1"/>
                <w:color w:val="auto"/>
              </w:rPr>
              <w:t>235.5</w:t>
            </w:r>
            <w:r>
              <w:rPr>
                <w:rFonts w:ascii="Arial" w:cs="Arial" w:eastAsia="Arial" w:hAnsi="Arial"/>
                <w:sz w:val="18"/>
                <w:szCs w:val="18"/>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All investments valued using unobservable inputs (Level 3).</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All investments valued by the Board of Directors.</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All debt investments are income producing, unless otherwise noted. Equity and warrant investments are non-income producing, unless otherwise noted.</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Percentages are based on net assets of $190,644 as of December 31, 2018.</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equity investment is income producing, based on rate disclosed.</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cash rate equals the approximate current yield on our last-out portion of the unitranche facility.</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Non-accrual investment.</w:t>
      </w:r>
    </w:p>
    <w:p>
      <w:pPr>
        <w:ind w:left="460" w:right="560" w:hanging="452"/>
        <w:spacing w:after="0" w:line="234" w:lineRule="auto"/>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2018, 9.2% of the Company's total assets were non-qualifying assets.</w:t>
      </w:r>
    </w:p>
    <w:p>
      <w:pPr>
        <w:spacing w:after="0" w:line="1" w:lineRule="exact"/>
        <w:rPr>
          <w:rFonts w:ascii="Arial" w:cs="Arial" w:eastAsia="Arial" w:hAnsi="Arial"/>
          <w:sz w:val="12"/>
          <w:szCs w:val="12"/>
          <w:color w:val="auto"/>
        </w:rPr>
      </w:pP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investment has a $0.8 million unfunded commitment.</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investment has a $0.5 million unfunded commitment.</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investment has a $0.6 million unfunded commitment.</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maturity date of the original investment has been extended.</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investment has a $1.0 million unfunded commitment.</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investment has been exited. The residual value reflects estimated earnout to be settled post-closing.</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investment has been exited. The residual value reflects estimated escrow and earnout to be settled post-closing.</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investment has a $0.3 million unfunded commitment.</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investment has a $6.4 million unfunded commitment.</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investment has a $5.0 million unfunded commitment.</w:t>
      </w:r>
    </w:p>
    <w:p>
      <w:pPr>
        <w:ind w:left="460" w:right="120" w:hanging="452"/>
        <w:spacing w:after="0" w:line="229"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Capitala Finance Corp.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spacing w:after="0" w:line="19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and Capitala Advisors Corp.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subsidiary that is licensed by the U.S. Small Business Administration (“SBA”) under the Small Business Investment Company (“SBIC”) Act,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subordinated loans, and, to a lesser extent, equity securities issued by lower middle-market companies and traditional middle-market companies.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w:t>
      </w:r>
    </w:p>
    <w:p>
      <w:pPr>
        <w:jc w:val="both"/>
        <w:ind w:firstLine="8"/>
        <w:spacing w:after="0" w:line="292" w:lineRule="auto"/>
        <w:tabs>
          <w:tab w:leader="none" w:pos="23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retained their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SBA debentures and relinquished its SBIC license.</w:t>
      </w:r>
    </w:p>
    <w:p>
      <w:pPr>
        <w:spacing w:after="0" w:line="16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 Taxable Subsidiaries allow the Company to make equity investments in companies organized as pass-through entities while continuing to satisfy the requirements of a RIC under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unaudited consolidated financial statements have been prepared on the accrual basis of accounting in</w:t>
      </w:r>
      <w:r>
        <w:rPr>
          <w:rFonts w:ascii="Arial" w:cs="Arial" w:eastAsia="Arial" w:hAnsi="Arial"/>
          <w:sz w:val="17"/>
          <w:szCs w:val="17"/>
          <w:i w:val="1"/>
          <w:iCs w:val="1"/>
          <w:color w:val="auto"/>
        </w:rPr>
        <w:t xml:space="preserve"> </w:t>
      </w:r>
      <w:r>
        <w:rPr>
          <w:rFonts w:ascii="Arial" w:cs="Arial" w:eastAsia="Arial" w:hAnsi="Arial"/>
          <w:sz w:val="17"/>
          <w:szCs w:val="17"/>
          <w:color w:val="auto"/>
        </w:rPr>
        <w:t>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and the Taxable Subsidiaries.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ind w:firstLine="648"/>
        <w:spacing w:after="0" w:line="276" w:lineRule="auto"/>
        <w:rPr>
          <w:sz w:val="20"/>
          <w:szCs w:val="20"/>
          <w:color w:val="auto"/>
        </w:rPr>
      </w:pPr>
      <w:r>
        <w:rPr>
          <w:rFonts w:ascii="Arial" w:cs="Arial" w:eastAsia="Arial" w:hAnsi="Arial"/>
          <w:sz w:val="17"/>
          <w:szCs w:val="17"/>
          <w:color w:val="auto"/>
        </w:rPr>
        <w:t>The Company’s financial statements as of September 30, 2019 and December 31, 2018 and for the periods ended September 30, 2019 and September 30, 2018 are presented on a consolidated basis. The effects of all intercompany transactions between the Company and its subsidiaries (Fund II, Fund III,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2018, filed with the U.S. Securities and Exchange Commission (“SEC”) on March 4,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and the Taxable Subsidiaries) in its consolidated financial statements. The Company does not consolidate its interest in Capitala Senior Loan Fund II, LLC (“CSLF II”) because the investment is not considered a substantially wholly owned investment company subsidiary. Further, CSLF II is a joint venture for which shared power exists relating to the decisions that most significantly impact the economic performance of the entity. See Note 4 to the consolidated financial statements for a description of the Company’s investment in CSLF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measurements. In accordance with ASC 820, the Company has categorized its financial instruments carried at fair value, based on the priority of the valuation technique, into a three-level fair value hierarchy, as discussed in Note 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firstLine="648"/>
        <w:spacing w:after="0" w:line="259" w:lineRule="auto"/>
        <w:rPr>
          <w:sz w:val="20"/>
          <w:szCs w:val="20"/>
          <w:color w:val="auto"/>
        </w:rPr>
      </w:pPr>
      <w:r>
        <w:rPr>
          <w:rFonts w:ascii="Arial" w:cs="Arial" w:eastAsia="Arial" w:hAnsi="Arial"/>
          <w:sz w:val="18"/>
          <w:szCs w:val="18"/>
          <w:color w:val="auto"/>
        </w:rPr>
        <w:t>In determining fair value, the Company’s board of directors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practical expedient, the Company uses net asset value (“NAV”) as the fair value for its equity investment in CSLF II. CSLF II records its underlying investments at fair value on a quarterly basis in accordance with the 1940 Act and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methodologies summarized below are utilized by the Company in estimating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 amounts are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collected. The Company has loans in the portfolio that contain a PIK interest provision. The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Management reviews all loans that become 90 days or more past due, or when there is reasonable doubt that principal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investments in portfolio companies are 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Sales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The Company follows the guidance in ASC Topic 860 —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follows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(“ASC 460”). ASC 460 elaborates on the disclosure requirements of a guarantor in its interim and annual consolidated financial statements about its obligations under certain guarantees that it has issued. It also requires a guarantor to recognize, at the inception of a guarantee, for those guarantees that are covered by ASC 460, the fair value of the obligation undertaken in issuing certain guarantees.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are paid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common stock assuming all potentially dilutive shares had been issued. Diluted EPS reflects the potential dilution, using the as-if-converted method for convertible debt, which could occur if all potentially dilutive securities were exercised.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September 30, 2019, the Company had outstanding unfunded commitments related to debt and equity investments in existing portfolio companies of $11.4 million (CSLF II), $2.7 million (Portrait Studio, LLC), $1.0 million (Freedom Electronics, LLC), $1.0 million (U.S. BioTek Laboratories, LLC), and $0.7 million (Jurassic Quest Holdings, LLC). As of December 31, 2018, the Company had outstanding unfunded commitments related to debt and equity investments in existing portfolio companies of $6.4 million (CSLF II), $5.0 million (Portrait Studio, LLC), $1.1 million (MC Sign Lessor, Corp.), $1.0 million (U.S. BioTek Laboratories, LLC), $0.8 million (Freedom Electronics, LLC), and $0.3 million (CableOrganizer Acquisition, LLC).</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may invest in the same unitranche facility as CSLF II, whereby CSLF II provides the first-out portion of the unitranche facility and the Company and other lenders provide the last-out portion of the unitranche facility. Under a guarantee agreement, the Company may be required to purchase its pro-rata portion of first-out loans from CSLF II upon certain triggering events, including acceleration upon payment default of the underlying borrower. As of September 30, 2019, the Company has evaluated the fair value of the guarantee under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and determined that the fair value of the guarantee is immaterial as the risk of payment default for first-out loans in CSLF II is considered remote. The maximum exposure to credit risk as of September 30, 2019 and December 31, 2018, was $7.3 million and $4.3 million, respectively, and extends to the stated maturity of the underlying loans in CSLF II.</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December 28, 2017, an alleged stockholder filed a putative class action lawsuit complaint, Paskowitz v. Capitala Finance Corp., et al., in the United States District Court for the Central District of California (case number 2:17-cv-09251-MWF-AS) (the “Paskowitz Action”), against the Company and certain of its current officers on behalf of all persons who purchased or otherwise acquired the Company’s common stock between January 4, 2016 and August 7, 2017. On January 3, 2018, another alleged stockholder filed a putative class action complaint, Sandifer v. Capitala Finance Corp., et al., in the United States District Court for the Central District of California (case number 2:18-cv-00052-MWF-AS) (the “Sandifer Action”), asserting substantially similar claims on behalf of the same putative class and against the same defendants. On February 2, 2018, the Sandifer Action was transferred, on stipulation of the parties, to the United States District Court for the Western District of North Carolina. The Sandifer Action was voluntarily dismissed on February 28, 2018. On March 1, 2018, the Paskowitz Action was transferred, on stipulation of the parties, to the United States District Court for the Western District of North Carolina (case number 3:18-cv-00096-RJC-DSC). On June 19, 2018, the plaintiffs in the Paskowitz Action filed their amended complaint. The amended complaint alleged certain violations of the securities laws, including, inter alia, that the defendants made certain materially false and misleading statements and omissions regarding the Company’s business, operations, and prospects between January 4, 2016 and August 7, 2017. The amended complaint sought compensatory damages and attorneys’ fees and costs, among other relief, but did not specify the amount of damages being sought.</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14, 2018, Defendants in the Paskowitz Action filed a motion to dismiss the amended complaint. On August 15, 2019, the Court granted Defendants’ motion to dismiss and dismissed the amended complaint without prejudice to the plaintiffs’ ability to file a motion seeking to further amend the amended complaint. On September 16, 2019, the plaintiffs filed a notice with the Court informing the Court that plaintiffs intend not to file a second amended complaint and requesting that the Court enter an order of final judgment and dismissal. On October 25, 2019, the Court entered a judgment in accordance with the August 15, 2019 dismissal order. While the Company intends to vigorously defend itself in this litigation should the litigation continue, the outcome of these legal proceedings cannot be predicted with certainty.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both"/>
        <w:ind w:firstLine="648"/>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and adversely affect the Company’s financial condition, results of operations, or cash flows in any particular reporting period.</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as of September 30, 2019 and December 31, 2018.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elected to amend its tax year end from August 31 to December 31 and filed a tax return for the four months ended December 31, 2017. The tax periods ended December 31, 2018, December 31, 2017, August 31, 2017, and August 31, 2016 remain subject to examination by U.S. federal, state, and local tax authorities. No interest expense or penalties have been assessed for the three and nine months ended September 30, 2019 and September 30, 2018. If the Company was required to recognize interest and penalties, if any, related to unrecognized tax benefits this would be recognized as income tax expense in the consolidated statements of operations.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U.S. federal income tax purposes, as of September 30, 2019, the aggregate net unrealized depreciation for all securities was $(5.3) million. As of September 30, 2019, gross unrealized appreciation was $31.4 million and gross unrealized depreciation was $(36.7) million. The aggregate cost of securities for U.S. federal income tax purposes was $376.6 million as of September 30, 2019. For U.S. federal income tax purposes, as of December 31, 2018, the aggregate net unrealized appreciation for all securities was $6.5 million. As of December 31, 2018, gross unrealized appreciation was $31.9 million and gross unrealized depreciation was $(25.4) million. The aggregate cost of securities for U.S. federal income tax purposes was $442.4 million as of December 31, 2018.</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Taxable Subsidiaries record deferred tax assets or liabilities related to temporary book versus tax differences on the income or loss generated by the underlying equity investments held by the Taxable Subsidiaries. As of September 30, 2019 and December 31, 2018, the Company recorded a net deferred tax asset of $0.0 million and $0.6 million, respectively. For the three and nine months ended September 30, 2019, the Company recorded a tax provision of $0.0 million and $(0.6) million, respectively. For the three months ended September 30, 2018, the Company recorded a tax provision of $(0.1) million. For the nine months ended September 30, 2018, the company recorded a tax benefit of $1.2 million. As of September 30, 2019 and December 31, 2018, the valuation allowance on the Company’s deferred tax asset was $3.1 million and $0.4 million, respectively. During the three and nine months ended September 30, 2019, the Company recognized an increase in the valuation allowance of $0.7 and $2.7 million, respectively. No change in the valuation allowance was recognized for the three and nine months ended September 30, 2018.</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648"/>
        <w:spacing w:after="0" w:line="271" w:lineRule="auto"/>
        <w:rPr>
          <w:sz w:val="20"/>
          <w:szCs w:val="20"/>
          <w:color w:val="auto"/>
        </w:rPr>
      </w:pPr>
      <w:r>
        <w:rPr>
          <w:rFonts w:ascii="Arial" w:cs="Arial" w:eastAsia="Arial" w:hAnsi="Arial"/>
          <w:sz w:val="17"/>
          <w:szCs w:val="17"/>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2019 and December 31, 2018, there were no uncertain tax positions.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Distributions to common stockholders are recorded on the record date. The amount to be paid out as a dividend is determined by the Board. Net capital gains, if any, are generally distributed at least annually, although we may decide to retain such capital gains for reinvestment.</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648"/>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2018, the Financial Accounting Standards Board (“FASB”) issued Accounting Standards Update 2018-13, Disclosure Framework — Changes to the Disclosure Requirement for Fair Value Measurement. The FASB issued the amendments as part of the disclosure framework project which is intended to improve the effectiveness of fair value disclosures in the notes to the financial statements by facilitating clear communication of the information required by U.S. GAAP that is most important to users of the financial statements. The standard is effective for interim and annual reporting periods in fiscal years that begin after December 15, 2019. Management is currently evaluating the impact these changes will have on the Company’s consolidated financial statements and disclosures.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2018, the SEC adopted amendments (the “Amendments”) to certain disclosure requirements that have become redundant, duplicative, overlapping, outdated, or superseded, in light of other SEC disclosure requirements, U.S. GAAP requirements, or changes in the information environment. In part, the Amendments require an investment company to present distributable earnings in total, rather than showing the three components of distributable earnings. The compliance date for the Amendments is for all filings on or after November 5, 2018. Management has adopted the Amendments and included the required disclosures in the Company’s consolidated financial statements.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May 2014, the FASB issued Accounting Standards Update 2014-09, Revenue from Contracts with Customers (ASC Topic 606) (“ASU 2014-09”). ASU 2014-09 supersedes the revenue recognition requirements under ASC Topic 605, Revenue Recognition, and most industry-specific guidance throughout the ASC. The core principle of the guidance is that an entity should recognize revenue to depict the transfer of promised goods or services to customers in an amount that reflects the consideration to which an entity expects to be entitled in exchange for those goods or services. The new guidance significantly enhances comparability of revenue recognition practices across entities, industries, jurisdictions, and capital markets. Additionally, the guidance requires improved disclosures as to the nature, amount, timing, and uncertainty of revenue that is recognized. The new guidance became effective for the annual reporting period beginning January 1, 2018, including interim periods within that reporting period. The Company completed its assessment in evaluating the potential impact on its consolidated financial statements and based on its assessment, determined that its financial contracts are excluded from the scope of ASU 2014-09. As a result of the scope exception for financial contracts, the Company’s management has determined that there were no material changes to the recognition, timing, and classification of revenues and expenses; additionally, the Company’s management determined that the adoption of ASU 2014-09 did not have a significant impact on its consolidated financial statement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subordinated loans, and, to a lesser extent, equity securities issued by lower middle-market companies and traditional middle-market companies. As of September 30, 2019, our portfolio consisted of investments in 40 portfolio companies with a fair value of approximately $371.4 million.</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Unitranche debt, a form of first lien loan, typically involves issuing one debt security that blends the risk and return profiles of both senior secured and subordinated debt in one debt security, bifurcating the loan into a first-out tranche and last-out tranche. As of September 30, 2019, 18.6% of the fair value of our first lien loans consisted of last-out loans. As of December 31, 2018, 13.7% of the fair value of our first lien loans consisted of last-out loans. In some cases, first lien loans may be subordinated, solely with respect to the payment of cash interest, to an asset based revolving credit facility.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first and second lien loans, the Company may also invest in subordinated loans. Subordinated loans typically have a second lien on all or substantially all of the borrower’s assets, but unlike second lien loans, may be subject to the interruption of cash interest payments upon certain events of default, at the discretion of the first lien lender.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During the three months ended September 30, 2019, the Company made approximately $13.9 million of investments and had approximately $33.2 million in repayments and sales, resulting in net repayments and sales of approximately $19.3 million for the period. During the three months ended September 30, 2018, the Company made approximately $19.9 million of investments and had approximately $42.6 million in repayments and sales, resulting in net repayments and sales of approximately $22.7 million for the period.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nine months ended September 30, 2019, the Company made approximately $48.8 million of investments and had approximately $91.3 million in repayments and sales, resulting in net repayments and sales of approximately $42.5 million for the period. During the nine months ended September 30, 2018, the Company made approximately $58.9 million of investments and had approximately $96.3 million in repayments and sales, resulting in net repayments and sales of approximately $37.4 million for the period.</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three and nine months ended September 30, 2019, the Company funded $1.5 million and $6.4 million, respectively, of previously committed capital to existing portfolio companies. During the three and nine months ended September 30, 2019, the Company funded $12.4 million and $42.4 million, respectively, of investments in portfolio companies for which it was not previously committed to fund. During the three and nine months ended September 30, 2018, the Company funded $1.1 million and $6.3 million, respectively, of previously committed capital to existing portfolio companies. During the three and nine months ended September 30, 2018, the Company funded $18.8 million and $52.6 million, respectively, of investments in portfolio companies for which it was not previously committed to fund. During the three and nine months ended September 30, 2019 and September 30, 2018, the Company did not lead any syndicates and did not assist any portfolio companies in obtaining indirect financing.</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August 31, 2016, the Company sold a portion of 14 securities across 10 portfolio companies to CapitalSouth Partners Florida Sidecar Fund II, L.P. (“FSC II”), including granting an option to acquire a portion of the Company’s equity investment in Eastport Holdings, LLC (the “Written Call Option”), in exchange for 100% of the partnership interests in FSC II. Concurrent with the sale of these assets to FSC II, the Company received cash consideration of $47.6 million from an affiliated third-party purchaser in exchange for 100% of the partnership interests of FSC II. These assets were sold to FSC II at their June 30, 2016 fair market values, resulting in a net realized gain of $0.1 million. The Company’s Board pre-approved this transaction pursuant to Section 57(f) of the 1940 Act. On August 27, 2018, FSC II exercised its option at the agreed upon strike price of $1.5 million.</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September 30, 2019,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230,297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220,049</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17,499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16,841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45,232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52,945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77,935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Capitala Senior Loan Fund II, LLC</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13,658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359,573</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371,351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December 31, 2018,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40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Second Lien Debt</w:t>
            </w: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33,040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32,495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72,562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73,113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Equity and Warrants</w:t>
            </w: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48,594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92,054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20.5</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Capitala Senior Loan Fund II, LLC</w:t>
            </w: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13,695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419,970</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0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28</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9" w:name="page30"/>
    <w:bookmarkEnd w:id="29"/>
    <w:p>
      <w:pPr>
        <w:jc w:val="both"/>
        <w:ind w:firstLine="648"/>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has the ability to access.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measurements of investments, by major class, as of September 30, 2019 (dollars in thousands), according to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30"/>
                <w:szCs w:val="30"/>
                <w:b w:val="1"/>
                <w:bCs w:val="1"/>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220,049</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Second Lien Debt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16,841</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16,841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42,868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42,868</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Equity and Warrants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75,302</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77,935</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Company’s $13.7 million investment in CSLF II, measured at NAV.</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2018 (dollars in thousands), according to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56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30"/>
                <w:szCs w:val="30"/>
                <w:b w:val="1"/>
                <w:bCs w:val="1"/>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6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000" w:type="dxa"/>
            <w:vAlign w:val="bottom"/>
            <w:tcBorders>
              <w:top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Second Lien Debt</w:t>
            </w:r>
          </w:p>
        </w:tc>
        <w:tc>
          <w:tcPr>
            <w:tcW w:w="10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32,495</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32,495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73,113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73,113</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Equity and Warrants</w:t>
            </w:r>
          </w:p>
        </w:tc>
        <w:tc>
          <w:tcPr>
            <w:tcW w:w="100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92,054</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92,054</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40" w:right="5200" w:hanging="5632"/>
        <w:spacing w:after="0" w:line="906" w:lineRule="auto"/>
        <w:tabs>
          <w:tab w:leader="none" w:pos="369"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the Company’s $13.7 million investment in CSLF II, measured at NAV.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First Lien</w:t>
            </w:r>
          </w:p>
        </w:tc>
        <w:tc>
          <w:tcPr>
            <w:tcW w:w="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Second Lien</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Subordinated</w:t>
            </w:r>
          </w:p>
        </w:tc>
        <w:tc>
          <w:tcPr>
            <w:tcW w:w="2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w w:val="93"/>
              </w:rPr>
              <w:t xml:space="preserve">Total </w:t>
            </w:r>
            <w:r>
              <w:rPr>
                <w:rFonts w:ascii="Arial" w:cs="Arial" w:eastAsia="Arial" w:hAnsi="Arial"/>
                <w:sz w:val="30"/>
                <w:szCs w:val="30"/>
                <w:b w:val="1"/>
                <w:bCs w:val="1"/>
                <w:color w:val="auto"/>
                <w:w w:val="93"/>
                <w:vertAlign w:val="superscript"/>
              </w:rPr>
              <w:t>(1)</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Debt</w:t>
            </w:r>
          </w:p>
        </w:tc>
        <w:tc>
          <w:tcPr>
            <w:tcW w:w="24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Debt</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and Warrants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(2,773)</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(52,197)</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(27,843)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(11,280)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(91,320)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42,787</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4,511</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 accrued</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investments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(20,412)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(20,912)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4,356</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(2,915)</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(11,242)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(9,914)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Transfers out of Level 3 </w:t>
            </w:r>
            <w:r>
              <w:rPr>
                <w:rFonts w:ascii="Arial" w:cs="Arial" w:eastAsia="Arial" w:hAnsi="Arial"/>
                <w:sz w:val="30"/>
                <w:szCs w:val="30"/>
                <w:color w:val="auto"/>
                <w:vertAlign w:val="superscript"/>
              </w:rPr>
              <w:t>(2)</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(9,861)</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Balance as of September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220,049</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42,868</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75,302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the Company’s $13.7 million investment in CSLF II, measured at NAV.</w:t>
      </w:r>
    </w:p>
    <w:p>
      <w:pPr>
        <w:spacing w:after="0" w:line="225" w:lineRule="exact"/>
        <w:rPr>
          <w:rFonts w:ascii="Arial" w:cs="Arial" w:eastAsia="Arial" w:hAnsi="Arial"/>
          <w:sz w:val="18"/>
          <w:szCs w:val="18"/>
          <w:color w:val="auto"/>
        </w:rPr>
      </w:pPr>
    </w:p>
    <w:p>
      <w:pPr>
        <w:jc w:val="both"/>
        <w:ind w:left="360" w:hanging="352"/>
        <w:spacing w:after="0" w:line="279" w:lineRule="auto"/>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investment in U.S. Well Services, Inc. is traded on the NASDAQ Capital Market under the ticker “USWS”. Because the Company’s investment is now traded in an active market, the Company has reclassified its investment in U.S. Well Services, Inc. from Level 3 to Level 1 of the fair value hierarchy. Transfers between levels, if any, are recognized at the beginning of the period in which transfers occur. The unrealized depreciation on the Company’s investment in U.S. Well Services, Inc. for the nine months ended September 30, 2019 was $(7.2) million.</w:t>
      </w:r>
    </w:p>
    <w:p>
      <w:pPr>
        <w:spacing w:after="0" w:line="171" w:lineRule="exact"/>
        <w:rPr>
          <w:sz w:val="20"/>
          <w:szCs w:val="20"/>
          <w:color w:val="auto"/>
        </w:rPr>
      </w:pPr>
    </w:p>
    <w:p>
      <w:pPr>
        <w:ind w:firstLine="71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nine months ended September 30, 2018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First Lien</w:t>
            </w:r>
          </w:p>
        </w:tc>
        <w:tc>
          <w:tcPr>
            <w:tcW w:w="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Second Lien</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Subordinated</w:t>
            </w: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Debt</w:t>
            </w:r>
          </w:p>
        </w:tc>
        <w:tc>
          <w:tcPr>
            <w:tcW w:w="24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Debt</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and Warrants</w:t>
            </w: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103,385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17,494</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(20,806)</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3,312</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(79,550)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(16,478)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(96,260)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57,814</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58,907</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 accrued</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investments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(20,499)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(20,179)</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(6,433)</w:t>
            </w: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804</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17,225</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(18,744)</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(7,148)</w:t>
            </w: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2018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224,703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80,339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uses Level 3 inputs for the nine months ended September 30, 2018 (dollars in thousands):</w:t>
      </w:r>
    </w:p>
    <w:p>
      <w:pPr>
        <w:sectPr>
          <w:pgSz w:w="11900" w:h="16900" w:orient="portrait"/>
          <w:cols w:equalWidth="0" w:num="1">
            <w:col w:w="11420"/>
          </w:cols>
          <w:pgMar w:left="240" w:top="908" w:right="239" w:bottom="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Payment from Written Call Option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Net unrealized appreciation on Written Call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September 30, 2018</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Written Call Option</w:t>
      </w:r>
    </w:p>
    <w:p>
      <w:pPr>
        <w:spacing w:after="0" w:line="27" w:lineRule="exact"/>
        <w:rPr>
          <w:sz w:val="20"/>
          <w:szCs w:val="20"/>
          <w:color w:val="auto"/>
        </w:rPr>
      </w:pPr>
    </w:p>
    <w:p>
      <w:pPr>
        <w:jc w:val="both"/>
        <w:spacing w:after="0"/>
        <w:tabs>
          <w:tab w:leader="none" w:pos="1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(6,815)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15760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1576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31750</wp:posOffset>
            </wp:positionV>
            <wp:extent cx="11576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8760" w:space="720"/>
            <w:col w:w="1940"/>
          </w:cols>
          <w:pgMar w:left="240" w:top="908" w:right="239" w:bottom="0" w:gutter="0" w:footer="0" w:header="0"/>
          <w:type w:val="continuous"/>
        </w:sectPr>
      </w:pPr>
    </w:p>
    <w:p>
      <w:pPr>
        <w:spacing w:after="0" w:line="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net change in unrealized depreciation on investments held as of September 30, 2019 and September 30, 2018, was $(19.5) million and $(28.9) million, respectively, and is included in net unrealized appreciation (depreciation) on investments in the consolidated statements of operations.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investments as of September 30, 2019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1500" w:type="dxa"/>
            <w:vAlign w:val="bottom"/>
          </w:tcPr>
          <w:p>
            <w:pPr>
              <w:spacing w:after="0"/>
              <w:rPr>
                <w:sz w:val="24"/>
                <w:szCs w:val="2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b w:val="1"/>
                <w:bCs w:val="1"/>
                <w:color w:val="auto"/>
                <w:w w:val="90"/>
                <w:vertAlign w:val="superscript"/>
              </w:rPr>
              <w:t>(2)</w:t>
            </w:r>
          </w:p>
        </w:tc>
        <w:tc>
          <w:tcPr>
            <w:tcW w:w="1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18"/>
                <w:szCs w:val="18"/>
                <w:b w:val="1"/>
                <w:bCs w:val="1"/>
                <w:color w:val="auto"/>
              </w:rPr>
              <w:t>Valuation</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4"/>
        </w:trPr>
        <w:tc>
          <w:tcPr>
            <w:tcW w:w="150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(in millions)</w:t>
            </w:r>
          </w:p>
        </w:tc>
        <w:tc>
          <w:tcPr>
            <w:tcW w:w="120" w:type="dxa"/>
            <w:vAlign w:val="bottom"/>
          </w:tcPr>
          <w:p>
            <w:pPr>
              <w:spacing w:after="0"/>
              <w:rPr>
                <w:sz w:val="20"/>
                <w:szCs w:val="20"/>
                <w:color w:val="auto"/>
              </w:rPr>
            </w:pPr>
          </w:p>
        </w:tc>
        <w:tc>
          <w:tcPr>
            <w:tcW w:w="2960" w:type="dxa"/>
            <w:vAlign w:val="bottom"/>
          </w:tcPr>
          <w:p>
            <w:pPr>
              <w:ind w:left="1100"/>
              <w:spacing w:after="0"/>
              <w:rPr>
                <w:sz w:val="20"/>
                <w:szCs w:val="20"/>
                <w:color w:val="auto"/>
              </w:rPr>
            </w:pPr>
            <w:r>
              <w:rPr>
                <w:rFonts w:ascii="Arial" w:cs="Arial" w:eastAsia="Arial" w:hAnsi="Arial"/>
                <w:sz w:val="18"/>
                <w:szCs w:val="18"/>
                <w:b w:val="1"/>
                <w:bCs w:val="1"/>
                <w:color w:val="auto"/>
              </w:rPr>
              <w:t>Approach</w:t>
            </w:r>
          </w:p>
        </w:tc>
        <w:tc>
          <w:tcPr>
            <w:tcW w:w="100" w:type="dxa"/>
            <w:vAlign w:val="bottom"/>
          </w:tcPr>
          <w:p>
            <w:pPr>
              <w:spacing w:after="0"/>
              <w:rPr>
                <w:sz w:val="20"/>
                <w:szCs w:val="20"/>
                <w:color w:val="auto"/>
              </w:rPr>
            </w:pPr>
          </w:p>
        </w:tc>
        <w:tc>
          <w:tcPr>
            <w:tcW w:w="2400" w:type="dxa"/>
            <w:vAlign w:val="bottom"/>
            <w:gridSpan w:val="2"/>
          </w:tcPr>
          <w:p>
            <w:pPr>
              <w:ind w:left="380"/>
              <w:spacing w:after="0"/>
              <w:rPr>
                <w:sz w:val="20"/>
                <w:szCs w:val="20"/>
                <w:color w:val="auto"/>
              </w:rPr>
            </w:pPr>
            <w:r>
              <w:rPr>
                <w:rFonts w:ascii="Arial" w:cs="Arial" w:eastAsia="Arial" w:hAnsi="Arial"/>
                <w:sz w:val="18"/>
                <w:szCs w:val="18"/>
                <w:b w:val="1"/>
                <w:bCs w:val="1"/>
                <w:color w:val="auto"/>
              </w:rPr>
              <w:t>Unobservable Input</w:t>
            </w:r>
          </w:p>
        </w:tc>
        <w:tc>
          <w:tcPr>
            <w:tcW w:w="3180" w:type="dxa"/>
            <w:vAlign w:val="bottom"/>
          </w:tcPr>
          <w:p>
            <w:pPr>
              <w:ind w:left="560"/>
              <w:spacing w:after="0"/>
              <w:rPr>
                <w:sz w:val="20"/>
                <w:szCs w:val="20"/>
                <w:color w:val="auto"/>
              </w:rPr>
            </w:pPr>
            <w:r>
              <w:rPr>
                <w:rFonts w:ascii="Arial" w:cs="Arial" w:eastAsia="Arial" w:hAnsi="Arial"/>
                <w:sz w:val="18"/>
                <w:szCs w:val="18"/>
                <w:b w:val="1"/>
                <w:bCs w:val="1"/>
                <w:color w:val="auto"/>
              </w:rPr>
              <w:t>Range (Weighted Average)</w:t>
            </w:r>
          </w:p>
        </w:tc>
      </w:tr>
      <w:tr>
        <w:trPr>
          <w:trHeight w:val="195"/>
        </w:trPr>
        <w:tc>
          <w:tcPr>
            <w:tcW w:w="15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360" w:type="dxa"/>
            <w:vAlign w:val="bottom"/>
            <w:tcBorders>
              <w:top w:val="single" w:sz="8" w:color="auto"/>
            </w:tcBorders>
            <w:shd w:val="clear" w:color="auto" w:fill="CCEEFF"/>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206.9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9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1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12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8.7% – 18.7% (13.1%)</w:t>
            </w:r>
          </w:p>
        </w:tc>
      </w:tr>
      <w:tr>
        <w:trPr>
          <w:trHeight w:val="216"/>
        </w:trPr>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Leverage Ratio</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1.6x – 5.1x (3.6x)</w:t>
            </w:r>
          </w:p>
        </w:tc>
      </w:tr>
      <w:tr>
        <w:trPr>
          <w:trHeight w:val="216"/>
        </w:trPr>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$0.1 million – $147.9 million ($16.2</w:t>
            </w:r>
          </w:p>
        </w:tc>
      </w:tr>
      <w:tr>
        <w:trPr>
          <w:trHeight w:val="230"/>
        </w:trPr>
        <w:tc>
          <w:tcPr>
            <w:tcW w:w="1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r>
      <w:tr>
        <w:trPr>
          <w:trHeight w:val="202"/>
        </w:trPr>
        <w:tc>
          <w:tcPr>
            <w:tcW w:w="1500" w:type="dxa"/>
            <w:vAlign w:val="bottom"/>
          </w:tcPr>
          <w:p>
            <w:pPr>
              <w:spacing w:after="0" w:line="201" w:lineRule="exact"/>
              <w:rPr>
                <w:sz w:val="20"/>
                <w:szCs w:val="20"/>
                <w:color w:val="auto"/>
              </w:rPr>
            </w:pPr>
            <w:r>
              <w:rPr>
                <w:rFonts w:ascii="Arial" w:cs="Arial" w:eastAsia="Arial" w:hAnsi="Arial"/>
                <w:sz w:val="18"/>
                <w:szCs w:val="18"/>
                <w:color w:val="auto"/>
              </w:rPr>
              <w:t>First lien debt</w:t>
            </w:r>
          </w:p>
        </w:tc>
        <w:tc>
          <w:tcPr>
            <w:tcW w:w="36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13.1</w:t>
            </w:r>
          </w:p>
        </w:tc>
        <w:tc>
          <w:tcPr>
            <w:tcW w:w="30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Enterprise Value Waterfall</w:t>
            </w:r>
          </w:p>
        </w:tc>
        <w:tc>
          <w:tcPr>
            <w:tcW w:w="250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EBITDA Multiple</w:t>
            </w: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2.3x – 2.3x (2.3x)</w:t>
            </w:r>
          </w:p>
        </w:tc>
      </w:tr>
      <w:tr>
        <w:trPr>
          <w:trHeight w:val="216"/>
        </w:trPr>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rPr>
              <w:t>Adjusted EBITDA</w:t>
            </w:r>
          </w:p>
        </w:tc>
        <w:tc>
          <w:tcPr>
            <w:tcW w:w="3180" w:type="dxa"/>
            <w:vAlign w:val="bottom"/>
          </w:tcPr>
          <w:p>
            <w:pPr>
              <w:spacing w:after="0"/>
              <w:rPr>
                <w:sz w:val="20"/>
                <w:szCs w:val="20"/>
                <w:color w:val="auto"/>
              </w:rPr>
            </w:pPr>
            <w:r>
              <w:rPr>
                <w:rFonts w:ascii="Arial" w:cs="Arial" w:eastAsia="Arial" w:hAnsi="Arial"/>
                <w:sz w:val="18"/>
                <w:szCs w:val="18"/>
                <w:color w:val="auto"/>
              </w:rPr>
              <w:t>$2.0 million – $2.0 million ($2.0 million)</w:t>
            </w:r>
          </w:p>
        </w:tc>
      </w:tr>
      <w:tr>
        <w:trPr>
          <w:trHeight w:val="216"/>
        </w:trPr>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rPr>
              <w:t>Revenue Multiple</w:t>
            </w:r>
          </w:p>
        </w:tc>
        <w:tc>
          <w:tcPr>
            <w:tcW w:w="3180" w:type="dxa"/>
            <w:vAlign w:val="bottom"/>
          </w:tcPr>
          <w:p>
            <w:pPr>
              <w:ind w:left="40"/>
              <w:spacing w:after="0"/>
              <w:rPr>
                <w:sz w:val="20"/>
                <w:szCs w:val="20"/>
                <w:color w:val="auto"/>
              </w:rPr>
            </w:pPr>
            <w:r>
              <w:rPr>
                <w:rFonts w:ascii="Arial" w:cs="Arial" w:eastAsia="Arial" w:hAnsi="Arial"/>
                <w:sz w:val="18"/>
                <w:szCs w:val="18"/>
                <w:color w:val="auto"/>
              </w:rPr>
              <w:t>0.2x – 1.0x (0.7x)</w:t>
            </w:r>
          </w:p>
        </w:tc>
      </w:tr>
      <w:tr>
        <w:trPr>
          <w:trHeight w:val="216"/>
        </w:trPr>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rPr>
              <w:t>Revenue</w:t>
            </w:r>
          </w:p>
        </w:tc>
        <w:tc>
          <w:tcPr>
            <w:tcW w:w="3180" w:type="dxa"/>
            <w:vAlign w:val="bottom"/>
          </w:tcPr>
          <w:p>
            <w:pPr>
              <w:spacing w:after="0"/>
              <w:rPr>
                <w:sz w:val="20"/>
                <w:szCs w:val="20"/>
                <w:color w:val="auto"/>
              </w:rPr>
            </w:pPr>
            <w:r>
              <w:rPr>
                <w:rFonts w:ascii="Arial" w:cs="Arial" w:eastAsia="Arial" w:hAnsi="Arial"/>
                <w:sz w:val="18"/>
                <w:szCs w:val="18"/>
                <w:color w:val="auto"/>
              </w:rPr>
              <w:t>$13.1 million – $13.2 million</w:t>
            </w:r>
          </w:p>
        </w:tc>
      </w:tr>
      <w:tr>
        <w:trPr>
          <w:trHeight w:val="230"/>
        </w:trPr>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($13.1 million)</w:t>
            </w:r>
          </w:p>
        </w:tc>
      </w:tr>
      <w:tr>
        <w:trPr>
          <w:trHeight w:val="202"/>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36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16.8</w:t>
            </w:r>
          </w:p>
        </w:tc>
        <w:tc>
          <w:tcPr>
            <w:tcW w:w="30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Income</w:t>
            </w:r>
          </w:p>
        </w:tc>
        <w:tc>
          <w:tcPr>
            <w:tcW w:w="250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Required Rate of Return</w:t>
            </w: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14.3% – 16.5% (15.8%)</w:t>
            </w:r>
          </w:p>
        </w:tc>
      </w:tr>
      <w:tr>
        <w:trPr>
          <w:trHeight w:val="216"/>
        </w:trPr>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Leverage Ratio</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4.6x – 5.3x (4.8x)</w:t>
            </w:r>
          </w:p>
        </w:tc>
      </w:tr>
      <w:tr>
        <w:trPr>
          <w:trHeight w:val="230"/>
        </w:trPr>
        <w:tc>
          <w:tcPr>
            <w:tcW w:w="1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2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5"/>
              </w:rPr>
              <w:t>$2.5 million – $74.1 million ($68.3 million)</w:t>
            </w:r>
          </w:p>
        </w:tc>
      </w:tr>
      <w:tr>
        <w:trPr>
          <w:trHeight w:val="202"/>
        </w:trPr>
        <w:tc>
          <w:tcPr>
            <w:tcW w:w="1500" w:type="dxa"/>
            <w:vAlign w:val="bottom"/>
          </w:tcPr>
          <w:p>
            <w:pPr>
              <w:spacing w:after="0" w:line="201" w:lineRule="exact"/>
              <w:rPr>
                <w:sz w:val="20"/>
                <w:szCs w:val="20"/>
                <w:color w:val="auto"/>
              </w:rPr>
            </w:pPr>
            <w:r>
              <w:rPr>
                <w:rFonts w:ascii="Arial" w:cs="Arial" w:eastAsia="Arial" w:hAnsi="Arial"/>
                <w:sz w:val="18"/>
                <w:szCs w:val="18"/>
                <w:color w:val="auto"/>
              </w:rPr>
              <w:t>Subordinated debt</w:t>
            </w:r>
          </w:p>
        </w:tc>
        <w:tc>
          <w:tcPr>
            <w:tcW w:w="36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35.6</w:t>
            </w:r>
          </w:p>
        </w:tc>
        <w:tc>
          <w:tcPr>
            <w:tcW w:w="30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Income</w:t>
            </w:r>
          </w:p>
        </w:tc>
        <w:tc>
          <w:tcPr>
            <w:tcW w:w="250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Required Rate of Return</w:t>
            </w: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12.0% – 15.1% (13.4%)</w:t>
            </w:r>
          </w:p>
        </w:tc>
      </w:tr>
      <w:tr>
        <w:trPr>
          <w:trHeight w:val="216"/>
        </w:trPr>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rPr>
              <w:t>Leverage Ratio</w:t>
            </w:r>
          </w:p>
        </w:tc>
        <w:tc>
          <w:tcPr>
            <w:tcW w:w="3180" w:type="dxa"/>
            <w:vAlign w:val="bottom"/>
          </w:tcPr>
          <w:p>
            <w:pPr>
              <w:spacing w:after="0"/>
              <w:rPr>
                <w:sz w:val="20"/>
                <w:szCs w:val="20"/>
                <w:color w:val="auto"/>
              </w:rPr>
            </w:pPr>
            <w:r>
              <w:rPr>
                <w:rFonts w:ascii="Arial" w:cs="Arial" w:eastAsia="Arial" w:hAnsi="Arial"/>
                <w:sz w:val="18"/>
                <w:szCs w:val="18"/>
                <w:color w:val="auto"/>
              </w:rPr>
              <w:t>4.5x – 7.3x (6.0x)</w:t>
            </w:r>
          </w:p>
        </w:tc>
      </w:tr>
      <w:tr>
        <w:trPr>
          <w:trHeight w:val="230"/>
        </w:trPr>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rPr>
              <w:t>Adjusted EBITDA</w:t>
            </w:r>
          </w:p>
        </w:tc>
        <w:tc>
          <w:tcPr>
            <w:tcW w:w="3180" w:type="dxa"/>
            <w:vAlign w:val="bottom"/>
          </w:tcPr>
          <w:p>
            <w:pPr>
              <w:spacing w:after="0"/>
              <w:rPr>
                <w:sz w:val="20"/>
                <w:szCs w:val="20"/>
                <w:color w:val="auto"/>
              </w:rPr>
            </w:pPr>
            <w:r>
              <w:rPr>
                <w:rFonts w:ascii="Arial" w:cs="Arial" w:eastAsia="Arial" w:hAnsi="Arial"/>
                <w:sz w:val="18"/>
                <w:szCs w:val="18"/>
                <w:color w:val="auto"/>
                <w:w w:val="95"/>
              </w:rPr>
              <w:t>$9.0 million – $20.0 million ($14.1 million)</w:t>
            </w:r>
          </w:p>
        </w:tc>
      </w:tr>
      <w:tr>
        <w:trPr>
          <w:trHeight w:val="259"/>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2"/>
                <w:szCs w:val="22"/>
                <w:color w:val="auto"/>
              </w:rPr>
            </w:pPr>
          </w:p>
        </w:tc>
        <w:tc>
          <w:tcPr>
            <w:tcW w:w="3080" w:type="dxa"/>
            <w:vAlign w:val="bottom"/>
            <w:gridSpan w:val="2"/>
            <w:shd w:val="clear" w:color="auto" w:fill="CCEEFF"/>
          </w:tcPr>
          <w:p>
            <w:pPr>
              <w:ind w:left="120"/>
              <w:spacing w:after="0" w:line="259" w:lineRule="exact"/>
              <w:rPr>
                <w:sz w:val="20"/>
                <w:szCs w:val="20"/>
                <w:color w:val="auto"/>
              </w:rPr>
            </w:pPr>
            <w:r>
              <w:rPr>
                <w:rFonts w:ascii="Arial" w:cs="Arial" w:eastAsia="Arial" w:hAnsi="Arial"/>
                <w:sz w:val="18"/>
                <w:szCs w:val="18"/>
                <w:color w:val="auto"/>
                <w:w w:val="92"/>
              </w:rPr>
              <w:t>Enterprise Value Waterfall and Asset</w:t>
            </w:r>
            <w:r>
              <w:rPr>
                <w:rFonts w:ascii="Arial" w:cs="Arial" w:eastAsia="Arial" w:hAnsi="Arial"/>
                <w:sz w:val="30"/>
                <w:szCs w:val="30"/>
                <w:color w:val="auto"/>
                <w:w w:val="92"/>
                <w:vertAlign w:val="superscript"/>
              </w:rPr>
              <w:t>(1)</w:t>
            </w:r>
          </w:p>
        </w:tc>
        <w:tc>
          <w:tcPr>
            <w:tcW w:w="2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EBITDA Multiple</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6.0x – 6.0x (6.0x)</w:t>
            </w:r>
          </w:p>
        </w:tc>
      </w:tr>
    </w:tbl>
    <w:p>
      <w:pPr>
        <w:sectPr>
          <w:pgSz w:w="11900" w:h="16900" w:orient="portrait"/>
          <w:cols w:equalWidth="0" w:num="1">
            <w:col w:w="11420"/>
          </w:cols>
          <w:pgMar w:left="240" w:top="908" w:right="239" w:bottom="0" w:gutter="0" w:footer="0" w:header="0"/>
          <w:type w:val="continuous"/>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0" w:type="dxa"/>
            <w:vAlign w:val="bottom"/>
            <w:shd w:val="clear" w:color="auto" w:fill="CCEEFF"/>
          </w:tcPr>
          <w:p>
            <w:pPr>
              <w:ind w:left="3920"/>
              <w:spacing w:after="0"/>
              <w:rPr>
                <w:sz w:val="20"/>
                <w:szCs w:val="20"/>
                <w:color w:val="auto"/>
              </w:rPr>
            </w:pPr>
            <w:r>
              <w:rPr>
                <w:rFonts w:ascii="Arial" w:cs="Arial" w:eastAsia="Arial" w:hAnsi="Arial"/>
                <w:sz w:val="18"/>
                <w:szCs w:val="18"/>
                <w:color w:val="auto"/>
              </w:rPr>
              <w:t>Adjusted EBITDA</w:t>
            </w:r>
          </w:p>
        </w:tc>
        <w:tc>
          <w:tcPr>
            <w:tcW w:w="3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$1.8 million – $1.8 million ($1.8 million)</w:t>
            </w:r>
          </w:p>
        </w:tc>
      </w:tr>
      <w:tr>
        <w:trPr>
          <w:trHeight w:val="216"/>
        </w:trPr>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0" w:type="dxa"/>
            <w:vAlign w:val="bottom"/>
            <w:shd w:val="clear" w:color="auto" w:fill="CCEEFF"/>
          </w:tcPr>
          <w:p>
            <w:pPr>
              <w:ind w:left="3920"/>
              <w:spacing w:after="0"/>
              <w:rPr>
                <w:sz w:val="20"/>
                <w:szCs w:val="20"/>
                <w:color w:val="auto"/>
              </w:rPr>
            </w:pPr>
            <w:r>
              <w:rPr>
                <w:rFonts w:ascii="Arial" w:cs="Arial" w:eastAsia="Arial" w:hAnsi="Arial"/>
                <w:sz w:val="18"/>
                <w:szCs w:val="18"/>
                <w:color w:val="auto"/>
              </w:rPr>
              <w:t>Revenue Multiple</w:t>
            </w:r>
          </w:p>
        </w:tc>
        <w:tc>
          <w:tcPr>
            <w:tcW w:w="3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0.3x – 0.3x (0.3x)</w:t>
            </w:r>
          </w:p>
        </w:tc>
      </w:tr>
      <w:tr>
        <w:trPr>
          <w:trHeight w:val="216"/>
        </w:trPr>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0" w:type="dxa"/>
            <w:vAlign w:val="bottom"/>
            <w:shd w:val="clear" w:color="auto" w:fill="CCEEFF"/>
          </w:tcPr>
          <w:p>
            <w:pPr>
              <w:ind w:left="3920"/>
              <w:spacing w:after="0"/>
              <w:rPr>
                <w:sz w:val="20"/>
                <w:szCs w:val="20"/>
                <w:color w:val="auto"/>
              </w:rPr>
            </w:pPr>
            <w:r>
              <w:rPr>
                <w:rFonts w:ascii="Arial" w:cs="Arial" w:eastAsia="Arial" w:hAnsi="Arial"/>
                <w:sz w:val="18"/>
                <w:szCs w:val="18"/>
                <w:color w:val="auto"/>
              </w:rPr>
              <w:t>Revenue</w:t>
            </w:r>
          </w:p>
        </w:tc>
        <w:tc>
          <w:tcPr>
            <w:tcW w:w="3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$100.5 million – $100.5 million ($100.5</w:t>
            </w:r>
          </w:p>
        </w:tc>
      </w:tr>
      <w:tr>
        <w:trPr>
          <w:trHeight w:val="230"/>
        </w:trPr>
        <w:tc>
          <w:tcPr>
            <w:tcW w:w="1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0" w:type="dxa"/>
            <w:vAlign w:val="bottom"/>
            <w:shd w:val="clear" w:color="auto" w:fill="CCEEFF"/>
          </w:tcPr>
          <w:p>
            <w:pPr>
              <w:spacing w:after="0"/>
              <w:rPr>
                <w:sz w:val="20"/>
                <w:szCs w:val="20"/>
                <w:color w:val="auto"/>
              </w:rPr>
            </w:pPr>
          </w:p>
        </w:tc>
        <w:tc>
          <w:tcPr>
            <w:tcW w:w="3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million)</w:t>
            </w:r>
          </w:p>
        </w:tc>
      </w:tr>
      <w:tr>
        <w:trPr>
          <w:trHeight w:val="203"/>
        </w:trPr>
        <w:tc>
          <w:tcPr>
            <w:tcW w:w="1160" w:type="dxa"/>
            <w:vAlign w:val="bottom"/>
          </w:tcPr>
          <w:p>
            <w:pPr>
              <w:spacing w:after="0" w:line="202" w:lineRule="exact"/>
              <w:rPr>
                <w:sz w:val="20"/>
                <w:szCs w:val="20"/>
                <w:color w:val="auto"/>
              </w:rPr>
            </w:pPr>
            <w:r>
              <w:rPr>
                <w:rFonts w:ascii="Arial" w:cs="Arial" w:eastAsia="Arial" w:hAnsi="Arial"/>
                <w:sz w:val="18"/>
                <w:szCs w:val="18"/>
                <w:color w:val="auto"/>
              </w:rPr>
              <w:t>Equity and</w:t>
            </w:r>
          </w:p>
        </w:tc>
        <w:tc>
          <w:tcPr>
            <w:tcW w:w="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5800" w:type="dxa"/>
            <w:vAlign w:val="bottom"/>
          </w:tcPr>
          <w:p>
            <w:pPr>
              <w:ind w:left="320"/>
              <w:spacing w:after="0" w:line="202" w:lineRule="exact"/>
              <w:rPr>
                <w:sz w:val="20"/>
                <w:szCs w:val="20"/>
                <w:color w:val="auto"/>
              </w:rPr>
            </w:pPr>
            <w:r>
              <w:rPr>
                <w:rFonts w:ascii="Arial" w:cs="Arial" w:eastAsia="Arial" w:hAnsi="Arial"/>
                <w:sz w:val="23"/>
                <w:szCs w:val="23"/>
                <w:color w:val="auto"/>
                <w:vertAlign w:val="superscript"/>
              </w:rPr>
              <w:t>75.3</w:t>
            </w:r>
            <w:r>
              <w:rPr>
                <w:rFonts w:ascii="Arial" w:cs="Arial" w:eastAsia="Arial" w:hAnsi="Arial"/>
                <w:sz w:val="14"/>
                <w:szCs w:val="14"/>
                <w:color w:val="auto"/>
              </w:rPr>
              <w:t xml:space="preserve">   Enterprise Value Waterfall and Asset</w:t>
            </w:r>
            <w:r>
              <w:rPr>
                <w:rFonts w:ascii="Arial" w:cs="Arial" w:eastAsia="Arial" w:hAnsi="Arial"/>
                <w:sz w:val="20"/>
                <w:szCs w:val="20"/>
                <w:color w:val="auto"/>
                <w:vertAlign w:val="superscript"/>
              </w:rPr>
              <w:t>(1)</w:t>
            </w:r>
            <w:r>
              <w:rPr>
                <w:rFonts w:ascii="Arial" w:cs="Arial" w:eastAsia="Arial" w:hAnsi="Arial"/>
                <w:sz w:val="14"/>
                <w:szCs w:val="14"/>
                <w:color w:val="auto"/>
              </w:rPr>
              <w:t xml:space="preserve">   </w:t>
            </w:r>
            <w:r>
              <w:rPr>
                <w:rFonts w:ascii="Arial" w:cs="Arial" w:eastAsia="Arial" w:hAnsi="Arial"/>
                <w:sz w:val="23"/>
                <w:szCs w:val="23"/>
                <w:color w:val="auto"/>
                <w:vertAlign w:val="superscript"/>
              </w:rPr>
              <w:t>EBITDA Multiple</w:t>
            </w:r>
          </w:p>
        </w:tc>
        <w:tc>
          <w:tcPr>
            <w:tcW w:w="3700" w:type="dxa"/>
            <w:vAlign w:val="bottom"/>
          </w:tcPr>
          <w:p>
            <w:pPr>
              <w:ind w:left="520"/>
              <w:spacing w:after="0" w:line="202" w:lineRule="exact"/>
              <w:rPr>
                <w:sz w:val="20"/>
                <w:szCs w:val="20"/>
                <w:color w:val="auto"/>
              </w:rPr>
            </w:pPr>
            <w:r>
              <w:rPr>
                <w:rFonts w:ascii="Arial" w:cs="Arial" w:eastAsia="Arial" w:hAnsi="Arial"/>
                <w:sz w:val="18"/>
                <w:szCs w:val="18"/>
                <w:color w:val="auto"/>
              </w:rPr>
              <w:t>4.0x – 10.0x (7.5x)</w:t>
            </w:r>
          </w:p>
        </w:tc>
      </w:tr>
      <w:tr>
        <w:trPr>
          <w:trHeight w:val="215"/>
        </w:trPr>
        <w:tc>
          <w:tcPr>
            <w:tcW w:w="1160" w:type="dxa"/>
            <w:vAlign w:val="bottom"/>
          </w:tcPr>
          <w:p>
            <w:pPr>
              <w:spacing w:after="0"/>
              <w:rPr>
                <w:sz w:val="20"/>
                <w:szCs w:val="20"/>
                <w:color w:val="auto"/>
              </w:rPr>
            </w:pPr>
            <w:r>
              <w:rPr>
                <w:rFonts w:ascii="Arial" w:cs="Arial" w:eastAsia="Arial" w:hAnsi="Arial"/>
                <w:sz w:val="18"/>
                <w:szCs w:val="18"/>
                <w:color w:val="auto"/>
              </w:rPr>
              <w:t>warrants</w:t>
            </w:r>
          </w:p>
        </w:tc>
        <w:tc>
          <w:tcPr>
            <w:tcW w:w="760" w:type="dxa"/>
            <w:vAlign w:val="bottom"/>
          </w:tcPr>
          <w:p>
            <w:pPr>
              <w:spacing w:after="0"/>
              <w:rPr>
                <w:sz w:val="18"/>
                <w:szCs w:val="18"/>
                <w:color w:val="auto"/>
              </w:rPr>
            </w:pPr>
          </w:p>
        </w:tc>
        <w:tc>
          <w:tcPr>
            <w:tcW w:w="5800" w:type="dxa"/>
            <w:vAlign w:val="bottom"/>
          </w:tcPr>
          <w:p>
            <w:pPr>
              <w:ind w:left="3920"/>
              <w:spacing w:after="0"/>
              <w:rPr>
                <w:sz w:val="20"/>
                <w:szCs w:val="20"/>
                <w:color w:val="auto"/>
              </w:rPr>
            </w:pPr>
            <w:r>
              <w:rPr>
                <w:rFonts w:ascii="Arial" w:cs="Arial" w:eastAsia="Arial" w:hAnsi="Arial"/>
                <w:sz w:val="18"/>
                <w:szCs w:val="18"/>
                <w:color w:val="auto"/>
              </w:rPr>
              <w:t>Adjusted EBITDA</w:t>
            </w:r>
          </w:p>
        </w:tc>
        <w:tc>
          <w:tcPr>
            <w:tcW w:w="3700" w:type="dxa"/>
            <w:vAlign w:val="bottom"/>
          </w:tcPr>
          <w:p>
            <w:pPr>
              <w:ind w:left="520"/>
              <w:spacing w:after="0"/>
              <w:rPr>
                <w:sz w:val="20"/>
                <w:szCs w:val="20"/>
                <w:color w:val="auto"/>
              </w:rPr>
            </w:pPr>
            <w:r>
              <w:rPr>
                <w:rFonts w:ascii="Arial" w:cs="Arial" w:eastAsia="Arial" w:hAnsi="Arial"/>
                <w:sz w:val="18"/>
                <w:szCs w:val="18"/>
                <w:color w:val="auto"/>
                <w:w w:val="95"/>
              </w:rPr>
              <w:t>$1.8 million – $24.9 million ($18.7 million)</w:t>
            </w:r>
          </w:p>
        </w:tc>
      </w:tr>
      <w:tr>
        <w:trPr>
          <w:trHeight w:val="216"/>
        </w:trPr>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0" w:type="dxa"/>
            <w:vAlign w:val="bottom"/>
          </w:tcPr>
          <w:p>
            <w:pPr>
              <w:ind w:left="3920"/>
              <w:spacing w:after="0"/>
              <w:rPr>
                <w:sz w:val="20"/>
                <w:szCs w:val="20"/>
                <w:color w:val="auto"/>
              </w:rPr>
            </w:pPr>
            <w:r>
              <w:rPr>
                <w:rFonts w:ascii="Arial" w:cs="Arial" w:eastAsia="Arial" w:hAnsi="Arial"/>
                <w:sz w:val="18"/>
                <w:szCs w:val="18"/>
                <w:color w:val="auto"/>
              </w:rPr>
              <w:t>Revenue Multiple</w:t>
            </w:r>
          </w:p>
        </w:tc>
        <w:tc>
          <w:tcPr>
            <w:tcW w:w="3700" w:type="dxa"/>
            <w:vAlign w:val="bottom"/>
          </w:tcPr>
          <w:p>
            <w:pPr>
              <w:ind w:left="520"/>
              <w:spacing w:after="0"/>
              <w:rPr>
                <w:sz w:val="20"/>
                <w:szCs w:val="20"/>
                <w:color w:val="auto"/>
              </w:rPr>
            </w:pPr>
            <w:r>
              <w:rPr>
                <w:rFonts w:ascii="Arial" w:cs="Arial" w:eastAsia="Arial" w:hAnsi="Arial"/>
                <w:sz w:val="18"/>
                <w:szCs w:val="18"/>
                <w:color w:val="auto"/>
              </w:rPr>
              <w:t>0.4x – 4.6x (0.8x)</w:t>
            </w:r>
          </w:p>
        </w:tc>
      </w:tr>
      <w:tr>
        <w:trPr>
          <w:trHeight w:val="216"/>
        </w:trPr>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0" w:type="dxa"/>
            <w:vAlign w:val="bottom"/>
          </w:tcPr>
          <w:p>
            <w:pPr>
              <w:ind w:left="3920"/>
              <w:spacing w:after="0"/>
              <w:rPr>
                <w:sz w:val="20"/>
                <w:szCs w:val="20"/>
                <w:color w:val="auto"/>
              </w:rPr>
            </w:pPr>
            <w:r>
              <w:rPr>
                <w:rFonts w:ascii="Arial" w:cs="Arial" w:eastAsia="Arial" w:hAnsi="Arial"/>
                <w:sz w:val="18"/>
                <w:szCs w:val="18"/>
                <w:color w:val="auto"/>
              </w:rPr>
              <w:t>Revenue</w:t>
            </w:r>
          </w:p>
        </w:tc>
        <w:tc>
          <w:tcPr>
            <w:tcW w:w="3700" w:type="dxa"/>
            <w:vAlign w:val="bottom"/>
          </w:tcPr>
          <w:p>
            <w:pPr>
              <w:ind w:left="520"/>
              <w:spacing w:after="0"/>
              <w:rPr>
                <w:sz w:val="20"/>
                <w:szCs w:val="20"/>
                <w:color w:val="auto"/>
              </w:rPr>
            </w:pPr>
            <w:r>
              <w:rPr>
                <w:rFonts w:ascii="Arial" w:cs="Arial" w:eastAsia="Arial" w:hAnsi="Arial"/>
                <w:sz w:val="18"/>
                <w:szCs w:val="18"/>
                <w:color w:val="auto"/>
              </w:rPr>
              <w:t>$32.8 million – $568.6 million ($424.0</w:t>
            </w:r>
          </w:p>
        </w:tc>
      </w:tr>
      <w:tr>
        <w:trPr>
          <w:trHeight w:val="230"/>
        </w:trPr>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3700" w:type="dxa"/>
            <w:vAlign w:val="bottom"/>
          </w:tcPr>
          <w:p>
            <w:pPr>
              <w:ind w:left="520"/>
              <w:spacing w:after="0"/>
              <w:rPr>
                <w:sz w:val="20"/>
                <w:szCs w:val="20"/>
                <w:color w:val="auto"/>
              </w:rPr>
            </w:pPr>
            <w:r>
              <w:rPr>
                <w:rFonts w:ascii="Arial" w:cs="Arial" w:eastAsia="Arial" w:hAnsi="Arial"/>
                <w:sz w:val="18"/>
                <w:szCs w:val="18"/>
                <w:color w:val="auto"/>
              </w:rPr>
              <w:t>million)</w:t>
            </w:r>
          </w:p>
        </w:tc>
      </w:tr>
    </w:tbl>
    <w:p>
      <w:pPr>
        <w:spacing w:after="0" w:line="20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$0.7 million in subordinated debt and $4.8 million in equity and warrants were valued using the asset approach.</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the Company’s $13.7 million investment in CSLF II, measured at NAV.</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32" w:name="page33"/>
    <w:bookmarkEnd w:id="32"/>
    <w:p>
      <w:pPr>
        <w:ind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investments as of December 31, 2018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1500" w:type="dxa"/>
            <w:vAlign w:val="bottom"/>
          </w:tcPr>
          <w:p>
            <w:pPr>
              <w:spacing w:after="0"/>
              <w:rPr>
                <w:sz w:val="24"/>
                <w:szCs w:val="24"/>
                <w:color w:val="auto"/>
              </w:rPr>
            </w:pPr>
          </w:p>
        </w:tc>
        <w:tc>
          <w:tcPr>
            <w:tcW w:w="2160" w:type="dxa"/>
            <w:vAlign w:val="bottom"/>
            <w:gridSpan w:val="4"/>
          </w:tcPr>
          <w:p>
            <w:pPr>
              <w:jc w:val="center"/>
              <w:ind w:right="101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2300" w:type="dxa"/>
            <w:vAlign w:val="bottom"/>
          </w:tcPr>
          <w:p>
            <w:pPr>
              <w:ind w:left="340"/>
              <w:spacing w:after="0"/>
              <w:rPr>
                <w:sz w:val="20"/>
                <w:szCs w:val="20"/>
                <w:color w:val="auto"/>
              </w:rPr>
            </w:pPr>
            <w:r>
              <w:rPr>
                <w:rFonts w:ascii="Arial" w:cs="Arial" w:eastAsia="Arial" w:hAnsi="Arial"/>
                <w:sz w:val="18"/>
                <w:szCs w:val="18"/>
                <w:b w:val="1"/>
                <w:bCs w:val="1"/>
                <w:color w:val="auto"/>
              </w:rPr>
              <w:t>Valuation</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4"/>
        </w:trPr>
        <w:tc>
          <w:tcPr>
            <w:tcW w:w="1500" w:type="dxa"/>
            <w:vAlign w:val="bottom"/>
          </w:tcPr>
          <w:p>
            <w:pPr>
              <w:spacing w:after="0"/>
              <w:rPr>
                <w:sz w:val="20"/>
                <w:szCs w:val="20"/>
                <w:color w:val="auto"/>
              </w:rPr>
            </w:pPr>
          </w:p>
        </w:tc>
        <w:tc>
          <w:tcPr>
            <w:tcW w:w="2160" w:type="dxa"/>
            <w:vAlign w:val="bottom"/>
            <w:gridSpan w:val="4"/>
          </w:tcPr>
          <w:p>
            <w:pPr>
              <w:jc w:val="center"/>
              <w:ind w:right="1030"/>
              <w:spacing w:after="0"/>
              <w:rPr>
                <w:sz w:val="20"/>
                <w:szCs w:val="20"/>
                <w:color w:val="auto"/>
              </w:rPr>
            </w:pPr>
            <w:r>
              <w:rPr>
                <w:rFonts w:ascii="Arial" w:cs="Arial" w:eastAsia="Arial" w:hAnsi="Arial"/>
                <w:sz w:val="18"/>
                <w:szCs w:val="18"/>
                <w:b w:val="1"/>
                <w:bCs w:val="1"/>
                <w:color w:val="auto"/>
                <w:w w:val="91"/>
              </w:rPr>
              <w:t>(in millions)</w:t>
            </w:r>
          </w:p>
        </w:tc>
        <w:tc>
          <w:tcPr>
            <w:tcW w:w="2300" w:type="dxa"/>
            <w:vAlign w:val="bottom"/>
          </w:tcPr>
          <w:p>
            <w:pPr>
              <w:ind w:left="320"/>
              <w:spacing w:after="0"/>
              <w:rPr>
                <w:sz w:val="20"/>
                <w:szCs w:val="20"/>
                <w:color w:val="auto"/>
              </w:rPr>
            </w:pPr>
            <w:r>
              <w:rPr>
                <w:rFonts w:ascii="Arial" w:cs="Arial" w:eastAsia="Arial" w:hAnsi="Arial"/>
                <w:sz w:val="18"/>
                <w:szCs w:val="18"/>
                <w:b w:val="1"/>
                <w:bCs w:val="1"/>
                <w:color w:val="auto"/>
              </w:rPr>
              <w:t>Approach</w:t>
            </w:r>
          </w:p>
        </w:tc>
        <w:tc>
          <w:tcPr>
            <w:tcW w:w="120" w:type="dxa"/>
            <w:vAlign w:val="bottom"/>
          </w:tcPr>
          <w:p>
            <w:pPr>
              <w:spacing w:after="0"/>
              <w:rPr>
                <w:sz w:val="20"/>
                <w:szCs w:val="20"/>
                <w:color w:val="auto"/>
              </w:rPr>
            </w:pPr>
          </w:p>
        </w:tc>
        <w:tc>
          <w:tcPr>
            <w:tcW w:w="2160" w:type="dxa"/>
            <w:vAlign w:val="bottom"/>
            <w:gridSpan w:val="2"/>
          </w:tcPr>
          <w:p>
            <w:pPr>
              <w:ind w:left="260"/>
              <w:spacing w:after="0"/>
              <w:rPr>
                <w:sz w:val="20"/>
                <w:szCs w:val="20"/>
                <w:color w:val="auto"/>
              </w:rPr>
            </w:pPr>
            <w:r>
              <w:rPr>
                <w:rFonts w:ascii="Arial" w:cs="Arial" w:eastAsia="Arial" w:hAnsi="Arial"/>
                <w:sz w:val="18"/>
                <w:szCs w:val="18"/>
                <w:b w:val="1"/>
                <w:bCs w:val="1"/>
                <w:color w:val="auto"/>
              </w:rPr>
              <w:t>Unobservable Input</w:t>
            </w:r>
          </w:p>
        </w:tc>
        <w:tc>
          <w:tcPr>
            <w:tcW w:w="3180" w:type="dxa"/>
            <w:vAlign w:val="bottom"/>
          </w:tcPr>
          <w:p>
            <w:pPr>
              <w:ind w:left="560"/>
              <w:spacing w:after="0"/>
              <w:rPr>
                <w:sz w:val="20"/>
                <w:szCs w:val="20"/>
                <w:color w:val="auto"/>
              </w:rPr>
            </w:pPr>
            <w:r>
              <w:rPr>
                <w:rFonts w:ascii="Arial" w:cs="Arial" w:eastAsia="Arial" w:hAnsi="Arial"/>
                <w:sz w:val="18"/>
                <w:szCs w:val="18"/>
                <w:b w:val="1"/>
                <w:bCs w:val="1"/>
                <w:color w:val="auto"/>
              </w:rPr>
              <w:t>Range (Weighted Average)</w:t>
            </w:r>
          </w:p>
        </w:tc>
      </w:tr>
      <w:tr>
        <w:trPr>
          <w:trHeight w:val="195"/>
        </w:trPr>
        <w:tc>
          <w:tcPr>
            <w:tcW w:w="15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360" w:type="dxa"/>
            <w:vAlign w:val="bottom"/>
            <w:tcBorders>
              <w:top w:val="single" w:sz="8" w:color="auto"/>
            </w:tcBorders>
            <w:shd w:val="clear" w:color="auto" w:fill="CCEEFF"/>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195.1</w:t>
            </w: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2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12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9.2% – 16.0% (12.1%)</w:t>
            </w:r>
          </w:p>
        </w:tc>
      </w:tr>
      <w:tr>
        <w:trPr>
          <w:trHeight w:val="216"/>
        </w:trPr>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1.0x – 13.5x (4.3x)</w:t>
            </w:r>
          </w:p>
        </w:tc>
      </w:tr>
      <w:tr>
        <w:trPr>
          <w:trHeight w:val="216"/>
        </w:trPr>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$1.7 million – $118.7 million ($17.6</w:t>
            </w:r>
          </w:p>
        </w:tc>
      </w:tr>
      <w:tr>
        <w:trPr>
          <w:trHeight w:val="230"/>
        </w:trPr>
        <w:tc>
          <w:tcPr>
            <w:tcW w:w="1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r>
    </w:tbl>
    <w:p>
      <w:pPr>
        <w:spacing w:after="0" w:line="1" w:lineRule="exact"/>
        <w:rPr>
          <w:sz w:val="20"/>
          <w:szCs w:val="20"/>
          <w:color w:val="auto"/>
        </w:rPr>
      </w:pPr>
    </w:p>
    <w:p>
      <w:pPr>
        <w:sectPr>
          <w:pgSz w:w="11900" w:h="16838" w:orient="portrait"/>
          <w:cols w:equalWidth="0" w:num="1">
            <w:col w:w="11420"/>
          </w:cols>
          <w:pgMar w:left="240" w:top="1125" w:right="239" w:bottom="194" w:gutter="0" w:footer="0" w:header="0"/>
        </w:sectPr>
      </w:pPr>
    </w:p>
    <w:tbl>
      <w:tblPr>
        <w:tblLayout w:type="fixed"/>
        <w:tblInd w:w="0" w:type="dxa"/>
        <w:tblCellMar>
          <w:top w:w="0" w:type="dxa"/>
          <w:left w:w="0" w:type="dxa"/>
          <w:bottom w:w="0" w:type="dxa"/>
          <w:right w:w="0" w:type="dxa"/>
        </w:tblCellMar>
      </w:tblPr>
      <w:tr>
        <w:trPr>
          <w:trHeight w:val="390"/>
        </w:trPr>
        <w:tc>
          <w:tcPr>
            <w:tcW w:w="1420" w:type="dxa"/>
            <w:vAlign w:val="bottom"/>
          </w:tcPr>
          <w:p>
            <w:pPr>
              <w:spacing w:after="0"/>
              <w:rPr>
                <w:sz w:val="20"/>
                <w:szCs w:val="20"/>
                <w:color w:val="auto"/>
              </w:rPr>
            </w:pPr>
            <w:r>
              <w:rPr>
                <w:rFonts w:ascii="Arial" w:cs="Arial" w:eastAsia="Arial" w:hAnsi="Arial"/>
                <w:sz w:val="18"/>
                <w:szCs w:val="18"/>
                <w:color w:val="auto"/>
              </w:rPr>
              <w:t>First lien debt</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3000" w:type="dxa"/>
            <w:vAlign w:val="bottom"/>
          </w:tcPr>
          <w:p>
            <w:pPr>
              <w:ind w:left="120"/>
              <w:spacing w:after="0"/>
              <w:rPr>
                <w:sz w:val="20"/>
                <w:szCs w:val="20"/>
                <w:color w:val="auto"/>
              </w:rPr>
            </w:pPr>
            <w:r>
              <w:rPr>
                <w:rFonts w:ascii="Arial" w:cs="Arial" w:eastAsia="Arial" w:hAnsi="Arial"/>
                <w:sz w:val="18"/>
                <w:szCs w:val="18"/>
                <w:color w:val="auto"/>
                <w:w w:val="88"/>
              </w:rPr>
              <w:t xml:space="preserve">Enterprise Value Waterfall and Asset </w:t>
            </w:r>
            <w:r>
              <w:rPr>
                <w:rFonts w:ascii="Arial" w:cs="Arial" w:eastAsia="Arial" w:hAnsi="Arial"/>
                <w:sz w:val="30"/>
                <w:szCs w:val="30"/>
                <w:color w:val="auto"/>
                <w:w w:val="88"/>
                <w:vertAlign w:val="superscript"/>
              </w:rPr>
              <w:t>(1)</w:t>
            </w:r>
          </w:p>
        </w:tc>
      </w:tr>
      <w:tr>
        <w:trPr>
          <w:trHeight w:val="906"/>
        </w:trPr>
        <w:tc>
          <w:tcPr>
            <w:tcW w:w="1420" w:type="dxa"/>
            <w:vAlign w:val="bottom"/>
          </w:tcPr>
          <w:p>
            <w:pPr>
              <w:spacing w:after="0"/>
              <w:rPr>
                <w:sz w:val="20"/>
                <w:szCs w:val="20"/>
                <w:color w:val="auto"/>
              </w:rPr>
            </w:pPr>
            <w:r>
              <w:rPr>
                <w:rFonts w:ascii="Arial" w:cs="Arial" w:eastAsia="Arial" w:hAnsi="Arial"/>
                <w:sz w:val="18"/>
                <w:szCs w:val="18"/>
                <w:color w:val="auto"/>
              </w:rPr>
              <w:t>Second lien debt</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3000" w:type="dxa"/>
            <w:vAlign w:val="bottom"/>
          </w:tcPr>
          <w:p>
            <w:pPr>
              <w:ind w:left="120"/>
              <w:spacing w:after="0"/>
              <w:rPr>
                <w:sz w:val="20"/>
                <w:szCs w:val="20"/>
                <w:color w:val="auto"/>
              </w:rPr>
            </w:pPr>
            <w:r>
              <w:rPr>
                <w:rFonts w:ascii="Arial" w:cs="Arial" w:eastAsia="Arial" w:hAnsi="Arial"/>
                <w:sz w:val="18"/>
                <w:szCs w:val="18"/>
                <w:color w:val="auto"/>
              </w:rPr>
              <w:t>Income</w:t>
            </w:r>
          </w:p>
        </w:tc>
      </w:tr>
      <w:tr>
        <w:trPr>
          <w:trHeight w:val="864"/>
        </w:trPr>
        <w:tc>
          <w:tcPr>
            <w:tcW w:w="1420" w:type="dxa"/>
            <w:vAlign w:val="bottom"/>
          </w:tcPr>
          <w:p>
            <w:pPr>
              <w:spacing w:after="0"/>
              <w:rPr>
                <w:sz w:val="20"/>
                <w:szCs w:val="20"/>
                <w:color w:val="auto"/>
              </w:rPr>
            </w:pPr>
            <w:r>
              <w:rPr>
                <w:rFonts w:ascii="Arial" w:cs="Arial" w:eastAsia="Arial" w:hAnsi="Arial"/>
                <w:sz w:val="18"/>
                <w:szCs w:val="18"/>
                <w:color w:val="auto"/>
              </w:rPr>
              <w:t>Second lien debt</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3000" w:type="dxa"/>
            <w:vAlign w:val="bottom"/>
          </w:tcPr>
          <w:p>
            <w:pPr>
              <w:ind w:left="120"/>
              <w:spacing w:after="0"/>
              <w:rPr>
                <w:sz w:val="20"/>
                <w:szCs w:val="20"/>
                <w:color w:val="auto"/>
              </w:rPr>
            </w:pPr>
            <w:r>
              <w:rPr>
                <w:rFonts w:ascii="Arial" w:cs="Arial" w:eastAsia="Arial" w:hAnsi="Arial"/>
                <w:sz w:val="18"/>
                <w:szCs w:val="18"/>
                <w:color w:val="auto"/>
              </w:rPr>
              <w:t>Enterprise Value Waterfall</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w w:val="95"/>
              </w:rPr>
              <w:t>Subordinated debt</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3000" w:type="dxa"/>
            <w:vAlign w:val="bottom"/>
          </w:tcPr>
          <w:p>
            <w:pPr>
              <w:ind w:left="120"/>
              <w:spacing w:after="0"/>
              <w:rPr>
                <w:sz w:val="20"/>
                <w:szCs w:val="20"/>
                <w:color w:val="auto"/>
              </w:rPr>
            </w:pPr>
            <w:r>
              <w:rPr>
                <w:rFonts w:ascii="Arial" w:cs="Arial" w:eastAsia="Arial" w:hAnsi="Arial"/>
                <w:sz w:val="18"/>
                <w:szCs w:val="18"/>
                <w:color w:val="auto"/>
              </w:rPr>
              <w:t>Income</w:t>
            </w:r>
          </w:p>
        </w:tc>
      </w:tr>
      <w:tr>
        <w:trPr>
          <w:trHeight w:val="812"/>
        </w:trPr>
        <w:tc>
          <w:tcPr>
            <w:tcW w:w="1420" w:type="dxa"/>
            <w:vAlign w:val="bottom"/>
          </w:tcPr>
          <w:p>
            <w:pPr>
              <w:spacing w:after="0"/>
              <w:rPr>
                <w:sz w:val="20"/>
                <w:szCs w:val="20"/>
                <w:color w:val="auto"/>
              </w:rPr>
            </w:pPr>
            <w:r>
              <w:rPr>
                <w:rFonts w:ascii="Arial" w:cs="Arial" w:eastAsia="Arial" w:hAnsi="Arial"/>
                <w:sz w:val="18"/>
                <w:szCs w:val="18"/>
                <w:color w:val="auto"/>
                <w:w w:val="95"/>
              </w:rPr>
              <w:t>Subordinated debt</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3000" w:type="dxa"/>
            <w:vAlign w:val="bottom"/>
          </w:tcPr>
          <w:p>
            <w:pPr>
              <w:ind w:left="120"/>
              <w:spacing w:after="0"/>
              <w:rPr>
                <w:sz w:val="20"/>
                <w:szCs w:val="20"/>
                <w:color w:val="auto"/>
              </w:rPr>
            </w:pPr>
            <w:r>
              <w:rPr>
                <w:rFonts w:ascii="Arial" w:cs="Arial" w:eastAsia="Arial" w:hAnsi="Arial"/>
                <w:sz w:val="18"/>
                <w:szCs w:val="18"/>
                <w:color w:val="auto"/>
                <w:w w:val="88"/>
              </w:rPr>
              <w:t xml:space="preserve">Enterprise Value Waterfall and Asset </w:t>
            </w:r>
            <w:r>
              <w:rPr>
                <w:rFonts w:ascii="Arial" w:cs="Arial" w:eastAsia="Arial" w:hAnsi="Arial"/>
                <w:sz w:val="30"/>
                <w:szCs w:val="30"/>
                <w:color w:val="auto"/>
                <w:w w:val="88"/>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-1475105</wp:posOffset>
            </wp:positionV>
            <wp:extent cx="7246620" cy="548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246620" cy="411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140" w:val="left"/>
        </w:tabs>
        <w:rPr>
          <w:sz w:val="20"/>
          <w:szCs w:val="20"/>
          <w:color w:val="auto"/>
        </w:rPr>
      </w:pPr>
      <w:r>
        <w:rPr>
          <w:rFonts w:ascii="Arial" w:cs="Arial" w:eastAsia="Arial" w:hAnsi="Arial"/>
          <w:sz w:val="18"/>
          <w:szCs w:val="18"/>
          <w:color w:val="auto"/>
        </w:rPr>
        <w:t>EBITDA Multiple</w:t>
      </w:r>
      <w:r>
        <w:rPr>
          <w:sz w:val="20"/>
          <w:szCs w:val="20"/>
          <w:color w:val="auto"/>
        </w:rPr>
        <w:tab/>
      </w:r>
      <w:r>
        <w:rPr>
          <w:rFonts w:ascii="Arial" w:cs="Arial" w:eastAsia="Arial" w:hAnsi="Arial"/>
          <w:sz w:val="16"/>
          <w:szCs w:val="16"/>
          <w:color w:val="auto"/>
        </w:rPr>
        <w:t>4.0x – 6.0x (5.3x)</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$0.6 million – $3.7 million ($2.3 million)</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Revenue Multiple</w:t>
      </w:r>
      <w:r>
        <w:rPr>
          <w:sz w:val="20"/>
          <w:szCs w:val="20"/>
          <w:color w:val="auto"/>
        </w:rPr>
        <w:tab/>
      </w:r>
      <w:r>
        <w:rPr>
          <w:rFonts w:ascii="Arial" w:cs="Arial" w:eastAsia="Arial" w:hAnsi="Arial"/>
          <w:sz w:val="16"/>
          <w:szCs w:val="16"/>
          <w:color w:val="auto"/>
        </w:rPr>
        <w:t>0.9x – 0.9x (0.9x)</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$13.0 million – $13.0 million</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($13.0 million)</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Required Rate of Return</w:t>
      </w:r>
      <w:r>
        <w:rPr>
          <w:sz w:val="20"/>
          <w:szCs w:val="20"/>
          <w:color w:val="auto"/>
        </w:rPr>
        <w:tab/>
      </w:r>
      <w:r>
        <w:rPr>
          <w:rFonts w:ascii="Arial" w:cs="Arial" w:eastAsia="Arial" w:hAnsi="Arial"/>
          <w:sz w:val="16"/>
          <w:szCs w:val="16"/>
          <w:color w:val="auto"/>
        </w:rPr>
        <w:t>12.5% – 15.5% (14.6%)</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Leverage Ratio</w:t>
      </w:r>
      <w:r>
        <w:rPr>
          <w:sz w:val="20"/>
          <w:szCs w:val="20"/>
          <w:color w:val="auto"/>
        </w:rPr>
        <w:tab/>
      </w:r>
      <w:r>
        <w:rPr>
          <w:rFonts w:ascii="Arial" w:cs="Arial" w:eastAsia="Arial" w:hAnsi="Arial"/>
          <w:sz w:val="16"/>
          <w:szCs w:val="16"/>
          <w:color w:val="auto"/>
        </w:rPr>
        <w:t>4.6x – 5.0x (4.8x)</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6"/>
          <w:szCs w:val="16"/>
          <w:color w:val="auto"/>
        </w:rPr>
        <w:t>$67.0 million – $79.2 million ($75.5</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million)</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EBITDA Multiple</w:t>
      </w:r>
      <w:r>
        <w:rPr>
          <w:sz w:val="20"/>
          <w:szCs w:val="20"/>
          <w:color w:val="auto"/>
        </w:rPr>
        <w:tab/>
      </w:r>
      <w:r>
        <w:rPr>
          <w:rFonts w:ascii="Arial" w:cs="Arial" w:eastAsia="Arial" w:hAnsi="Arial"/>
          <w:sz w:val="16"/>
          <w:szCs w:val="16"/>
          <w:color w:val="auto"/>
        </w:rPr>
        <w:t>5.6x – 5.6x (5.6x)</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$9.2 million – $9.2 million ($9.2 million)</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Required Rate of Return</w:t>
      </w:r>
      <w:r>
        <w:rPr>
          <w:sz w:val="20"/>
          <w:szCs w:val="20"/>
          <w:color w:val="auto"/>
        </w:rPr>
        <w:tab/>
      </w:r>
      <w:r>
        <w:rPr>
          <w:rFonts w:ascii="Arial" w:cs="Arial" w:eastAsia="Arial" w:hAnsi="Arial"/>
          <w:sz w:val="16"/>
          <w:szCs w:val="16"/>
          <w:color w:val="auto"/>
        </w:rPr>
        <w:t>11.5% – 20.0% (14.1%)</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Leverage Ratio</w:t>
      </w:r>
      <w:r>
        <w:rPr>
          <w:sz w:val="20"/>
          <w:szCs w:val="20"/>
          <w:color w:val="auto"/>
        </w:rPr>
        <w:tab/>
      </w:r>
      <w:r>
        <w:rPr>
          <w:rFonts w:ascii="Arial" w:cs="Arial" w:eastAsia="Arial" w:hAnsi="Arial"/>
          <w:sz w:val="16"/>
          <w:szCs w:val="16"/>
          <w:color w:val="auto"/>
        </w:rPr>
        <w:t>3.1x – 9.1x (5.7x)</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$1.7 million – $15.8 million ($10.5 million)</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EBITDA Multiple</w:t>
      </w:r>
      <w:r>
        <w:rPr>
          <w:sz w:val="20"/>
          <w:szCs w:val="20"/>
          <w:color w:val="auto"/>
        </w:rPr>
        <w:tab/>
      </w:r>
      <w:r>
        <w:rPr>
          <w:rFonts w:ascii="Arial" w:cs="Arial" w:eastAsia="Arial" w:hAnsi="Arial"/>
          <w:sz w:val="16"/>
          <w:szCs w:val="16"/>
          <w:color w:val="auto"/>
        </w:rPr>
        <w:t>6.0x – 8.0x (7.9x)</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$1.7 million – $3.1 million ($3.0 million)</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Revenue Multiple</w:t>
      </w:r>
      <w:r>
        <w:rPr>
          <w:sz w:val="20"/>
          <w:szCs w:val="20"/>
          <w:color w:val="auto"/>
        </w:rPr>
        <w:tab/>
      </w:r>
      <w:r>
        <w:rPr>
          <w:rFonts w:ascii="Arial" w:cs="Arial" w:eastAsia="Arial" w:hAnsi="Arial"/>
          <w:sz w:val="16"/>
          <w:szCs w:val="16"/>
          <w:color w:val="auto"/>
        </w:rPr>
        <w:t>0.4x – 0.4x (0.4x)</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$568.2 million – $568.2 million ($568.2</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million)</w:t>
      </w:r>
    </w:p>
    <w:p>
      <w:pPr>
        <w:spacing w:after="0" w:line="4" w:lineRule="exact"/>
        <w:rPr>
          <w:sz w:val="20"/>
          <w:szCs w:val="20"/>
          <w:color w:val="auto"/>
        </w:rPr>
      </w:pPr>
    </w:p>
    <w:p>
      <w:pPr>
        <w:sectPr>
          <w:pgSz w:w="11900" w:h="16838" w:orient="portrait"/>
          <w:cols w:equalWidth="0" w:num="2">
            <w:col w:w="5660" w:space="420"/>
            <w:col w:w="5340"/>
          </w:cols>
          <w:pgMar w:left="240" w:top="1125" w:right="239" w:bottom="194"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Equity and</w:t>
            </w:r>
          </w:p>
        </w:tc>
        <w:tc>
          <w:tcPr>
            <w:tcW w:w="7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3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92.1   Enterprise Value Waterfall</w:t>
            </w:r>
          </w:p>
        </w:tc>
        <w:tc>
          <w:tcPr>
            <w:tcW w:w="2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EBITDA Multiple</w:t>
            </w: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3.3x – 14.0x (6.5x)</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7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Adjusted EBITDA</w:t>
            </w: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$1.7 million – $112.3 million ($27.8</w:t>
            </w:r>
          </w:p>
        </w:tc>
      </w:tr>
      <w:tr>
        <w:trPr>
          <w:trHeight w:val="216"/>
        </w:trPr>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Revenue Multiple</w:t>
            </w: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million)</w:t>
            </w:r>
          </w:p>
        </w:tc>
      </w:tr>
      <w:tr>
        <w:trPr>
          <w:trHeight w:val="216"/>
        </w:trPr>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Revenue</w:t>
            </w: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0.4x – 0.4x (0.4x)</w:t>
            </w:r>
          </w:p>
        </w:tc>
      </w:tr>
      <w:tr>
        <w:trPr>
          <w:trHeight w:val="216"/>
        </w:trPr>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$164.6 million – $568.2 million ($455.1</w:t>
            </w:r>
          </w:p>
        </w:tc>
      </w:tr>
      <w:tr>
        <w:trPr>
          <w:trHeight w:val="230"/>
        </w:trPr>
        <w:tc>
          <w:tcPr>
            <w:tcW w:w="1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million)</w:t>
            </w:r>
          </w:p>
        </w:tc>
      </w:tr>
    </w:tbl>
    <w:p>
      <w:pPr>
        <w:spacing w:after="0" w:line="20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$0.7 million in subordinated debt and $2.9 million in first lien debt were valued using the asset approach.</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the Company’s $13.7 million investment in CSLF II, measured at NAV.</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2018, Capitala and Trinity Universal Insurance Company (“Trinity”), a subsidiary of Kemper Corporation, entered into a limited liability company agreement (the “LLC Agreement”) to co-manage CSLF II. The purpose and design of the joint venture is to invest primarily in senior secured first-out loans. Capitala and Trinity have committed to provide $25.0 million of equity to CSLF II, with Capitala providing $20.0 million and Trinity providing $5.0 million. Capitala and Trinity each appointed two members to CSLF II’s four-person board of directors and investment committee. All material decisions with respect to CSLF II, including those involving its investment portfolio, require approval of a member on the board of directors and investment committee of at least one member representing Capitala and Trinity, respectively.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2019 and December 31, 2018, $13.6 million and $3.4 million in equity capital had been contributed by Capitala and Trinity, respectively. As of September 30, 2019, and December 31, 2018, the Company and Trinity had $6.4 million and $1.6 million of unfunded equity capital commitments outstanding, respectively. The Company’s equity investment in CSLF II is not redeemable.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September 30, 2019 and 2018, the Company received $0.3 million and $0.0 million, respectively, in dividend income from its equity interest in CSLF II. For the nine months ended September 30, 2019 and 2018, the Company received $0.7 million and $0.0 million, respectively, in dividend income from its equity interest in CSLF II.</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3, 2019, CSLF II entered into a senior secured revolving credit facility (the “CSLF II Credit Facility”) with KeyBank Specialty Finance Lending, an affiliate of KeyCorp. The CSLF II Credit Facility currently provides for borrowings up to $45.0 million, subject to certain borrowing base restrictions. Borrowings under the CSLF II Credit Facility bear interest at a rate of 1-month LIBOR + 2.25%. Beginning the quarter ended March 31, 2020, CSLF II will incur unused fees of .35% when utilization of the CSLF II Credit Facility exceeds 50% and .65% when utilization of the CSLF II Credit Facility is less than 50%. The CSLF II Credit Facility matures on September 2, 2024.</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94" w:gutter="0" w:footer="0" w:header="0"/>
          <w:type w:val="continuous"/>
        </w:sectPr>
      </w:pPr>
    </w:p>
    <w:bookmarkStart w:id="33" w:name="page34"/>
    <w:bookmarkEnd w:id="33"/>
    <w:p>
      <w:pPr>
        <w:jc w:val="both"/>
        <w:ind w:firstLine="648"/>
        <w:spacing w:after="0" w:line="264" w:lineRule="auto"/>
        <w:rPr>
          <w:sz w:val="20"/>
          <w:szCs w:val="20"/>
          <w:color w:val="auto"/>
        </w:rPr>
      </w:pPr>
      <w:r>
        <w:rPr>
          <w:rFonts w:ascii="Arial" w:cs="Arial" w:eastAsia="Arial" w:hAnsi="Arial"/>
          <w:sz w:val="18"/>
          <w:szCs w:val="18"/>
          <w:color w:val="auto"/>
        </w:rPr>
        <w:t>As of September 30, 2019 and December 31, 2018, $0.5 million and $0.0 million was outstanding under the CSLF II Credit Facility, respectively. For the three and nine months ended September 30, 2019, CSLF II incurred interest and financing expenses of $9.0 thousand. For the three and nine months ended September 30, 2018, CSLF II did not incur interest and financing expenses.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3, 2019, Capitala and Trinity committed to provide $25.0 million of subordinated debt (the “Subordinated Notes”) to CSLF II, with Capitala providing $5.0 million and Trinity providing $20.0 million. The Subordinated Notes currently bear interest at a rate of 1-month LIBOR + 5.00%. Beginning the quarter ended June 30, 2020, the Subordinated Notes will bear interest at a rate of 1-month LIBOR + 6.00%. The Subordinated Notes mature on September 3, 2024.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2019, and December 31, 2018, $0.0 million was outstanding on the Subordinated Notes. As of September 30, 2019, and December 31, 2018, the Company and Trinity had $5.0 million and $20.0 million of unfunded commitments related to the Subordinated Notes, respectively. For the three and nine months ended September 30, 2019 and 2018, the Company did not incur any interest and financing expenses related to the Subordinated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CSLF II’s portfolio as of September 30, 2019 and December 31, 2018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720" w:type="dxa"/>
            <w:vAlign w:val="bottom"/>
            <w:gridSpan w:val="4"/>
          </w:tcPr>
          <w:p>
            <w:pPr>
              <w:ind w:left="1960"/>
              <w:spacing w:after="0"/>
              <w:rPr>
                <w:sz w:val="20"/>
                <w:szCs w:val="20"/>
                <w:color w:val="auto"/>
              </w:rPr>
            </w:pPr>
            <w:r>
              <w:rPr>
                <w:rFonts w:ascii="Arial" w:cs="Arial" w:eastAsia="Arial" w:hAnsi="Arial"/>
                <w:sz w:val="18"/>
                <w:szCs w:val="18"/>
                <w:b w:val="1"/>
                <w:bCs w:val="1"/>
                <w:color w:val="auto"/>
              </w:rPr>
              <w:t>September 30, 2019</w:t>
            </w: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December 31, 2018</w:t>
            </w:r>
          </w:p>
        </w:tc>
        <w:tc>
          <w:tcPr>
            <w:tcW w:w="0" w:type="dxa"/>
            <w:vAlign w:val="bottom"/>
          </w:tcPr>
          <w:p>
            <w:pPr>
              <w:spacing w:after="0"/>
              <w:rPr>
                <w:sz w:val="1"/>
                <w:szCs w:val="1"/>
                <w:color w:val="auto"/>
              </w:rPr>
            </w:pPr>
          </w:p>
        </w:tc>
      </w:tr>
      <w:tr>
        <w:trPr>
          <w:trHeight w:val="20"/>
        </w:trPr>
        <w:tc>
          <w:tcPr>
            <w:tcW w:w="6060" w:type="dxa"/>
            <w:vAlign w:val="bottom"/>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 xml:space="preserve">First lien loans </w:t>
            </w:r>
            <w:r>
              <w:rPr>
                <w:rFonts w:ascii="Arial" w:cs="Arial" w:eastAsia="Arial" w:hAnsi="Arial"/>
                <w:sz w:val="29"/>
                <w:szCs w:val="29"/>
                <w:color w:val="auto"/>
                <w:vertAlign w:val="superscript"/>
              </w:rPr>
              <w:t>(1)</w:t>
            </w:r>
          </w:p>
        </w:tc>
        <w:tc>
          <w:tcPr>
            <w:tcW w:w="19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vMerge w:val="continue"/>
            <w:shd w:val="clear" w:color="auto" w:fill="CCEEFF"/>
          </w:tcPr>
          <w:p>
            <w:pPr>
              <w:spacing w:after="0"/>
              <w:rPr>
                <w:sz w:val="20"/>
                <w:szCs w:val="20"/>
                <w:color w:val="auto"/>
              </w:rPr>
            </w:pPr>
          </w:p>
        </w:tc>
        <w:tc>
          <w:tcPr>
            <w:tcW w:w="25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16,666</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Weighted average current interest rate on first lien loans</w:t>
            </w: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CSLF II</w:t>
            </w: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060" w:type="dxa"/>
            <w:vAlign w:val="bottom"/>
          </w:tcPr>
          <w:p>
            <w:pPr>
              <w:spacing w:after="0" w:line="256" w:lineRule="exact"/>
              <w:rPr>
                <w:sz w:val="20"/>
                <w:szCs w:val="20"/>
                <w:color w:val="auto"/>
              </w:rPr>
            </w:pPr>
            <w:r>
              <w:rPr>
                <w:rFonts w:ascii="Arial" w:cs="Arial" w:eastAsia="Arial" w:hAnsi="Arial"/>
                <w:sz w:val="18"/>
                <w:szCs w:val="18"/>
                <w:color w:val="auto"/>
              </w:rPr>
              <w:t xml:space="preserve">Largest portfolio company investment </w:t>
            </w:r>
            <w:r>
              <w:rPr>
                <w:rFonts w:ascii="Arial" w:cs="Arial" w:eastAsia="Arial" w:hAnsi="Arial"/>
                <w:sz w:val="29"/>
                <w:szCs w:val="29"/>
                <w:color w:val="auto"/>
                <w:vertAlign w:val="superscript"/>
              </w:rPr>
              <w:t>(1)</w:t>
            </w:r>
          </w:p>
        </w:tc>
        <w:tc>
          <w:tcPr>
            <w:tcW w:w="25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6,741</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of five largest portfolio company investments </w:t>
            </w:r>
            <w:r>
              <w:rPr>
                <w:rFonts w:ascii="Arial" w:cs="Arial" w:eastAsia="Arial" w:hAnsi="Arial"/>
                <w:sz w:val="29"/>
                <w:szCs w:val="29"/>
                <w:color w:val="auto"/>
                <w:vertAlign w:val="superscript"/>
              </w:rPr>
              <w:t>(1)(2)</w:t>
            </w:r>
          </w:p>
        </w:tc>
        <w:tc>
          <w:tcPr>
            <w:tcW w:w="25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16,666</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principal amount outstanding at period end.</w:t>
      </w:r>
    </w:p>
    <w:p>
      <w:pPr>
        <w:spacing w:after="0" w:line="225" w:lineRule="exact"/>
        <w:rPr>
          <w:rFonts w:ascii="Arial" w:cs="Arial" w:eastAsia="Arial" w:hAnsi="Arial"/>
          <w:sz w:val="18"/>
          <w:szCs w:val="18"/>
          <w:color w:val="auto"/>
        </w:rPr>
      </w:pPr>
    </w:p>
    <w:p>
      <w:pPr>
        <w:ind w:left="660" w:right="2880" w:hanging="652"/>
        <w:spacing w:after="0" w:line="558" w:lineRule="auto"/>
        <w:tabs>
          <w:tab w:leader="none" w:pos="363"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Only three investments and two investments held as of September 30, 2019 and December 31, 2018, respectively. Below is CSLF II’s unaudited schedule of investments as of September 30, 2019 (dollars in thousands):</w:t>
      </w:r>
    </w:p>
    <w:tbl>
      <w:tblPr>
        <w:tblLayout w:type="fixed"/>
        <w:tblInd w:w="0" w:type="dxa"/>
        <w:tblCellMar>
          <w:top w:w="0" w:type="dxa"/>
          <w:left w:w="0" w:type="dxa"/>
          <w:bottom w:w="0" w:type="dxa"/>
          <w:right w:w="0" w:type="dxa"/>
        </w:tblCellMar>
      </w:tblPr>
      <w:tr>
        <w:trPr>
          <w:trHeight w:val="149"/>
        </w:trPr>
        <w:tc>
          <w:tcPr>
            <w:tcW w:w="24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Portfolio Company</w:t>
            </w:r>
          </w:p>
        </w:tc>
        <w:tc>
          <w:tcPr>
            <w:tcW w:w="19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680" w:type="dxa"/>
            <w:vAlign w:val="bottom"/>
          </w:tcPr>
          <w:p>
            <w:pPr>
              <w:spacing w:after="0"/>
              <w:rPr>
                <w:sz w:val="12"/>
                <w:szCs w:val="12"/>
                <w:color w:val="auto"/>
              </w:rPr>
            </w:pPr>
          </w:p>
        </w:tc>
        <w:tc>
          <w:tcPr>
            <w:tcW w:w="21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Type of Investment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at Fair Value</w:t>
            </w:r>
          </w:p>
        </w:tc>
        <w:tc>
          <w:tcPr>
            <w:tcW w:w="24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1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U.S. BioTek Laboratories, LLC</w:t>
            </w: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Testing Laboratories</w:t>
            </w:r>
          </w:p>
        </w:tc>
        <w:tc>
          <w:tcPr>
            <w:tcW w:w="2860" w:type="dxa"/>
            <w:vAlign w:val="bottom"/>
            <w:gridSpan w:val="2"/>
          </w:tcPr>
          <w:p>
            <w:pPr>
              <w:spacing w:after="0" w:line="130" w:lineRule="exact"/>
              <w:rPr>
                <w:sz w:val="20"/>
                <w:szCs w:val="20"/>
                <w:color w:val="auto"/>
              </w:rPr>
            </w:pPr>
            <w:r>
              <w:rPr>
                <w:rFonts w:ascii="Arial" w:cs="Arial" w:eastAsia="Arial" w:hAnsi="Arial"/>
                <w:sz w:val="14"/>
                <w:szCs w:val="14"/>
                <w:color w:val="auto"/>
                <w:w w:val="99"/>
              </w:rPr>
              <w:t>First Lien Debt (7.1% Cash (3 month LIBOR +</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w w:val="92"/>
              </w:rPr>
              <w:t>5.0%, 2.0%</w:t>
            </w:r>
          </w:p>
        </w:tc>
        <w:tc>
          <w:tcPr>
            <w:tcW w:w="2180" w:type="dxa"/>
            <w:vAlign w:val="bottom"/>
          </w:tcPr>
          <w:p>
            <w:pPr>
              <w:ind w:left="20"/>
              <w:spacing w:after="0"/>
              <w:rPr>
                <w:sz w:val="20"/>
                <w:szCs w:val="20"/>
                <w:color w:val="auto"/>
              </w:rPr>
            </w:pPr>
            <w:r>
              <w:rPr>
                <w:rFonts w:ascii="Arial" w:cs="Arial" w:eastAsia="Arial" w:hAnsi="Arial"/>
                <w:sz w:val="14"/>
                <w:szCs w:val="14"/>
                <w:color w:val="auto"/>
              </w:rPr>
              <w:t>Floor), Due 12/14/23)</w:t>
            </w:r>
          </w:p>
        </w:tc>
        <w:tc>
          <w:tcPr>
            <w:tcW w:w="4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4,466</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4,466</w:t>
            </w:r>
          </w:p>
        </w:tc>
        <w:tc>
          <w:tcPr>
            <w:tcW w:w="28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4,466</w:t>
            </w: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Electronic Machine Repair</w:t>
            </w: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First Lien Debt (7.1% Cash (1 month LIBOR +</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4"/>
                <w:szCs w:val="14"/>
                <w:color w:val="auto"/>
                <w:w w:val="92"/>
              </w:rPr>
              <w:t>5.0%, 2.0%</w:t>
            </w:r>
          </w:p>
        </w:tc>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Floor), Due 12/20/23)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5,459</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5,459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5,459</w:t>
            </w:r>
          </w:p>
        </w:tc>
        <w:tc>
          <w:tcPr>
            <w:tcW w:w="0" w:type="dxa"/>
            <w:vAlign w:val="bottom"/>
          </w:tcPr>
          <w:p>
            <w:pPr>
              <w:spacing w:after="0"/>
              <w:rPr>
                <w:sz w:val="1"/>
                <w:szCs w:val="1"/>
                <w:color w:val="auto"/>
              </w:rPr>
            </w:pP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RAM Payment, LLC</w:t>
            </w: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Financial Services</w:t>
            </w:r>
          </w:p>
        </w:tc>
        <w:tc>
          <w:tcPr>
            <w:tcW w:w="2860" w:type="dxa"/>
            <w:vAlign w:val="bottom"/>
            <w:gridSpan w:val="2"/>
          </w:tcPr>
          <w:p>
            <w:pPr>
              <w:spacing w:after="0" w:line="130" w:lineRule="exact"/>
              <w:rPr>
                <w:sz w:val="20"/>
                <w:szCs w:val="20"/>
                <w:color w:val="auto"/>
              </w:rPr>
            </w:pPr>
            <w:r>
              <w:rPr>
                <w:rFonts w:ascii="Arial" w:cs="Arial" w:eastAsia="Arial" w:hAnsi="Arial"/>
                <w:sz w:val="14"/>
                <w:szCs w:val="14"/>
                <w:color w:val="auto"/>
                <w:w w:val="99"/>
              </w:rPr>
              <w:t>First Lien Debt (7.1% Cash (1 month LIBOR +</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4"/>
                <w:szCs w:val="14"/>
                <w:color w:val="auto"/>
                <w:w w:val="92"/>
              </w:rPr>
              <w:t>5.0%, 1.5%</w:t>
            </w:r>
          </w:p>
        </w:tc>
        <w:tc>
          <w:tcPr>
            <w:tcW w:w="2180" w:type="dxa"/>
            <w:vAlign w:val="bottom"/>
          </w:tcPr>
          <w:p>
            <w:pPr>
              <w:ind w:left="20"/>
              <w:spacing w:after="0"/>
              <w:rPr>
                <w:sz w:val="20"/>
                <w:szCs w:val="20"/>
                <w:color w:val="auto"/>
              </w:rPr>
            </w:pPr>
            <w:r>
              <w:rPr>
                <w:rFonts w:ascii="Arial" w:cs="Arial" w:eastAsia="Arial" w:hAnsi="Arial"/>
                <w:sz w:val="14"/>
                <w:szCs w:val="14"/>
                <w:color w:val="auto"/>
              </w:rPr>
              <w:t>Floor), Due 1/4/24)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6,741</w:t>
            </w: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6,741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156"/>
        </w:trPr>
        <w:tc>
          <w:tcPr>
            <w:tcW w:w="242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17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21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16,666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16,666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16,666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CSLF II’s schedule of investments as of December 31, 2018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Portfolio Company</w:t>
            </w:r>
          </w:p>
        </w:tc>
        <w:tc>
          <w:tcPr>
            <w:tcW w:w="19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28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Type of Investment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4"/>
                <w:szCs w:val="14"/>
                <w:color w:val="auto"/>
              </w:rPr>
            </w:pPr>
          </w:p>
        </w:tc>
        <w:tc>
          <w:tcPr>
            <w:tcW w:w="11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at Fair Value</w:t>
            </w:r>
          </w:p>
        </w:tc>
        <w:tc>
          <w:tcPr>
            <w:tcW w:w="24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U.S. BioTek Laboratories, LLC</w:t>
            </w: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Testing Laboratories</w:t>
            </w:r>
          </w:p>
        </w:tc>
        <w:tc>
          <w:tcPr>
            <w:tcW w:w="2860" w:type="dxa"/>
            <w:vAlign w:val="bottom"/>
          </w:tcPr>
          <w:p>
            <w:pPr>
              <w:spacing w:after="0" w:line="130" w:lineRule="exact"/>
              <w:rPr>
                <w:sz w:val="20"/>
                <w:szCs w:val="20"/>
                <w:color w:val="auto"/>
              </w:rPr>
            </w:pPr>
            <w:r>
              <w:rPr>
                <w:rFonts w:ascii="Arial" w:cs="Arial" w:eastAsia="Arial" w:hAnsi="Arial"/>
                <w:sz w:val="14"/>
                <w:szCs w:val="14"/>
                <w:color w:val="auto"/>
                <w:w w:val="99"/>
              </w:rPr>
              <w:t>First Lien Debt (7.8% Cash (3 month LIBOR +</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5.0%, 2.0% Floor), Due 12/14/23)</w:t>
            </w:r>
          </w:p>
        </w:tc>
        <w:tc>
          <w:tcPr>
            <w:tcW w:w="4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4,500</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4,500</w:t>
            </w:r>
          </w:p>
        </w:tc>
        <w:tc>
          <w:tcPr>
            <w:tcW w:w="160" w:type="dxa"/>
            <w:vAlign w:val="bottom"/>
            <w:gridSpan w:val="2"/>
          </w:tcPr>
          <w:p>
            <w:pPr>
              <w:jc w:val="right"/>
              <w:ind w:right="74"/>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4,500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Electronic Machine Repair</w:t>
            </w:r>
          </w:p>
        </w:tc>
        <w:tc>
          <w:tcPr>
            <w:tcW w:w="2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First Lien Debt (7.5% Cash (1 month LIBOR +</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5.0%, 2.0% Floor), Due 12/20/23)</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5,500</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5,500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2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Below are the statements of assets and liabilities for CSLF II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As of</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20" w:type="dxa"/>
            <w:vAlign w:val="bottom"/>
            <w:gridSpan w:val="6"/>
          </w:tcPr>
          <w:p>
            <w:pPr>
              <w:ind w:left="120"/>
              <w:spacing w:after="0"/>
              <w:rPr>
                <w:sz w:val="20"/>
                <w:szCs w:val="20"/>
                <w:color w:val="auto"/>
              </w:rPr>
            </w:pPr>
            <w:r>
              <w:rPr>
                <w:rFonts w:ascii="Arial" w:cs="Arial" w:eastAsia="Arial" w:hAnsi="Arial"/>
                <w:sz w:val="18"/>
                <w:szCs w:val="18"/>
                <w:b w:val="1"/>
                <w:bCs w:val="1"/>
                <w:color w:val="auto"/>
                <w:w w:val="99"/>
              </w:rPr>
              <w:t>September 30, 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8"/>
              </w:rPr>
              <w:t>December 31,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spacing w:after="0"/>
              <w:rPr>
                <w:sz w:val="20"/>
                <w:szCs w:val="20"/>
                <w:color w:val="auto"/>
              </w:rPr>
            </w:pPr>
            <w:r>
              <w:rPr>
                <w:rFonts w:ascii="Arial" w:cs="Arial" w:eastAsia="Arial" w:hAnsi="Arial"/>
                <w:sz w:val="18"/>
                <w:szCs w:val="18"/>
                <w:color w:val="auto"/>
              </w:rPr>
              <w:t>Investments at fair value (amortized cost of $16,666 and $10,000, respectively)</w:t>
            </w:r>
          </w:p>
        </w:tc>
        <w:tc>
          <w:tcPr>
            <w:tcW w:w="12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16,666</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Interest receivable</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(net of deferred financing costs of $509)</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Interest and financing fees payable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Partners’ capital</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17,073</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17,119</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assets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gridSpan w:val="5"/>
            <w:vMerge w:val="restart"/>
          </w:tcPr>
          <w:p>
            <w:pPr>
              <w:ind w:left="660"/>
              <w:spacing w:after="0"/>
              <w:rPr>
                <w:sz w:val="20"/>
                <w:szCs w:val="20"/>
                <w:color w:val="auto"/>
              </w:rPr>
            </w:pPr>
            <w:r>
              <w:rPr>
                <w:rFonts w:ascii="Arial" w:cs="Arial" w:eastAsia="Arial" w:hAnsi="Arial"/>
                <w:sz w:val="18"/>
                <w:szCs w:val="18"/>
                <w:color w:val="auto"/>
              </w:rPr>
              <w:t>Below are the unaudited statements of operations for CSLF II (dollars in thousands):</w:t>
            </w: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For the Three Months Ended</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Nine Months Ended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6"/>
          </w:tcPr>
          <w:p>
            <w:pPr>
              <w:spacing w:after="0"/>
              <w:rPr>
                <w:sz w:val="20"/>
                <w:szCs w:val="20"/>
                <w:color w:val="auto"/>
              </w:rPr>
            </w:pPr>
            <w:r>
              <w:rPr>
                <w:rFonts w:ascii="Arial" w:cs="Arial" w:eastAsia="Arial" w:hAnsi="Arial"/>
                <w:sz w:val="18"/>
                <w:szCs w:val="18"/>
                <w:b w:val="1"/>
                <w:bCs w:val="1"/>
                <w:color w:val="auto"/>
                <w:w w:val="95"/>
              </w:rPr>
              <w:t>September 30, 2019</w:t>
            </w: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September 30,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128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108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1,015</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Interest and financing expenses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8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8"/>
                <w:szCs w:val="18"/>
                <w:color w:val="auto"/>
              </w:rPr>
            </w:pPr>
          </w:p>
        </w:tc>
        <w:tc>
          <w:tcPr>
            <w:tcW w:w="108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660" w:type="dxa"/>
            <w:vAlign w:val="bottom"/>
          </w:tcPr>
          <w:p>
            <w:pPr>
              <w:spacing w:after="0" w:line="182" w:lineRule="exact"/>
              <w:rPr>
                <w:sz w:val="20"/>
                <w:szCs w:val="20"/>
                <w:color w:val="auto"/>
              </w:rPr>
            </w:pPr>
            <w:r>
              <w:rPr>
                <w:rFonts w:ascii="Arial" w:cs="Arial" w:eastAsia="Arial" w:hAnsi="Arial"/>
                <w:sz w:val="18"/>
                <w:szCs w:val="18"/>
                <w:color w:val="auto"/>
              </w:rPr>
              <w:t>NET INCREASE IN NET ASSETS RESULTING FROM</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128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2"/>
                <w:szCs w:val="22"/>
                <w:color w:val="auto"/>
              </w:rPr>
            </w:pPr>
          </w:p>
        </w:tc>
        <w:tc>
          <w:tcPr>
            <w:tcW w:w="108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5" w:name="page36"/>
    <w:bookmarkEnd w:id="35"/>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nine months ended September 30, 2019, the Company had investments in portfolio companies designated as affiliates under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 Transactions with affiliates were as follows (dollars in thousands):</w:t>
      </w:r>
    </w:p>
    <w:p>
      <w:pPr>
        <w:sectPr>
          <w:pgSz w:w="11900" w:h="16900" w:orient="portrait"/>
          <w:cols w:equalWidth="0" w:num="1">
            <w:col w:w="11420"/>
          </w:cols>
          <w:pgMar w:left="240" w:top="1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1"/>
          <w:szCs w:val="11"/>
          <w:b w:val="1"/>
          <w:bCs w:val="1"/>
          <w:color w:val="auto"/>
        </w:rPr>
        <w:t>Principal</w:t>
      </w:r>
    </w:p>
    <w:p>
      <w:pPr>
        <w:ind w:right="20" w:firstLine="349"/>
        <w:spacing w:after="0" w:line="203" w:lineRule="auto"/>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20"/>
          <w:szCs w:val="20"/>
          <w:b w:val="1"/>
          <w:bCs w:val="1"/>
          <w:color w:val="auto"/>
          <w:vertAlign w:val="superscript"/>
        </w:rPr>
        <w:t>(4)</w:t>
      </w:r>
      <w:r>
        <w:rPr>
          <w:rFonts w:ascii="Arial" w:cs="Arial" w:eastAsia="Arial" w:hAnsi="Arial"/>
          <w:sz w:val="13"/>
          <w:szCs w:val="13"/>
          <w:b w:val="1"/>
          <w:bCs w:val="1"/>
          <w:color w:val="auto"/>
        </w:rPr>
        <w:t xml:space="preserve"> Type of Investment Amount </w:t>
      </w:r>
      <w:r>
        <w:rPr>
          <w:rFonts w:ascii="Arial" w:cs="Arial" w:eastAsia="Arial" w:hAnsi="Arial"/>
          <w:sz w:val="13"/>
          <w:szCs w:val="13"/>
          <w:b w:val="1"/>
          <w:bCs w:val="1"/>
          <w:i w:val="1"/>
          <w:iCs w:val="1"/>
          <w:u w:val="single" w:color="auto"/>
          <w:color w:val="auto"/>
        </w:rPr>
        <w:t>Affiliate investments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Amount of</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or Dividends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Unrealized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35"/>
        </w:trPr>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Credited</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2018</w:t>
            </w:r>
          </w:p>
        </w:tc>
        <w:tc>
          <w:tcPr>
            <w:tcW w:w="144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w w:val="99"/>
              </w:rPr>
              <w:t xml:space="preserve">Gross Additions </w:t>
            </w:r>
            <w:r>
              <w:rPr>
                <w:rFonts w:ascii="Arial" w:cs="Arial" w:eastAsia="Arial" w:hAnsi="Arial"/>
                <w:sz w:val="20"/>
                <w:szCs w:val="20"/>
                <w:b w:val="1"/>
                <w:bCs w:val="1"/>
                <w:color w:val="auto"/>
                <w:w w:val="99"/>
                <w:vertAlign w:val="superscript"/>
              </w:rPr>
              <w:t>(2)</w:t>
            </w:r>
          </w:p>
        </w:tc>
        <w:tc>
          <w:tcPr>
            <w:tcW w:w="13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8"/>
              </w:rPr>
              <w:t xml:space="preserve">Gross Reductions </w:t>
            </w:r>
            <w:r>
              <w:rPr>
                <w:rFonts w:ascii="Arial" w:cs="Arial" w:eastAsia="Arial" w:hAnsi="Arial"/>
                <w:sz w:val="20"/>
                <w:szCs w:val="20"/>
                <w:b w:val="1"/>
                <w:bCs w:val="1"/>
                <w:color w:val="auto"/>
                <w:w w:val="98"/>
                <w:vertAlign w:val="superscript"/>
              </w:rPr>
              <w:t>(3)</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Realized</w:t>
            </w: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Appreciation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2019</w:t>
            </w:r>
          </w:p>
        </w:tc>
        <w:tc>
          <w:tcPr>
            <w:tcW w:w="0" w:type="dxa"/>
            <w:vAlign w:val="bottom"/>
          </w:tcPr>
          <w:p>
            <w:pPr>
              <w:spacing w:after="0"/>
              <w:rPr>
                <w:sz w:val="1"/>
                <w:szCs w:val="1"/>
                <w:color w:val="auto"/>
              </w:rPr>
            </w:pPr>
          </w:p>
        </w:tc>
      </w:tr>
      <w:tr>
        <w:trPr>
          <w:trHeight w:val="162"/>
        </w:trPr>
        <w:tc>
          <w:tcPr>
            <w:tcW w:w="7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3"/>
              </w:rPr>
              <w:t xml:space="preserve">to Income </w:t>
            </w:r>
            <w:r>
              <w:rPr>
                <w:rFonts w:ascii="Arial" w:cs="Arial" w:eastAsia="Arial" w:hAnsi="Arial"/>
                <w:sz w:val="18"/>
                <w:szCs w:val="18"/>
                <w:b w:val="1"/>
                <w:bCs w:val="1"/>
                <w:color w:val="auto"/>
                <w:w w:val="93"/>
                <w:vertAlign w:val="superscript"/>
              </w:rPr>
              <w:t>(1)</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Fair Value</w:t>
            </w:r>
          </w:p>
        </w:tc>
        <w:tc>
          <w:tcPr>
            <w:tcW w:w="1440" w:type="dxa"/>
            <w:vAlign w:val="bottom"/>
            <w:gridSpan w:val="3"/>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Gain/(Loss)</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(Depreciation)</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-8255</wp:posOffset>
            </wp:positionV>
            <wp:extent cx="7246620" cy="946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41" w:lineRule="exact"/>
        <w:rPr>
          <w:sz w:val="20"/>
          <w:szCs w:val="20"/>
          <w:color w:val="auto"/>
        </w:rPr>
      </w:pPr>
    </w:p>
    <w:p>
      <w:pPr>
        <w:sectPr>
          <w:pgSz w:w="11900" w:h="16900" w:orient="portrait"/>
          <w:cols w:equalWidth="0" w:num="2">
            <w:col w:w="3840" w:space="300"/>
            <w:col w:w="7280"/>
          </w:cols>
          <w:pgMar w:left="240" w:top="1121"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5"/>
              </w:rPr>
              <w:t>First Lien Debt (12.0% Cash,</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3.0% PIK, Due 3/23/21)</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14,561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1,397</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14,384</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260</w:t>
            </w:r>
          </w:p>
        </w:tc>
        <w:tc>
          <w:tcPr>
            <w:tcW w:w="38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(500)</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386</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14,530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40" w:type="dxa"/>
            <w:vAlign w:val="bottom"/>
            <w:gridSpan w:val="2"/>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Burgaflex Holdings,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Common Stock Class A</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(1,253,198 shares)</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40" w:type="dxa"/>
            <w:vAlign w:val="bottom"/>
            <w:gridSpan w:val="2"/>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Burgaflex Holdings,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Common Stock Class B</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(1,085,073 shares)</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62</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(21)</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1,397</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14,384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322</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365</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City Gear, LLC</w:t>
            </w:r>
          </w:p>
        </w:tc>
        <w:tc>
          <w:tcPr>
            <w:tcW w:w="38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 Warrants</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(11.4% fully diluted)</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3,184</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111</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(111)</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3,184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Subordinated Debt (15.1%</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Cash (3 month LIBOR +</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13.0%, 0.5% Floor), Due</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4/29/20)</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16,500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2,506</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16,500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567</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(567)</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40" w:type="dxa"/>
            <w:vAlign w:val="bottom"/>
            <w:gridSpan w:val="2"/>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Units (22.9%</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ownership)</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17,610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(829)</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2,506</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34,110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567</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(1,396</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33,281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GA Communications, Inc.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Series A-1 Preferred Stock</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0"/>
                <w:szCs w:val="10"/>
                <w:color w:val="auto"/>
              </w:rPr>
              <w:t>(5)</w:t>
            </w: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(1,998 shares, 8.0% PIK</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Dividend)</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3,482</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221</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(14)</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40" w:type="dxa"/>
            <w:vAlign w:val="bottom"/>
            <w:gridSpan w:val="2"/>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GA Communications, Inc.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Series B-1 Common Stock</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(200,000 shares)</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1,325</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(681)</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4,807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221</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(695</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J&amp;J Produce Holdings,</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Subordinated Debt (13.0%</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Inc.</w:t>
            </w: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Due 6/16/19)</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485</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6,210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(5,788)</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(618)</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196</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40" w:type="dxa"/>
            <w:vAlign w:val="bottom"/>
            <w:gridSpan w:val="2"/>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J&amp;J Produce Holdings,</w:t>
            </w:r>
          </w:p>
        </w:tc>
        <w:tc>
          <w:tcPr>
            <w:tcW w:w="17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Inc.</w:t>
            </w: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0"/>
              </w:rPr>
              <w:t>Common Stock (8,182 shares)</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(818)</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818</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40" w:type="dxa"/>
            <w:vAlign w:val="bottom"/>
            <w:gridSpan w:val="2"/>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J&amp;J Produce Holdings,</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Common Stock Warrants</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Inc.</w:t>
            </w: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(6,369 shares)</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485</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6,210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(5,788</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(1,436</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1,014</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7"/>
              </w:rPr>
              <w:t>LJS Partners, LLC</w:t>
            </w:r>
          </w:p>
        </w:tc>
        <w:tc>
          <w:tcPr>
            <w:tcW w:w="38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Common Stock (1,764,976</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3,018</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79</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(293)</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(1,118)</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LJS Partners, LLC</w:t>
            </w: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3"/>
              </w:rPr>
              <w:t>Preferred Units (89,612 units)</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293</w:t>
            </w:r>
          </w:p>
        </w:tc>
        <w:tc>
          <w:tcPr>
            <w:tcW w:w="3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372</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(293</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(1,053</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MMI Holdings, LLC</w:t>
            </w:r>
          </w:p>
        </w:tc>
        <w:tc>
          <w:tcPr>
            <w:tcW w:w="38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First Lien Debt (12.0% Cash,</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Due 1/31/20)</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238</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MMI Holdings, LLC</w:t>
            </w:r>
          </w:p>
        </w:tc>
        <w:tc>
          <w:tcPr>
            <w:tcW w:w="38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Subordinated Debt (6.0%</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Due 1/31/20)</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94"/>
              </w:rPr>
              <w:t>MMI Holdings, LLC</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w w:val="97"/>
              </w:rPr>
              <w:t>(5)</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8"/>
              </w:rPr>
              <w:t>Preferred Units (1,000 units,</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74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6.0% PIK Dividend)</w:t>
            </w:r>
          </w:p>
        </w:tc>
        <w:tc>
          <w:tcPr>
            <w:tcW w:w="2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5"/>
                <w:szCs w:val="5"/>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1,612</w:t>
            </w: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73</w:t>
            </w:r>
          </w:p>
        </w:tc>
        <w:tc>
          <w:tcPr>
            <w:tcW w:w="380" w:type="dxa"/>
            <w:vAlign w:val="bottom"/>
            <w:shd w:val="clear" w:color="auto" w:fill="CCEEFF"/>
          </w:tcPr>
          <w:p>
            <w:pPr>
              <w:spacing w:after="0"/>
              <w:rPr>
                <w:sz w:val="5"/>
                <w:szCs w:val="5"/>
                <w:color w:val="auto"/>
              </w:rPr>
            </w:pPr>
          </w:p>
        </w:tc>
        <w:tc>
          <w:tcPr>
            <w:tcW w:w="940" w:type="dxa"/>
            <w:vAlign w:val="bottom"/>
            <w:gridSpan w:val="2"/>
            <w:vMerge w:val="restart"/>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5"/>
                <w:szCs w:val="5"/>
                <w:color w:val="auto"/>
              </w:rPr>
            </w:pPr>
          </w:p>
        </w:tc>
        <w:tc>
          <w:tcPr>
            <w:tcW w:w="680" w:type="dxa"/>
            <w:vAlign w:val="bottom"/>
            <w:gridSpan w:val="2"/>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5"/>
                <w:szCs w:val="5"/>
                <w:color w:val="auto"/>
              </w:rPr>
            </w:pPr>
          </w:p>
        </w:tc>
        <w:tc>
          <w:tcPr>
            <w:tcW w:w="740" w:type="dxa"/>
            <w:vAlign w:val="bottom"/>
            <w:gridSpan w:val="2"/>
            <w:vMerge w:val="restart"/>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5"/>
                <w:szCs w:val="5"/>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1,685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0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MMI Holdings, LLC</w:t>
            </w:r>
          </w:p>
        </w:tc>
        <w:tc>
          <w:tcPr>
            <w:tcW w:w="38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9"/>
              </w:rPr>
              <w:t>Common Membership Units</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(45 units)</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256</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4,797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Navis Holdings, Inc.</w:t>
            </w:r>
          </w:p>
        </w:tc>
        <w:tc>
          <w:tcPr>
            <w:tcW w:w="38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First Lien Debt (11.0% Cash,</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Due 6/30/23)</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284</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10,100</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90"/>
              </w:rPr>
              <w:t>Navis Holdings, Inc.</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81"/>
              </w:rPr>
              <w:t>(5)</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Class A Preferred Stock</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740" w:type="dxa"/>
            <w:vAlign w:val="bottom"/>
            <w:vMerge w:val="restart"/>
            <w:shd w:val="clear" w:color="auto" w:fill="CCEEFF"/>
          </w:tcPr>
          <w:p>
            <w:pPr>
              <w:ind w:left="120"/>
              <w:spacing w:after="0" w:line="135" w:lineRule="exact"/>
              <w:rPr>
                <w:sz w:val="20"/>
                <w:szCs w:val="20"/>
                <w:color w:val="auto"/>
              </w:rPr>
            </w:pPr>
            <w:r>
              <w:rPr>
                <w:rFonts w:ascii="Arial" w:cs="Arial" w:eastAsia="Arial" w:hAnsi="Arial"/>
                <w:sz w:val="13"/>
                <w:szCs w:val="13"/>
                <w:color w:val="auto"/>
              </w:rPr>
              <w:t>(1,000 shares, 10.0% Cash</w:t>
            </w:r>
          </w:p>
        </w:tc>
        <w:tc>
          <w:tcPr>
            <w:tcW w:w="2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74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Dividend)</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Navis Holdings, Inc.</w:t>
            </w:r>
          </w:p>
        </w:tc>
        <w:tc>
          <w:tcPr>
            <w:tcW w:w="38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Common Stock (60,000</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shares)</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385</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309</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11,100</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385</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11,485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RAM Payment, LLC</w:t>
            </w:r>
          </w:p>
        </w:tc>
        <w:tc>
          <w:tcPr>
            <w:tcW w:w="38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First Lien Debt (10.4% Cash,</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Due 1/4/24)</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9,137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974</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9,489</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(351)</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90"/>
              </w:rPr>
              <w:t>RAM Payment, LLC</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w w:val="97"/>
              </w:rPr>
              <w:t>(5)</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Preferred Equity (86,000</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74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Units, 8.0% PIK)</w:t>
            </w:r>
          </w:p>
        </w:tc>
        <w:tc>
          <w:tcPr>
            <w:tcW w:w="2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5"/>
                <w:szCs w:val="5"/>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910</w:t>
            </w:r>
          </w:p>
        </w:tc>
        <w:tc>
          <w:tcPr>
            <w:tcW w:w="380" w:type="dxa"/>
            <w:vAlign w:val="bottom"/>
            <w:shd w:val="clear" w:color="auto" w:fill="CCEEFF"/>
          </w:tcPr>
          <w:p>
            <w:pPr>
              <w:spacing w:after="0"/>
              <w:rPr>
                <w:sz w:val="5"/>
                <w:szCs w:val="5"/>
                <w:color w:val="auto"/>
              </w:rPr>
            </w:pPr>
          </w:p>
        </w:tc>
        <w:tc>
          <w:tcPr>
            <w:tcW w:w="940" w:type="dxa"/>
            <w:vAlign w:val="bottom"/>
            <w:gridSpan w:val="2"/>
            <w:vMerge w:val="restart"/>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5"/>
                <w:szCs w:val="5"/>
                <w:color w:val="auto"/>
              </w:rPr>
            </w:pPr>
          </w:p>
        </w:tc>
        <w:tc>
          <w:tcPr>
            <w:tcW w:w="680" w:type="dxa"/>
            <w:vAlign w:val="bottom"/>
            <w:gridSpan w:val="2"/>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5"/>
                <w:szCs w:val="5"/>
                <w:color w:val="auto"/>
              </w:rPr>
            </w:pPr>
          </w:p>
        </w:tc>
        <w:tc>
          <w:tcPr>
            <w:tcW w:w="740" w:type="dxa"/>
            <w:vAlign w:val="bottom"/>
            <w:gridSpan w:val="2"/>
            <w:vMerge w:val="restart"/>
            <w:shd w:val="clear" w:color="auto" w:fill="CCEEFF"/>
          </w:tcPr>
          <w:p>
            <w:pPr>
              <w:jc w:val="right"/>
              <w:ind w:right="178"/>
              <w:spacing w:after="0"/>
              <w:rPr>
                <w:sz w:val="20"/>
                <w:szCs w:val="20"/>
                <w:color w:val="auto"/>
              </w:rPr>
            </w:pPr>
            <w:r>
              <w:rPr>
                <w:rFonts w:ascii="Arial" w:cs="Arial" w:eastAsia="Arial" w:hAnsi="Arial"/>
                <w:sz w:val="13"/>
                <w:szCs w:val="13"/>
                <w:color w:val="auto"/>
              </w:rPr>
              <w:t>597</w:t>
            </w:r>
          </w:p>
        </w:tc>
        <w:tc>
          <w:tcPr>
            <w:tcW w:w="240" w:type="dxa"/>
            <w:vAlign w:val="bottom"/>
            <w:shd w:val="clear" w:color="auto" w:fill="CCEEFF"/>
          </w:tcPr>
          <w:p>
            <w:pPr>
              <w:spacing w:after="0"/>
              <w:rPr>
                <w:sz w:val="5"/>
                <w:szCs w:val="5"/>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1,507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0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974</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10,399</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(351</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596</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10,644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Sierra Hamilton Holdings</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Second Lien Debt (15.0%</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Corporation</w:t>
            </w: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PIK, Due 9/12/23)</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717</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40" w:type="dxa"/>
            <w:vAlign w:val="bottom"/>
            <w:gridSpan w:val="2"/>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Sierra Hamilton Holdings</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8"/>
              </w:rPr>
              <w:t>Common Stock (15,068,000</w:t>
            </w: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Corporation</w:t>
            </w: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shares)</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6,854</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(1,360)</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6,854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717</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(1,360</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6,211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Bath Group, LLC</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7"/>
              </w:rPr>
              <w:t>First Lien Debt (11.5% Cash</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676</w:t>
            </w:r>
          </w:p>
        </w:tc>
        <w:tc>
          <w:tcPr>
            <w:tcW w:w="2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12,750</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(12,750)</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21" w:right="239" w:bottom="0" w:gutter="0" w:footer="0" w:header="0"/>
          <w:type w:val="continuous"/>
        </w:sectPr>
      </w:pPr>
    </w:p>
    <w:bookmarkStart w:id="36" w:name="page37"/>
    <w:bookmarkEnd w:id="36"/>
    <w:p>
      <w:pPr>
        <w:ind w:left="1580"/>
        <w:spacing w:after="0"/>
        <w:rPr>
          <w:sz w:val="20"/>
          <w:szCs w:val="20"/>
          <w:color w:val="auto"/>
        </w:rPr>
      </w:pPr>
      <w:r>
        <w:rPr>
          <w:rFonts w:ascii="Arial" w:cs="Arial" w:eastAsia="Arial" w:hAnsi="Arial"/>
          <w:sz w:val="13"/>
          <w:szCs w:val="13"/>
          <w:color w:val="auto"/>
        </w:rPr>
        <w:t>(1 month LIBOR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3"/>
          <w:szCs w:val="13"/>
          <w:color w:val="auto"/>
        </w:rPr>
        <w:t>1.0% Floor), Due 1/2/23)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6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US Bath Group, LLC</w:t>
            </w: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Membership Units (500,000</w:t>
            </w: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units)</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2,083</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(4,323)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3,823</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(1,583)</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676</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14,833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(17,073</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3,823</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(1,583</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6"/>
              </w:rPr>
              <w:t>V12 Holdings, Inc.</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Subordinated Debt</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742</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(30)</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(16)</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40" w:type="dxa"/>
            <w:vAlign w:val="bottom"/>
            <w:tcBorders>
              <w:bottom w:val="single" w:sz="8" w:color="auto"/>
            </w:tcBorders>
            <w:gridSpan w:val="4"/>
            <w:shd w:val="clear" w:color="auto" w:fill="CCEEFF"/>
          </w:tcPr>
          <w:p>
            <w:pPr>
              <w:spacing w:after="0" w:line="82" w:lineRule="exact"/>
              <w:rPr>
                <w:sz w:val="20"/>
                <w:szCs w:val="20"/>
                <w:color w:val="auto"/>
              </w:rPr>
            </w:pPr>
            <w:r>
              <w:rPr>
                <w:rFonts w:ascii="Arial" w:cs="Arial" w:eastAsia="Arial" w:hAnsi="Arial"/>
                <w:sz w:val="9"/>
                <w:szCs w:val="9"/>
                <w:b w:val="1"/>
                <w:bCs w:val="1"/>
                <w:i w:val="1"/>
                <w:iCs w:val="1"/>
                <w:color w:val="auto"/>
              </w:rPr>
              <w:t>Total Affiliate investments</w:t>
            </w:r>
          </w:p>
        </w:tc>
        <w:tc>
          <w:tcPr>
            <w:tcW w:w="12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173"/>
              <w:spacing w:after="0" w:line="102" w:lineRule="exact"/>
              <w:rPr>
                <w:sz w:val="20"/>
                <w:szCs w:val="20"/>
                <w:color w:val="auto"/>
              </w:rPr>
            </w:pPr>
            <w:r>
              <w:rPr>
                <w:rFonts w:ascii="Arial" w:cs="Arial" w:eastAsia="Arial" w:hAnsi="Arial"/>
                <w:sz w:val="9"/>
                <w:szCs w:val="9"/>
                <w:color w:val="auto"/>
                <w:w w:val="78"/>
              </w:rPr>
              <w:t>$</w:t>
            </w:r>
          </w:p>
        </w:tc>
        <w:tc>
          <w:tcPr>
            <w:tcW w:w="5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6,603</w:t>
            </w: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33"/>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92,939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ind w:right="253"/>
              <w:spacing w:after="0" w:line="102" w:lineRule="exact"/>
              <w:rPr>
                <w:sz w:val="20"/>
                <w:szCs w:val="20"/>
                <w:color w:val="auto"/>
              </w:rPr>
            </w:pPr>
            <w:r>
              <w:rPr>
                <w:rFonts w:ascii="Arial" w:cs="Arial" w:eastAsia="Arial" w:hAnsi="Arial"/>
                <w:sz w:val="9"/>
                <w:szCs w:val="9"/>
                <w:color w:val="auto"/>
                <w:w w:val="78"/>
              </w:rPr>
              <w:t>$</w:t>
            </w:r>
          </w:p>
        </w:tc>
        <w:tc>
          <w:tcPr>
            <w:tcW w:w="6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23,882</w:t>
            </w: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273"/>
              <w:spacing w:after="0" w:line="102" w:lineRule="exact"/>
              <w:rPr>
                <w:sz w:val="20"/>
                <w:szCs w:val="20"/>
                <w:color w:val="auto"/>
              </w:rPr>
            </w:pPr>
            <w:r>
              <w:rPr>
                <w:rFonts w:ascii="Arial" w:cs="Arial" w:eastAsia="Arial" w:hAnsi="Arial"/>
                <w:sz w:val="9"/>
                <w:szCs w:val="9"/>
                <w:color w:val="auto"/>
                <w:w w:val="78"/>
              </w:rPr>
              <w:t>$</w:t>
            </w:r>
          </w:p>
        </w:tc>
        <w:tc>
          <w:tcPr>
            <w:tcW w:w="7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(24,035</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CCEEFF"/>
            </w:tcBorders>
            <w:shd w:val="clear" w:color="auto" w:fill="CCEEFF"/>
          </w:tcPr>
          <w:p>
            <w:pPr>
              <w:jc w:val="right"/>
              <w:ind w:right="53"/>
              <w:spacing w:after="0" w:line="102" w:lineRule="exact"/>
              <w:rPr>
                <w:sz w:val="20"/>
                <w:szCs w:val="20"/>
                <w:color w:val="auto"/>
              </w:rPr>
            </w:pPr>
            <w:r>
              <w:rPr>
                <w:rFonts w:ascii="Arial" w:cs="Arial" w:eastAsia="Arial" w:hAnsi="Arial"/>
                <w:sz w:val="9"/>
                <w:szCs w:val="9"/>
                <w:color w:val="auto"/>
                <w:w w:val="78"/>
              </w:rPr>
              <w:t>$</w:t>
            </w:r>
          </w:p>
        </w:tc>
        <w:tc>
          <w:tcPr>
            <w:tcW w:w="5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2,288</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33"/>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(3,719</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CCEEFF"/>
            </w:tcBorders>
            <w:shd w:val="clear" w:color="auto" w:fill="CCEEFF"/>
          </w:tcPr>
          <w:p>
            <w:pPr>
              <w:jc w:val="right"/>
              <w:ind w:right="133"/>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91,355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4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b w:val="1"/>
                <w:bCs w:val="1"/>
                <w:i w:val="1"/>
                <w:iCs w:val="1"/>
                <w:color w:val="auto"/>
                <w:w w:val="81"/>
              </w:rPr>
              <w:t>Control investments</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00" w:type="dxa"/>
            <w:vAlign w:val="bottom"/>
            <w:tcBorders>
              <w:top w:val="single" w:sz="8" w:color="CCEEFF"/>
            </w:tcBorders>
            <w:gridSpan w:val="2"/>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72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6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AAE Acquisition, LLC</w:t>
            </w: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4"/>
              </w:rPr>
              <w:t>Second Lien Debt (6.0% PIK,</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Due 8/24/19)</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16,327</w:t>
            </w:r>
          </w:p>
        </w:tc>
        <w:tc>
          <w:tcPr>
            <w:tcW w:w="48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4,084</w:t>
            </w:r>
          </w:p>
        </w:tc>
        <w:tc>
          <w:tcPr>
            <w:tcW w:w="38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(20,411)</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6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AAE Acquisition, LLC</w:t>
            </w: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4"/>
              </w:rPr>
              <w:t>Membership Units (2.2% fully</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diluted)</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(17)</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60" w:type="dxa"/>
            <w:vAlign w:val="bottom"/>
            <w:gridSpan w:val="5"/>
            <w:shd w:val="clear" w:color="auto" w:fill="CCEEFF"/>
          </w:tcPr>
          <w:p>
            <w:pPr>
              <w:spacing w:after="0" w:line="135" w:lineRule="exact"/>
              <w:rPr>
                <w:sz w:val="20"/>
                <w:szCs w:val="20"/>
                <w:color w:val="auto"/>
              </w:rPr>
            </w:pPr>
            <w:r>
              <w:rPr>
                <w:rFonts w:ascii="Arial" w:cs="Arial" w:eastAsia="Arial" w:hAnsi="Arial"/>
                <w:sz w:val="13"/>
                <w:szCs w:val="13"/>
                <w:color w:val="auto"/>
              </w:rPr>
              <w:t>AAE Acquisition, LLC</w:t>
            </w:r>
          </w:p>
        </w:tc>
        <w:tc>
          <w:tcPr>
            <w:tcW w:w="1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3"/>
              </w:rPr>
              <w:t>Warrants (58.9% fully diluted)</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16,327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4,084</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(20,428</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CableOrganizer</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Debt (8.0% Cash,</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 LLC</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Due 6/30/21)</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1,708</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1,542</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(2,000)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104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CableOrganizer</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vMerge w:val="restart"/>
            <w:shd w:val="clear" w:color="auto" w:fill="CCEEFF"/>
          </w:tcPr>
          <w:p>
            <w:pPr>
              <w:ind w:left="100"/>
              <w:spacing w:after="0"/>
              <w:rPr>
                <w:sz w:val="20"/>
                <w:szCs w:val="20"/>
                <w:color w:val="auto"/>
              </w:rPr>
            </w:pPr>
            <w:r>
              <w:rPr>
                <w:rFonts w:ascii="Arial" w:cs="Arial" w:eastAsia="Arial" w:hAnsi="Arial"/>
                <w:sz w:val="13"/>
                <w:szCs w:val="13"/>
                <w:color w:val="auto"/>
              </w:rPr>
              <w:t>First Lien Debt (8.0% Cash,</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gridSpan w:val="2"/>
            <w:vMerge w:val="restart"/>
            <w:shd w:val="clear" w:color="auto" w:fill="CCEEFF"/>
          </w:tcPr>
          <w:p>
            <w:pPr>
              <w:spacing w:after="0" w:line="183" w:lineRule="exact"/>
              <w:rPr>
                <w:sz w:val="20"/>
                <w:szCs w:val="20"/>
                <w:color w:val="auto"/>
              </w:rPr>
            </w:pPr>
            <w:r>
              <w:rPr>
                <w:rFonts w:ascii="Arial" w:cs="Arial" w:eastAsia="Arial" w:hAnsi="Arial"/>
                <w:sz w:val="13"/>
                <w:szCs w:val="13"/>
                <w:color w:val="auto"/>
                <w:w w:val="89"/>
              </w:rPr>
              <w:t xml:space="preserve">Acquisition, LLC </w:t>
            </w:r>
            <w:r>
              <w:rPr>
                <w:rFonts w:ascii="Arial" w:cs="Arial" w:eastAsia="Arial" w:hAnsi="Arial"/>
                <w:sz w:val="20"/>
                <w:szCs w:val="20"/>
                <w:color w:val="auto"/>
                <w:w w:val="89"/>
                <w:vertAlign w:val="superscript"/>
              </w:rPr>
              <w:t>(6)</w:t>
            </w: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vMerge w:val="continue"/>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Due 6/30/21)</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3,689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148</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8,889</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(3,424)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(1,827)</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(1,953)</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CableOrganizer</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Preferred Units - Series A1</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 LLC</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(7,200,000 units)</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5,373</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(5,373)</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CableOrganizer</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Preferred Units - Series A</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 LLC</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(4,000,000 units)</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CableOrganizer</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9"/>
              </w:rPr>
              <w:t>Common Stock (14.9% fully</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 LLC</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diluted)</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CableOrganizer</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Common Stock Warrants</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 LLC</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(40.0% fully diluted)</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228</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10,597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6,915</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(5,424</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(1,827</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(7,326</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2,935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6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w w:val="93"/>
              </w:rPr>
              <w:t>Capitala Senior Loan Fund</w:t>
            </w: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Membership Units (80.0%</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II, LLC</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ownership)</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720</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13,695</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(37)</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13,658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6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w w:val="93"/>
              </w:rPr>
              <w:t>Capitala Senior Loan Fund</w:t>
            </w: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Subordinated Debt (7.0%</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II, LLC</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Cash (1 month LIBOR +</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5.0%), Due 9/3/24)</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720</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13,695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13,658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6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Micro Precision, LLC</w:t>
            </w: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Subordinated Debt (10.0%</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Due 3/31/20)</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106</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1,862</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(1,862)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6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Micro Precision, LLC</w:t>
            </w: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Subordinated Debt (14.0%</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Cash, 4.0% PIK, Due 3/31/20)</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350</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4,325</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88</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(4,413)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6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Micro Precision, LLC</w:t>
            </w: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8"/>
              </w:rPr>
              <w:t>Series A Preferred Units (47</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units)</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814</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2,817</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(1,629)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(1,188)</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1,270</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9,004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(7,904</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(1,188</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88"/>
              </w:rPr>
              <w:t>Navis Holdings, Inc.</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5"/>
              </w:rPr>
              <w:t>First Lien Debt (11.0% Cash,</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Due 6/30/23)</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566</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7,500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(7,500)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88"/>
              </w:rPr>
              <w:t>Navis Holdings, Inc.</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97"/>
              </w:rPr>
              <w:t>(5)</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Class A Preferred Stock</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20" w:type="dxa"/>
            <w:vAlign w:val="bottom"/>
            <w:vMerge w:val="restart"/>
            <w:shd w:val="clear" w:color="auto" w:fill="CCEEFF"/>
          </w:tcPr>
          <w:p>
            <w:pPr>
              <w:ind w:left="100"/>
              <w:spacing w:after="0" w:line="135" w:lineRule="exact"/>
              <w:rPr>
                <w:sz w:val="20"/>
                <w:szCs w:val="20"/>
                <w:color w:val="auto"/>
              </w:rPr>
            </w:pPr>
            <w:r>
              <w:rPr>
                <w:rFonts w:ascii="Arial" w:cs="Arial" w:eastAsia="Arial" w:hAnsi="Arial"/>
                <w:sz w:val="13"/>
                <w:szCs w:val="13"/>
                <w:color w:val="auto"/>
              </w:rPr>
              <w:t>(1,000 shares, 10.0% Cash</w:t>
            </w:r>
          </w:p>
        </w:tc>
        <w:tc>
          <w:tcPr>
            <w:tcW w:w="2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Dividend)</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88"/>
              </w:rPr>
              <w:t>Navis Holdings, Inc.</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Common Stock (60,000</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shares)</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4,348</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(2,600)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2,599</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(4,347)</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616</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12,848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(11,100</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2,599</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(4,347</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89"/>
              </w:rPr>
              <w:t>Portrait Studio, LLC</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3"/>
              </w:rPr>
              <w:t>First Lien Debt (9.0% Cash (1</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9"/>
              </w:rPr>
              <w:t>month LIBOR + 7.0%, 1.0%</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Floor, 2.0% Ceiling), Due</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12/31/22)</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2,280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3,420</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(1,140)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89"/>
              </w:rPr>
              <w:t>Portrait Studio, LLC</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97"/>
              </w:rPr>
              <w:t>(6)</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3"/>
              </w:rPr>
              <w:t>First Lien Debt (9.1% Cash (1</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20" w:type="dxa"/>
            <w:vAlign w:val="bottom"/>
            <w:vMerge w:val="restart"/>
            <w:shd w:val="clear" w:color="auto" w:fill="CCEEFF"/>
          </w:tcPr>
          <w:p>
            <w:pPr>
              <w:ind w:left="100"/>
              <w:spacing w:after="0" w:line="135" w:lineRule="exact"/>
              <w:rPr>
                <w:sz w:val="20"/>
                <w:szCs w:val="20"/>
                <w:color w:val="auto"/>
              </w:rPr>
            </w:pPr>
            <w:r>
              <w:rPr>
                <w:rFonts w:ascii="Arial" w:cs="Arial" w:eastAsia="Arial" w:hAnsi="Arial"/>
                <w:sz w:val="13"/>
                <w:szCs w:val="13"/>
                <w:color w:val="auto"/>
                <w:w w:val="99"/>
              </w:rPr>
              <w:t>month LIBOR + 7.0%, 1.0%</w:t>
            </w:r>
          </w:p>
        </w:tc>
        <w:tc>
          <w:tcPr>
            <w:tcW w:w="2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Floor, 5.0% Ceiling), Due</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12/31/22)</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107</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4,500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(180)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(2,944)</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89"/>
              </w:rPr>
              <w:t>Portrait Studio, LLC</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Preferred Units (4,350,000</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Units)</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2,174</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(2,174)</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89"/>
              </w:rPr>
              <w:t>Portrait Studio, LLC</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Membership Units (150,000</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Units)</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171</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3,420</w:t>
            </w:r>
          </w:p>
        </w:tc>
        <w:tc>
          <w:tcPr>
            <w:tcW w:w="2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(1,320</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(5,118</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3,656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20" w:type="dxa"/>
            <w:vAlign w:val="bottom"/>
            <w:tcBorders>
              <w:bottom w:val="single" w:sz="8" w:color="auto"/>
            </w:tcBorders>
            <w:gridSpan w:val="3"/>
            <w:shd w:val="clear" w:color="auto" w:fill="CCEEFF"/>
          </w:tcPr>
          <w:p>
            <w:pPr>
              <w:spacing w:after="0" w:line="82" w:lineRule="exact"/>
              <w:rPr>
                <w:sz w:val="20"/>
                <w:szCs w:val="20"/>
                <w:color w:val="auto"/>
              </w:rPr>
            </w:pPr>
            <w:r>
              <w:rPr>
                <w:rFonts w:ascii="Arial" w:cs="Arial" w:eastAsia="Arial" w:hAnsi="Arial"/>
                <w:sz w:val="9"/>
                <w:szCs w:val="9"/>
                <w:b w:val="1"/>
                <w:bCs w:val="1"/>
                <w:i w:val="1"/>
                <w:iCs w:val="1"/>
                <w:color w:val="auto"/>
              </w:rPr>
              <w:t>Total Control investments</w:t>
            </w:r>
          </w:p>
        </w:tc>
        <w:tc>
          <w:tcPr>
            <w:tcW w:w="140" w:type="dxa"/>
            <w:vAlign w:val="bottom"/>
            <w:tcBorders>
              <w:bottom w:val="single" w:sz="8" w:color="CCEEFF"/>
            </w:tcBorders>
            <w:gridSpan w:val="2"/>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173"/>
              <w:spacing w:after="0" w:line="102" w:lineRule="exact"/>
              <w:rPr>
                <w:sz w:val="20"/>
                <w:szCs w:val="20"/>
                <w:color w:val="auto"/>
              </w:rPr>
            </w:pPr>
            <w:r>
              <w:rPr>
                <w:rFonts w:ascii="Arial" w:cs="Arial" w:eastAsia="Arial" w:hAnsi="Arial"/>
                <w:sz w:val="9"/>
                <w:szCs w:val="9"/>
                <w:color w:val="auto"/>
                <w:w w:val="78"/>
              </w:rPr>
              <w:t>$</w:t>
            </w:r>
          </w:p>
        </w:tc>
        <w:tc>
          <w:tcPr>
            <w:tcW w:w="5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3,005</w:t>
            </w: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33"/>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69,145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ind w:right="253"/>
              <w:spacing w:after="0" w:line="102" w:lineRule="exact"/>
              <w:rPr>
                <w:sz w:val="20"/>
                <w:szCs w:val="20"/>
                <w:color w:val="auto"/>
              </w:rPr>
            </w:pPr>
            <w:r>
              <w:rPr>
                <w:rFonts w:ascii="Arial" w:cs="Arial" w:eastAsia="Arial" w:hAnsi="Arial"/>
                <w:sz w:val="9"/>
                <w:szCs w:val="9"/>
                <w:color w:val="auto"/>
                <w:w w:val="78"/>
              </w:rPr>
              <w:t>$</w:t>
            </w:r>
          </w:p>
        </w:tc>
        <w:tc>
          <w:tcPr>
            <w:tcW w:w="6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14,507</w:t>
            </w: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273"/>
              <w:spacing w:after="0" w:line="102" w:lineRule="exact"/>
              <w:rPr>
                <w:sz w:val="20"/>
                <w:szCs w:val="20"/>
                <w:color w:val="auto"/>
              </w:rPr>
            </w:pPr>
            <w:r>
              <w:rPr>
                <w:rFonts w:ascii="Arial" w:cs="Arial" w:eastAsia="Arial" w:hAnsi="Arial"/>
                <w:sz w:val="9"/>
                <w:szCs w:val="9"/>
                <w:color w:val="auto"/>
                <w:w w:val="78"/>
              </w:rPr>
              <w:t>$</w:t>
            </w:r>
          </w:p>
        </w:tc>
        <w:tc>
          <w:tcPr>
            <w:tcW w:w="7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(25,748</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CCEEFF"/>
            </w:tcBorders>
            <w:shd w:val="clear" w:color="auto" w:fill="CCEEFF"/>
          </w:tcPr>
          <w:p>
            <w:pPr>
              <w:jc w:val="right"/>
              <w:ind w:right="53"/>
              <w:spacing w:after="0" w:line="102" w:lineRule="exact"/>
              <w:rPr>
                <w:sz w:val="20"/>
                <w:szCs w:val="20"/>
                <w:color w:val="auto"/>
              </w:rPr>
            </w:pPr>
            <w:r>
              <w:rPr>
                <w:rFonts w:ascii="Arial" w:cs="Arial" w:eastAsia="Arial" w:hAnsi="Arial"/>
                <w:sz w:val="9"/>
                <w:szCs w:val="9"/>
                <w:color w:val="auto"/>
                <w:w w:val="78"/>
              </w:rPr>
              <w:t>$</w:t>
            </w:r>
          </w:p>
        </w:tc>
        <w:tc>
          <w:tcPr>
            <w:tcW w:w="5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(19,656</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CCEEFF"/>
            </w:tcBorders>
            <w:shd w:val="clear" w:color="auto" w:fill="CCEEFF"/>
          </w:tcPr>
          <w:p>
            <w:pPr>
              <w:jc w:val="right"/>
              <w:ind w:right="133"/>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(17,999</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CCEEFF"/>
            </w:tcBorders>
            <w:shd w:val="clear" w:color="auto" w:fill="CCEEFF"/>
          </w:tcPr>
          <w:p>
            <w:pPr>
              <w:jc w:val="right"/>
              <w:ind w:right="133"/>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20,249</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the total amount of interest, original issue discount, fees and dividends credited to income for the portion of the year an investment was included in Affiliate or Control categories, respectively.</w:t>
      </w:r>
    </w:p>
    <w:p>
      <w:pPr>
        <w:spacing w:after="0" w:line="7" w:lineRule="exact"/>
        <w:rPr>
          <w:rFonts w:ascii="Arial" w:cs="Arial" w:eastAsia="Arial" w:hAnsi="Arial"/>
          <w:sz w:val="12"/>
          <w:szCs w:val="12"/>
          <w:color w:val="auto"/>
        </w:rPr>
      </w:pPr>
    </w:p>
    <w:p>
      <w:pPr>
        <w:ind w:left="340" w:hanging="332"/>
        <w:spacing w:after="0" w:line="216"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spacing w:after="0" w:line="1" w:lineRule="exact"/>
        <w:rPr>
          <w:rFonts w:ascii="Arial" w:cs="Arial" w:eastAsia="Arial" w:hAnsi="Arial"/>
          <w:sz w:val="13"/>
          <w:szCs w:val="13"/>
          <w:color w:val="auto"/>
        </w:rPr>
      </w:pPr>
    </w:p>
    <w:p>
      <w:pPr>
        <w:ind w:left="340" w:hanging="332"/>
        <w:spacing w:after="0" w:line="234"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Gross reductions include decreases in the cost basis of investments resulting from principal repayments and sales. Gross reductions also includes transfers out of Affiliate or Control classification.</w:t>
      </w:r>
    </w:p>
    <w:p>
      <w:pPr>
        <w:ind w:left="340" w:hanging="332"/>
        <w:spacing w:after="0" w:line="216"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All debt investments are income producing. Equity and warrant investments are non-income producing, unless otherwise noted.</w:t>
      </w:r>
    </w:p>
    <w:p>
      <w:pPr>
        <w:ind w:left="340" w:hanging="332"/>
        <w:spacing w:after="0" w:line="216"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equity investment is income producing, based on rate disclosed.</w:t>
      </w:r>
    </w:p>
    <w:p>
      <w:pPr>
        <w:ind w:left="340" w:hanging="332"/>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Non-accrual investment.</w:t>
      </w:r>
    </w:p>
    <w:p>
      <w:pPr>
        <w:sectPr>
          <w:pgSz w:w="11900" w:h="16838" w:orient="portrait"/>
          <w:cols w:equalWidth="0" w:num="1">
            <w:col w:w="11420"/>
          </w:cols>
          <w:pgMar w:left="240" w:top="121" w:right="239" w:bottom="771"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771" w:gutter="0" w:footer="0" w:header="0"/>
          <w:type w:val="continuous"/>
        </w:sectPr>
      </w:pPr>
    </w:p>
    <w:bookmarkStart w:id="37" w:name="page38"/>
    <w:bookmarkEnd w:id="37"/>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year ended December 31, 2018, the Company had investments in portfolio companies designated as affiliates under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ectPr>
          <w:pgSz w:w="11900" w:h="16900" w:orient="portrait"/>
          <w:cols w:equalWidth="0" w:num="1">
            <w:col w:w="11420"/>
          </w:cols>
          <w:pgMar w:left="240" w:top="90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00"/>
        <w:spacing w:after="0"/>
        <w:rPr>
          <w:sz w:val="20"/>
          <w:szCs w:val="20"/>
          <w:color w:val="auto"/>
        </w:rPr>
      </w:pPr>
      <w:r>
        <w:rPr>
          <w:rFonts w:ascii="Arial" w:cs="Arial" w:eastAsia="Arial" w:hAnsi="Arial"/>
          <w:sz w:val="11"/>
          <w:szCs w:val="11"/>
          <w:b w:val="1"/>
          <w:bCs w:val="1"/>
          <w:color w:val="auto"/>
        </w:rPr>
        <w:t>Principal</w:t>
      </w:r>
    </w:p>
    <w:p>
      <w:pPr>
        <w:ind w:right="40" w:firstLine="322"/>
        <w:spacing w:after="0" w:line="203" w:lineRule="auto"/>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20"/>
          <w:szCs w:val="20"/>
          <w:b w:val="1"/>
          <w:bCs w:val="1"/>
          <w:color w:val="auto"/>
          <w:vertAlign w:val="superscript"/>
        </w:rPr>
        <w:t>(4)</w:t>
      </w:r>
      <w:r>
        <w:rPr>
          <w:rFonts w:ascii="Arial" w:cs="Arial" w:eastAsia="Arial" w:hAnsi="Arial"/>
          <w:sz w:val="13"/>
          <w:szCs w:val="13"/>
          <w:b w:val="1"/>
          <w:bCs w:val="1"/>
          <w:color w:val="auto"/>
        </w:rPr>
        <w:t xml:space="preserve"> Type of Investment Amount </w:t>
      </w:r>
      <w:r>
        <w:rPr>
          <w:rFonts w:ascii="Arial" w:cs="Arial" w:eastAsia="Arial" w:hAnsi="Arial"/>
          <w:sz w:val="13"/>
          <w:szCs w:val="13"/>
          <w:b w:val="1"/>
          <w:bCs w:val="1"/>
          <w:i w:val="1"/>
          <w:iCs w:val="1"/>
          <w:u w:val="single" w:color="auto"/>
          <w:color w:val="auto"/>
        </w:rPr>
        <w:t>Affiliate investments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Amount of</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or Dividends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Unrealized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35"/>
        </w:trPr>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Credited</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2017</w:t>
            </w:r>
          </w:p>
        </w:tc>
        <w:tc>
          <w:tcPr>
            <w:tcW w:w="134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w w:val="90"/>
              </w:rPr>
              <w:t xml:space="preserve">Gross Additions </w:t>
            </w:r>
            <w:r>
              <w:rPr>
                <w:rFonts w:ascii="Arial" w:cs="Arial" w:eastAsia="Arial" w:hAnsi="Arial"/>
                <w:sz w:val="20"/>
                <w:szCs w:val="20"/>
                <w:b w:val="1"/>
                <w:bCs w:val="1"/>
                <w:color w:val="auto"/>
                <w:w w:val="90"/>
                <w:vertAlign w:val="superscript"/>
              </w:rPr>
              <w:t>(2)</w:t>
            </w:r>
          </w:p>
        </w:tc>
        <w:tc>
          <w:tcPr>
            <w:tcW w:w="14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w w:val="98"/>
              </w:rPr>
              <w:t xml:space="preserve">Gross Reductions </w:t>
            </w:r>
            <w:r>
              <w:rPr>
                <w:rFonts w:ascii="Arial" w:cs="Arial" w:eastAsia="Arial" w:hAnsi="Arial"/>
                <w:sz w:val="20"/>
                <w:szCs w:val="20"/>
                <w:b w:val="1"/>
                <w:bCs w:val="1"/>
                <w:color w:val="auto"/>
                <w:w w:val="98"/>
                <w:vertAlign w:val="superscript"/>
              </w:rPr>
              <w:t>(3)</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Realized</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2018</w:t>
            </w:r>
          </w:p>
        </w:tc>
        <w:tc>
          <w:tcPr>
            <w:tcW w:w="0" w:type="dxa"/>
            <w:vAlign w:val="bottom"/>
          </w:tcPr>
          <w:p>
            <w:pPr>
              <w:spacing w:after="0"/>
              <w:rPr>
                <w:sz w:val="1"/>
                <w:szCs w:val="1"/>
                <w:color w:val="auto"/>
              </w:rPr>
            </w:pPr>
          </w:p>
        </w:tc>
      </w:tr>
      <w:tr>
        <w:trPr>
          <w:trHeight w:val="162"/>
        </w:trPr>
        <w:tc>
          <w:tcPr>
            <w:tcW w:w="7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3"/>
              </w:rPr>
              <w:t xml:space="preserve">to Income </w:t>
            </w:r>
            <w:r>
              <w:rPr>
                <w:rFonts w:ascii="Arial" w:cs="Arial" w:eastAsia="Arial" w:hAnsi="Arial"/>
                <w:sz w:val="18"/>
                <w:szCs w:val="18"/>
                <w:b w:val="1"/>
                <w:bCs w:val="1"/>
                <w:color w:val="auto"/>
                <w:w w:val="93"/>
                <w:vertAlign w:val="superscript"/>
              </w:rPr>
              <w:t>(1)</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Fair Value</w:t>
            </w:r>
          </w:p>
        </w:tc>
        <w:tc>
          <w:tcPr>
            <w:tcW w:w="1340" w:type="dxa"/>
            <w:vAlign w:val="bottom"/>
            <w:gridSpan w:val="3"/>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Gain/(Loss)</w:t>
            </w: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(Depreciation)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-8255</wp:posOffset>
            </wp:positionV>
            <wp:extent cx="7246620" cy="946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41" w:lineRule="exact"/>
        <w:rPr>
          <w:sz w:val="20"/>
          <w:szCs w:val="20"/>
          <w:color w:val="auto"/>
        </w:rPr>
      </w:pPr>
    </w:p>
    <w:p>
      <w:pPr>
        <w:sectPr>
          <w:pgSz w:w="11900" w:h="16900" w:orient="portrait"/>
          <w:cols w:equalWidth="0" w:num="2">
            <w:col w:w="3800" w:space="300"/>
            <w:col w:w="7320"/>
          </w:cols>
          <w:pgMar w:left="240" w:top="908"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AAE Acquisition, LLC</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Second Lien Debt (6.0%</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Due 8/24/19)</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479</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15,603</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(16,165)</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242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00" w:type="dxa"/>
            <w:vAlign w:val="bottom"/>
            <w:gridSpan w:val="4"/>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AAE Acquisition,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4"/>
              </w:rPr>
              <w:t>Membership Units (2.2% fully</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00" w:type="dxa"/>
            <w:vAlign w:val="bottom"/>
            <w:gridSpan w:val="4"/>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AAE Acquisition, LLC</w:t>
            </w: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3"/>
              </w:rPr>
              <w:t>Warrants (37.8% fully diluted)</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479</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15,603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(16,182</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8"/>
              </w:rPr>
              <w:t>Burgaflex Holdings,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First Lien Debt (12.0% Cash,</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1.0% PIK, Due 3/23/21)</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14,801</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14,801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(417)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14,384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00" w:type="dxa"/>
            <w:vAlign w:val="bottom"/>
            <w:gridSpan w:val="4"/>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8"/>
              </w:rPr>
              <w:t>Burgaflex Holdings,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Subordinated Debt (14.0%</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Due 8/9/19)</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116</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(3,000)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00" w:type="dxa"/>
            <w:vAlign w:val="bottom"/>
            <w:gridSpan w:val="4"/>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8"/>
              </w:rPr>
              <w:t>Burgaflex Holdings,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Subordinated Debt (12.0%</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Due 8/9/19)</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199</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(5,828)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00" w:type="dxa"/>
            <w:vAlign w:val="bottom"/>
            <w:gridSpan w:val="4"/>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8"/>
              </w:rPr>
              <w:t>Burgaflex Holdings,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Common Stock Class A</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(1,253,198 shares)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(457)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00" w:type="dxa"/>
            <w:vAlign w:val="bottom"/>
            <w:gridSpan w:val="4"/>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8"/>
              </w:rPr>
              <w:t>Burgaflex Holdings,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Common Stock Class B</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(900,000 shares)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1,705</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9,285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15,101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(8,828</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(1,174</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5"/>
              </w:rPr>
              <w:t>Chef'n Corporation</w:t>
            </w:r>
          </w:p>
        </w:tc>
        <w:tc>
          <w:tcPr>
            <w:tcW w:w="34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Series A Preferred Stock</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(1,000,000 shares)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(644)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(644</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8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0"/>
              </w:rPr>
              <w:t>City Gear, LLC</w:t>
            </w:r>
          </w:p>
        </w:tc>
        <w:tc>
          <w:tcPr>
            <w:tcW w:w="2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Subordinated Debt (13.0%</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Due 10/20/19)</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918</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(8,231)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90"/>
              </w:rPr>
              <w:t>City Gear, LLC</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97"/>
              </w:rPr>
              <w:t>(5)</w:t>
            </w:r>
          </w:p>
        </w:tc>
        <w:tc>
          <w:tcPr>
            <w:tcW w:w="34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8"/>
              </w:rPr>
              <w:t>Preferred Membership Units</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740" w:type="dxa"/>
            <w:vAlign w:val="bottom"/>
            <w:vMerge w:val="restart"/>
            <w:shd w:val="clear" w:color="auto" w:fill="CCEEFF"/>
          </w:tcPr>
          <w:p>
            <w:pPr>
              <w:ind w:left="120"/>
              <w:spacing w:after="0" w:line="135" w:lineRule="exact"/>
              <w:rPr>
                <w:sz w:val="20"/>
                <w:szCs w:val="20"/>
                <w:color w:val="auto"/>
              </w:rPr>
            </w:pPr>
            <w:r>
              <w:rPr>
                <w:rFonts w:ascii="Arial" w:cs="Arial" w:eastAsia="Arial" w:hAnsi="Arial"/>
                <w:sz w:val="13"/>
                <w:szCs w:val="13"/>
                <w:color w:val="auto"/>
              </w:rPr>
              <w:t>(2.8% fully diluted, 9.0%</w:t>
            </w:r>
          </w:p>
        </w:tc>
        <w:tc>
          <w:tcPr>
            <w:tcW w:w="2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74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Dividend)</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117</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(1,269)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80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8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0"/>
              </w:rPr>
              <w:t>City Gear, LLC</w:t>
            </w:r>
          </w:p>
        </w:tc>
        <w:tc>
          <w:tcPr>
            <w:tcW w:w="2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 Warrants</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(11.4% fully diluted)</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(1,908)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(5,064)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1,035</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17,748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(11,408</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1,908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(5,064</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Subordinated Debt (15.8%</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Cash (3 month LIBOR +</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13.0%, 0.5% Floor), Due</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4/29/20)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16,500</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15,496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1,004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00" w:type="dxa"/>
            <w:vAlign w:val="bottom"/>
            <w:gridSpan w:val="4"/>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Units (22.9%</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ownership)</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4,733</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(1,470)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14,347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1,168</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20,229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(1,470</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15,351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34,110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GA Communications,</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Series A-1 Preferred Stock</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5"/>
              </w:rPr>
              <w:t>Inc.</w:t>
            </w:r>
          </w:p>
        </w:tc>
        <w:tc>
          <w:tcPr>
            <w:tcW w:w="600" w:type="dxa"/>
            <w:vAlign w:val="bottom"/>
            <w:shd w:val="clear" w:color="auto" w:fill="CCEEFF"/>
          </w:tcPr>
          <w:p>
            <w:pPr>
              <w:jc w:val="right"/>
              <w:ind w:right="408"/>
              <w:spacing w:after="0"/>
              <w:rPr>
                <w:sz w:val="20"/>
                <w:szCs w:val="20"/>
                <w:color w:val="auto"/>
              </w:rPr>
            </w:pPr>
            <w:r>
              <w:rPr>
                <w:rFonts w:ascii="Arial" w:cs="Arial" w:eastAsia="Arial" w:hAnsi="Arial"/>
                <w:sz w:val="10"/>
                <w:szCs w:val="10"/>
                <w:color w:val="auto"/>
                <w:w w:val="97"/>
              </w:rPr>
              <w:t>(5)</w:t>
            </w: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(1,998 shares, 8.0% PIK</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74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Dividend)</w:t>
            </w:r>
          </w:p>
        </w:tc>
        <w:tc>
          <w:tcPr>
            <w:tcW w:w="2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5"/>
                <w:szCs w:val="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3,225</w:t>
            </w: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40" w:type="dxa"/>
            <w:vAlign w:val="bottom"/>
            <w:gridSpan w:val="2"/>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60" w:type="dxa"/>
            <w:vAlign w:val="bottom"/>
            <w:gridSpan w:val="2"/>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3,482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00" w:type="dxa"/>
            <w:vAlign w:val="bottom"/>
            <w:gridSpan w:val="4"/>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GA Communications,</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Series B-1 Common Stock</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w w:val="85"/>
              </w:rPr>
              <w:t>Inc.</w:t>
            </w: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(200,000 shares)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(607)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5,157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(626</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4,807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J&amp;J Produce Holdings,</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Subordinated Debt (13.0%</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w w:val="85"/>
              </w:rPr>
              <w:t>Inc.</w:t>
            </w: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Due 6/16/19)</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6,406</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805</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6,210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00" w:type="dxa"/>
            <w:vAlign w:val="bottom"/>
            <w:gridSpan w:val="4"/>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J&amp;J Produce Holdings,</w:t>
            </w:r>
          </w:p>
        </w:tc>
        <w:tc>
          <w:tcPr>
            <w:tcW w:w="1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w w:val="85"/>
              </w:rPr>
              <w:t>Inc.</w:t>
            </w: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0"/>
              </w:rPr>
              <w:t>Common Stock (8,182 shares)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00" w:type="dxa"/>
            <w:vAlign w:val="bottom"/>
            <w:gridSpan w:val="4"/>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J&amp;J Produce Holdings,</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Common Stock Warrants</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w w:val="85"/>
              </w:rPr>
              <w:t>Inc.</w:t>
            </w: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(6,369 shares)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805</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6,170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6,210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7"/>
              </w:rPr>
              <w:t>LJS Partners, LLC</w:t>
            </w:r>
          </w:p>
        </w:tc>
        <w:tc>
          <w:tcPr>
            <w:tcW w:w="34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Common Stock (1,587,848</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(4,925)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7,650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(4,925</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2"/>
              </w:rPr>
              <w:t>MJC Holdings, LLC</w:t>
            </w:r>
          </w:p>
        </w:tc>
        <w:tc>
          <w:tcPr>
            <w:tcW w:w="34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Series A Preferred Units</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(2,000,000 units)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4"/>
              </w:rPr>
              <w:t>MMI Holdings, LLC</w:t>
            </w:r>
          </w:p>
        </w:tc>
        <w:tc>
          <w:tcPr>
            <w:tcW w:w="34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First Lien Debt (12.0% Cash,</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Due 1/31/20)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2,600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317</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gridSpan w:val="3"/>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4"/>
              </w:rPr>
              <w:t>MMI Holdings, LLC</w:t>
            </w:r>
          </w:p>
        </w:tc>
        <w:tc>
          <w:tcPr>
            <w:tcW w:w="34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Subordinated Debt (6.0%</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Due 1/31/20)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400</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w w:val="94"/>
              </w:rPr>
              <w:t>MMI Holdings, LLC</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97"/>
              </w:rPr>
              <w:t>(5)</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8"/>
              </w:rPr>
              <w:t>Preferred Units (1,000 units,</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60" w:type="dxa"/>
            <w:vAlign w:val="bottom"/>
            <w:gridSpan w:val="3"/>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74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6.0% PIK Dividend)</w:t>
            </w:r>
          </w:p>
        </w:tc>
        <w:tc>
          <w:tcPr>
            <w:tcW w:w="2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5"/>
                <w:szCs w:val="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1,520</w:t>
            </w: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40" w:type="dxa"/>
            <w:vAlign w:val="bottom"/>
            <w:gridSpan w:val="2"/>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60" w:type="dxa"/>
            <w:vAlign w:val="bottom"/>
            <w:gridSpan w:val="2"/>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gridSpan w:val="3"/>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4"/>
              </w:rPr>
              <w:t>MMI Holdings, LLC</w:t>
            </w:r>
          </w:p>
        </w:tc>
        <w:tc>
          <w:tcPr>
            <w:tcW w:w="34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9"/>
              </w:rPr>
              <w:t>Common Membership Units</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(45 units)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341</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4,713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4,797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6"/>
              </w:rPr>
              <w:t>MTI Holdings, LLC</w:t>
            </w:r>
          </w:p>
        </w:tc>
        <w:tc>
          <w:tcPr>
            <w:tcW w:w="34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3"/>
              </w:rPr>
              <w:t>Membership Units (2,000,000</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8" w:right="239" w:bottom="0" w:gutter="0" w:footer="0" w:header="0"/>
          <w:type w:val="continuous"/>
        </w:sectPr>
      </w:pPr>
    </w:p>
    <w:bookmarkStart w:id="38" w:name="page39"/>
    <w:bookmarkEnd w:id="38"/>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5"/>
              </w:rPr>
              <w:t>Sierra Hamilton Holdings</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8"/>
              </w:rPr>
              <w:t>Common Stock (15,068,000</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Corporation</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(1,674)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8,528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(1,674</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Source Capital Penray,</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Units (11.3%</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ownership)</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121</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(101)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121</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STX Healthcare</w:t>
            </w:r>
          </w:p>
        </w:tc>
        <w:tc>
          <w:tcPr>
            <w:tcW w:w="1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Management Services,</w:t>
            </w: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Common Stock (1,200,000</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Inc.</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(108</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US Bath Group,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7"/>
              </w:rPr>
              <w:t>First Lien Debt (11.4% Cash</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(1 month LIBOR + 9.0%,</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1.0% Floor), Due 1/2/23)</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12,750</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(2,250)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12,750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US Bath Group,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Units (500,000</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1,583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1,806</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(2,250</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1,583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14,833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9"/>
              </w:rPr>
              <w:t>U.S. Well Services,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3"/>
              </w:rPr>
              <w:t>First Lien Debt (8.3% Cash (1</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9"/>
              </w:rPr>
              <w:t>month LIBOR + 6.0%, 1.0%</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Floor), Due 2/2/22)</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156</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(2,299)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9"/>
              </w:rPr>
              <w:t>U.S. Well Services,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4"/>
              </w:rPr>
              <w:t>First Lien Debt (13.3% PIK (1</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5"/>
              </w:rPr>
              <w:t>month LIBOR + 11.0%, 1.0%</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Floor), Due 2/2/22)</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567</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(9,925)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9"/>
              </w:rPr>
              <w:t>U.S. Well Services,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Class A Units (5,680,688</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15,004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(6,260)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(8,744)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9"/>
              </w:rPr>
              <w:t>U.S. Well Services,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Class B Units (2,076,298</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(441)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(514)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723</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27,774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(18,925</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(9,258</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V12 Holdings, Inc.</w:t>
            </w: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Subordinated Debt</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(232)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(232</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(154</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74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gridSpan w:val="4"/>
            <w:shd w:val="clear" w:color="auto" w:fill="CCEEFF"/>
          </w:tcPr>
          <w:p>
            <w:pPr>
              <w:spacing w:after="0" w:line="102" w:lineRule="exact"/>
              <w:rPr>
                <w:sz w:val="20"/>
                <w:szCs w:val="20"/>
                <w:color w:val="auto"/>
              </w:rPr>
            </w:pPr>
            <w:r>
              <w:rPr>
                <w:rFonts w:ascii="Arial" w:cs="Arial" w:eastAsia="Arial" w:hAnsi="Arial"/>
                <w:sz w:val="11"/>
                <w:szCs w:val="11"/>
                <w:b w:val="1"/>
                <w:bCs w:val="1"/>
                <w:i w:val="1"/>
                <w:iCs w:val="1"/>
                <w:color w:val="auto"/>
              </w:rPr>
              <w:t>Total Affiliate</w:t>
            </w:r>
          </w:p>
        </w:tc>
        <w:tc>
          <w:tcPr>
            <w:tcW w:w="1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58"/>
              <w:spacing w:after="0" w:line="236" w:lineRule="exact"/>
              <w:rPr>
                <w:sz w:val="20"/>
                <w:szCs w:val="20"/>
                <w:color w:val="auto"/>
              </w:rPr>
            </w:pPr>
            <w:r>
              <w:rPr>
                <w:rFonts w:ascii="Arial" w:cs="Arial" w:eastAsia="Arial" w:hAnsi="Arial"/>
                <w:sz w:val="13"/>
                <w:szCs w:val="13"/>
                <w:color w:val="auto"/>
              </w:rPr>
              <w:t>(60,214</w:t>
            </w:r>
            <w:r>
              <w:rPr>
                <w:rFonts w:ascii="Arial" w:cs="Arial" w:eastAsia="Arial" w:hAnsi="Arial"/>
                <w:sz w:val="25"/>
                <w:szCs w:val="25"/>
                <w:color w:val="auto"/>
                <w:vertAlign w:val="superscript"/>
              </w:rPr>
              <w:t>)</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38"/>
              <w:spacing w:after="0" w:line="236" w:lineRule="exact"/>
              <w:rPr>
                <w:sz w:val="20"/>
                <w:szCs w:val="20"/>
                <w:color w:val="auto"/>
              </w:rPr>
            </w:pPr>
            <w:r>
              <w:rPr>
                <w:rFonts w:ascii="Arial" w:cs="Arial" w:eastAsia="Arial" w:hAnsi="Arial"/>
                <w:sz w:val="13"/>
                <w:szCs w:val="13"/>
                <w:color w:val="auto"/>
              </w:rPr>
              <w:t>(5,982</w:t>
            </w:r>
            <w:r>
              <w:rPr>
                <w:rFonts w:ascii="Arial" w:cs="Arial" w:eastAsia="Arial" w:hAnsi="Arial"/>
                <w:sz w:val="25"/>
                <w:szCs w:val="25"/>
                <w:color w:val="auto"/>
                <w:vertAlign w:val="superscript"/>
              </w:rPr>
              <w:t>)</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i w:val="1"/>
                <w:iCs w:val="1"/>
                <w:color w:val="auto"/>
                <w:w w:val="90"/>
              </w:rPr>
              <w:t>investments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17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CCEEFF"/>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8,183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CCEEFF"/>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103,957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gridSpan w:val="2"/>
            <w:shd w:val="clear" w:color="auto" w:fill="CCEEFF"/>
          </w:tcPr>
          <w:p>
            <w:pPr>
              <w:jc w:val="right"/>
              <w:ind w:right="300"/>
              <w:spacing w:after="0" w:line="115"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CCEEFF"/>
              <w:bottom w:val="single" w:sz="8" w:color="CCEEFF"/>
            </w:tcBorders>
            <w:gridSpan w:val="2"/>
            <w:shd w:val="clear" w:color="auto" w:fill="CCEEFF"/>
          </w:tcPr>
          <w:p>
            <w:pPr>
              <w:jc w:val="right"/>
              <w:ind w:right="100"/>
              <w:spacing w:after="0" w:line="115" w:lineRule="exact"/>
              <w:rPr>
                <w:sz w:val="20"/>
                <w:szCs w:val="20"/>
                <w:color w:val="auto"/>
              </w:rPr>
            </w:pPr>
            <w:r>
              <w:rPr>
                <w:rFonts w:ascii="Arial" w:cs="Arial" w:eastAsia="Arial" w:hAnsi="Arial"/>
                <w:sz w:val="13"/>
                <w:szCs w:val="13"/>
                <w:color w:val="auto"/>
              </w:rPr>
              <w:t>52,258</w:t>
            </w:r>
          </w:p>
        </w:tc>
        <w:tc>
          <w:tcPr>
            <w:tcW w:w="500" w:type="dxa"/>
            <w:vAlign w:val="bottom"/>
            <w:tcBorders>
              <w:top w:val="single" w:sz="8" w:color="CCEEFF"/>
              <w:bottom w:val="single" w:sz="8" w:color="CCEEFF"/>
            </w:tcBorders>
            <w:gridSpan w:val="2"/>
            <w:shd w:val="clear" w:color="auto" w:fill="CCEEFF"/>
          </w:tcPr>
          <w:p>
            <w:pPr>
              <w:jc w:val="right"/>
              <w:ind w:right="320"/>
              <w:spacing w:after="0" w:line="115"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CCEEFF"/>
              <w:bottom w:val="single" w:sz="8" w:color="CCEEFF"/>
            </w:tcBorders>
            <w:gridSpan w:val="2"/>
            <w:vMerge w:val="continue"/>
            <w:shd w:val="clear" w:color="auto" w:fill="CCEEFF"/>
          </w:tcPr>
          <w:p>
            <w:pPr>
              <w:spacing w:after="0"/>
              <w:rPr>
                <w:sz w:val="13"/>
                <w:szCs w:val="13"/>
                <w:color w:val="auto"/>
              </w:rPr>
            </w:pPr>
          </w:p>
        </w:tc>
        <w:tc>
          <w:tcPr>
            <w:tcW w:w="280" w:type="dxa"/>
            <w:vAlign w:val="bottom"/>
            <w:tcBorders>
              <w:top w:val="single" w:sz="8" w:color="CCEEFF"/>
              <w:bottom w:val="single" w:sz="8" w:color="CCEEFF"/>
            </w:tcBorders>
            <w:gridSpan w:val="2"/>
            <w:shd w:val="clear" w:color="auto" w:fill="CCEEFF"/>
          </w:tcPr>
          <w:p>
            <w:pPr>
              <w:jc w:val="right"/>
              <w:ind w:right="140"/>
              <w:spacing w:after="0" w:line="115"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CCEEFF"/>
              <w:bottom w:val="single" w:sz="8" w:color="CCEEFF"/>
            </w:tcBorders>
            <w:gridSpan w:val="2"/>
            <w:shd w:val="clear" w:color="auto" w:fill="CCEEFF"/>
          </w:tcPr>
          <w:p>
            <w:pPr>
              <w:jc w:val="right"/>
              <w:ind w:right="78"/>
              <w:spacing w:after="0" w:line="115" w:lineRule="exact"/>
              <w:rPr>
                <w:sz w:val="20"/>
                <w:szCs w:val="20"/>
                <w:color w:val="auto"/>
              </w:rPr>
            </w:pPr>
            <w:r>
              <w:rPr>
                <w:rFonts w:ascii="Arial" w:cs="Arial" w:eastAsia="Arial" w:hAnsi="Arial"/>
                <w:sz w:val="13"/>
                <w:szCs w:val="13"/>
                <w:color w:val="auto"/>
              </w:rPr>
              <w:t>2,920</w:t>
            </w:r>
          </w:p>
        </w:tc>
        <w:tc>
          <w:tcPr>
            <w:tcW w:w="320" w:type="dxa"/>
            <w:vAlign w:val="bottom"/>
            <w:tcBorders>
              <w:top w:val="single" w:sz="8" w:color="CCEEFF"/>
              <w:bottom w:val="single" w:sz="8" w:color="CCEEFF"/>
            </w:tcBorders>
            <w:gridSpan w:val="2"/>
            <w:shd w:val="clear" w:color="auto" w:fill="CCEEFF"/>
          </w:tcPr>
          <w:p>
            <w:pPr>
              <w:jc w:val="right"/>
              <w:ind w:right="160"/>
              <w:spacing w:after="0" w:line="11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CCEEFF"/>
              <w:bottom w:val="single" w:sz="8" w:color="CCEEFF"/>
            </w:tcBorders>
            <w:gridSpan w:val="2"/>
            <w:vMerge w:val="continue"/>
            <w:shd w:val="clear" w:color="auto" w:fill="CCEEFF"/>
          </w:tcPr>
          <w:p>
            <w:pPr>
              <w:spacing w:after="0"/>
              <w:rPr>
                <w:sz w:val="13"/>
                <w:szCs w:val="13"/>
                <w:color w:val="auto"/>
              </w:rPr>
            </w:pPr>
          </w:p>
        </w:tc>
        <w:tc>
          <w:tcPr>
            <w:tcW w:w="340" w:type="dxa"/>
            <w:vAlign w:val="bottom"/>
            <w:tcBorders>
              <w:top w:val="single" w:sz="8" w:color="CCEEFF"/>
              <w:bottom w:val="single" w:sz="8" w:color="CCEEFF"/>
            </w:tcBorders>
            <w:gridSpan w:val="2"/>
            <w:shd w:val="clear" w:color="auto" w:fill="CCEEFF"/>
          </w:tcPr>
          <w:p>
            <w:pPr>
              <w:jc w:val="right"/>
              <w:ind w:right="180"/>
              <w:spacing w:after="0" w:line="115"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CCEEFF"/>
              <w:bottom w:val="single" w:sz="8" w:color="CCEEFF"/>
            </w:tcBorders>
            <w:gridSpan w:val="2"/>
            <w:shd w:val="clear" w:color="auto" w:fill="CCEEFF"/>
          </w:tcPr>
          <w:p>
            <w:pPr>
              <w:jc w:val="right"/>
              <w:ind w:right="100"/>
              <w:spacing w:after="0" w:line="115" w:lineRule="exact"/>
              <w:rPr>
                <w:sz w:val="20"/>
                <w:szCs w:val="20"/>
                <w:color w:val="auto"/>
              </w:rPr>
            </w:pPr>
            <w:r>
              <w:rPr>
                <w:rFonts w:ascii="Arial" w:cs="Arial" w:eastAsia="Arial" w:hAnsi="Arial"/>
                <w:sz w:val="13"/>
                <w:szCs w:val="13"/>
                <w:color w:val="auto"/>
              </w:rPr>
              <w:t>92,939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b w:val="1"/>
                <w:bCs w:val="1"/>
                <w:i w:val="1"/>
                <w:iCs w:val="1"/>
                <w:color w:val="auto"/>
              </w:rPr>
              <w:t>Control investments</w:t>
            </w:r>
          </w:p>
        </w:tc>
        <w:tc>
          <w:tcPr>
            <w:tcW w:w="1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174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AAE Acquisition,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Second Lien Debt (6.0%</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Due 8/24/19)</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16,327</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488</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16,327</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16,327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AAE Acquisition,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4"/>
              </w:rPr>
              <w:t>Membership Units (2.2% fully</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AAE Acquisition, LLC</w:t>
            </w: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3"/>
              </w:rPr>
              <w:t>Warrants (37.8% fully diluted)</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488</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16,344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16,327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CableOrganizer</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First Lien Debt (10.0% Cash,</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Acquisition, LLC</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Due 5/24/19)</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1,708</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121</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CableOrganizer</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First Lien Debt (12.0% Cash,</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Acquisition, LLC</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4.0% PIK, Due 6/30/19)</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8,889</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12,373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(2,354)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(1,646)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8,889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CableOrganizer</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Preferred Units (4,000,000</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Acquisition, LLC</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2,354</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(2,354)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CableOrganizer</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9"/>
              </w:rPr>
              <w:t>Common Stock (21.3% fully</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Acquisition, LLC</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(118)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CableOrganizer</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Common Stock Warrants</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Acquisition, LLC</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(10.0% fully diluted )</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1,294</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12,551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4,577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(2,354</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(1,646</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(2,531</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10,597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Capitala Senior Loan</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Units (80.0%</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Fund II, LLC</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ownership)</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95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13,695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Subordinated Debt (15.8%</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Cash (3 month LIBOR +</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13.0%, 0.5% Floor), Due</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4/29/20)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16,500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(15,231)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(1,762)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Units (22.9%</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ownership)</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26,449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(4,733)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(21,716)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2,144</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42,949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(19,964</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(23,478</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3"/>
              </w:rPr>
              <w:t>Kelle's Transport Service,</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First Lien Debt (4.0% Cash,</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Due 2/15/20)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(3,300)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3"/>
              </w:rPr>
              <w:t>Kelle's Transport Service,</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First Lien Debt (2.2% Cash,</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Due 2/15/20)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126</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(3,669)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4,109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3"/>
              </w:rPr>
              <w:t>Kelle's Transport Service,</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Units (27.5%</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fully diluted)</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208</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11,560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(13,300</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(3,669</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4,109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Micro Precision,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Subordinated Debt (10.0%</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Due 1/1/19)</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1,862</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186</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Micro Precision,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Subordinated Debt (14.0%</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5"/>
              </w:rPr>
              <w:t>Cash, 4.0% PIK, Due 1/1/19)</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4,325</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601</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4,325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Micro Precision, LLC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8"/>
              </w:rPr>
              <w:t>Series A Preferred Units (47</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1,188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787</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7,645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Navis Holdings, Inc.</w:t>
            </w:r>
          </w:p>
        </w:tc>
        <w:tc>
          <w:tcPr>
            <w:tcW w:w="17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First Lien Debt (15.0% Cash,</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Due 10/30/20)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7,500</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7,500</w:t>
            </w:r>
          </w:p>
        </w:tc>
        <w:tc>
          <w:tcPr>
            <w:tcW w:w="0" w:type="dxa"/>
            <w:vAlign w:val="bottom"/>
          </w:tcPr>
          <w:p>
            <w:pPr>
              <w:spacing w:after="0"/>
              <w:rPr>
                <w:sz w:val="1"/>
                <w:szCs w:val="1"/>
                <w:color w:val="auto"/>
              </w:rPr>
            </w:pPr>
          </w:p>
        </w:tc>
      </w:tr>
    </w:tbl>
    <w:p>
      <w:pPr>
        <w:sectPr>
          <w:pgSz w:w="11900" w:h="16857" w:orient="portrait"/>
          <w:cols w:equalWidth="0" w:num="1">
            <w:col w:w="11420"/>
          </w:cols>
          <w:pgMar w:left="240" w:top="139" w:right="2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4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w w:val="88"/>
              </w:rPr>
              <w:t>Navis Holdings, Inc.</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w w:val="97"/>
              </w:rPr>
              <w:t>(5)</w:t>
            </w: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Class A Preferred Stock</w:t>
            </w: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40" w:type="dxa"/>
            <w:vAlign w:val="bottom"/>
            <w:gridSpan w:val="3"/>
            <w:vMerge w:val="continue"/>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900" w:type="dxa"/>
            <w:vAlign w:val="bottom"/>
            <w:vMerge w:val="restart"/>
            <w:shd w:val="clear" w:color="auto" w:fill="CCEEFF"/>
          </w:tcPr>
          <w:p>
            <w:pPr>
              <w:ind w:left="100"/>
              <w:spacing w:after="0" w:line="135" w:lineRule="exact"/>
              <w:rPr>
                <w:sz w:val="20"/>
                <w:szCs w:val="20"/>
                <w:color w:val="auto"/>
              </w:rPr>
            </w:pPr>
            <w:r>
              <w:rPr>
                <w:rFonts w:ascii="Arial" w:cs="Arial" w:eastAsia="Arial" w:hAnsi="Arial"/>
                <w:sz w:val="13"/>
                <w:szCs w:val="13"/>
                <w:color w:val="auto"/>
              </w:rPr>
              <w:t>(1,000 shares, 10.0% Cash</w:t>
            </w:r>
          </w:p>
        </w:tc>
        <w:tc>
          <w:tcPr>
            <w:tcW w:w="7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900" w:type="dxa"/>
            <w:vAlign w:val="bottom"/>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Dividend)</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88"/>
              </w:rPr>
              <w:t>Navis Holdings, Inc.</w:t>
            </w:r>
          </w:p>
        </w:tc>
        <w:tc>
          <w:tcPr>
            <w:tcW w:w="380" w:type="dxa"/>
            <w:vAlign w:val="bottom"/>
            <w:shd w:val="clear" w:color="auto" w:fill="CCEEFF"/>
          </w:tcPr>
          <w:p>
            <w:pPr>
              <w:spacing w:after="0"/>
              <w:rPr>
                <w:sz w:val="10"/>
                <w:szCs w:val="10"/>
                <w:color w:val="auto"/>
              </w:rPr>
            </w:pPr>
          </w:p>
        </w:tc>
        <w:tc>
          <w:tcPr>
            <w:tcW w:w="19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Common Stock (300,000</w:t>
            </w: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shares)</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(657)</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1,249</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12,505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(657</w:t>
            </w:r>
          </w:p>
        </w:tc>
        <w:tc>
          <w:tcPr>
            <w:tcW w:w="20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12,848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2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4"/>
              </w:rPr>
              <w:t>On-Site Fuel Service, Inc.</w:t>
            </w:r>
          </w:p>
        </w:tc>
        <w:tc>
          <w:tcPr>
            <w:tcW w:w="19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Debt (18.0% Cash,</w:t>
            </w: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Due 12/19/18)</w:t>
            </w:r>
          </w:p>
        </w:tc>
        <w:tc>
          <w:tcPr>
            <w:tcW w:w="7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11,020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(11,020)</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2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4"/>
              </w:rPr>
              <w:t>On-Site Fuel Service, Inc.</w:t>
            </w:r>
          </w:p>
        </w:tc>
        <w:tc>
          <w:tcPr>
            <w:tcW w:w="19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Subordinated Debt (18.0%</w:t>
            </w: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Due 12/19/18)</w:t>
            </w:r>
          </w:p>
        </w:tc>
        <w:tc>
          <w:tcPr>
            <w:tcW w:w="7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11,588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(11,020)</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(568)</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2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4"/>
              </w:rPr>
              <w:t>On-Site Fuel Service, Inc.</w:t>
            </w:r>
          </w:p>
        </w:tc>
        <w:tc>
          <w:tcPr>
            <w:tcW w:w="19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Series A Preferred Stock</w:t>
            </w: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(32,782 shares)</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(3,278)</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3,278</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2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4"/>
              </w:rPr>
              <w:t>On-Site Fuel Service, Inc.</w:t>
            </w:r>
          </w:p>
        </w:tc>
        <w:tc>
          <w:tcPr>
            <w:tcW w:w="19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Series B Preferred Stock</w:t>
            </w: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(23,648 shares)</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(2,364)</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2,364</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2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4"/>
              </w:rPr>
              <w:t>On-Site Fuel Service, Inc.</w:t>
            </w:r>
          </w:p>
        </w:tc>
        <w:tc>
          <w:tcPr>
            <w:tcW w:w="19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Common Stock (33,058</w:t>
            </w: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shares)</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(33)</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33</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11,588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11,020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(11,020</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(16,695</w:t>
            </w:r>
          </w:p>
        </w:tc>
        <w:tc>
          <w:tcPr>
            <w:tcW w:w="20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5,107</w:t>
            </w: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89"/>
              </w:rPr>
              <w:t>Portrait Studio, LLC</w:t>
            </w:r>
          </w:p>
        </w:tc>
        <w:tc>
          <w:tcPr>
            <w:tcW w:w="380" w:type="dxa"/>
            <w:vAlign w:val="bottom"/>
            <w:shd w:val="clear" w:color="auto" w:fill="CCEEFF"/>
          </w:tcPr>
          <w:p>
            <w:pPr>
              <w:spacing w:after="0"/>
              <w:rPr>
                <w:sz w:val="10"/>
                <w:szCs w:val="10"/>
                <w:color w:val="auto"/>
              </w:rPr>
            </w:pPr>
          </w:p>
        </w:tc>
        <w:tc>
          <w:tcPr>
            <w:tcW w:w="19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Debt (9.0% Cash (1</w:t>
            </w: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9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month LIBOR + 7.0%, 1.0%</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9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Floor, 2.0% Ceiling), Due</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12/31/22)</w:t>
            </w:r>
          </w:p>
        </w:tc>
        <w:tc>
          <w:tcPr>
            <w:tcW w:w="7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167</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(4,260)</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89"/>
              </w:rPr>
              <w:t>Portrait Studio, LLC</w:t>
            </w:r>
          </w:p>
        </w:tc>
        <w:tc>
          <w:tcPr>
            <w:tcW w:w="380" w:type="dxa"/>
            <w:vAlign w:val="bottom"/>
            <w:shd w:val="clear" w:color="auto" w:fill="CCEEFF"/>
          </w:tcPr>
          <w:p>
            <w:pPr>
              <w:spacing w:after="0"/>
              <w:rPr>
                <w:sz w:val="10"/>
                <w:szCs w:val="10"/>
                <w:color w:val="auto"/>
              </w:rPr>
            </w:pPr>
          </w:p>
        </w:tc>
        <w:tc>
          <w:tcPr>
            <w:tcW w:w="19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Debt (9.4% Cash (1</w:t>
            </w: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9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month LIBOR + 7.0%, 1.0%</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9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Floor, 5.0% Ceiling), Due</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12/31/22)</w:t>
            </w:r>
          </w:p>
        </w:tc>
        <w:tc>
          <w:tcPr>
            <w:tcW w:w="7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4,500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435</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89"/>
              </w:rPr>
              <w:t>Portrait Studio, LLC</w:t>
            </w:r>
          </w:p>
        </w:tc>
        <w:tc>
          <w:tcPr>
            <w:tcW w:w="380" w:type="dxa"/>
            <w:vAlign w:val="bottom"/>
            <w:shd w:val="clear" w:color="auto" w:fill="CCEEFF"/>
          </w:tcPr>
          <w:p>
            <w:pPr>
              <w:spacing w:after="0"/>
              <w:rPr>
                <w:sz w:val="10"/>
                <w:szCs w:val="10"/>
                <w:color w:val="auto"/>
              </w:rPr>
            </w:pPr>
          </w:p>
        </w:tc>
        <w:tc>
          <w:tcPr>
            <w:tcW w:w="19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Preferred Units (4,350,000</w:t>
            </w: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Units)</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(276)</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89"/>
              </w:rPr>
              <w:t>Portrait Studio, LLC</w:t>
            </w:r>
          </w:p>
        </w:tc>
        <w:tc>
          <w:tcPr>
            <w:tcW w:w="380" w:type="dxa"/>
            <w:vAlign w:val="bottom"/>
            <w:shd w:val="clear" w:color="auto" w:fill="CCEEFF"/>
          </w:tcPr>
          <w:p>
            <w:pPr>
              <w:spacing w:after="0"/>
              <w:rPr>
                <w:sz w:val="10"/>
                <w:szCs w:val="10"/>
                <w:color w:val="auto"/>
              </w:rPr>
            </w:pPr>
          </w:p>
        </w:tc>
        <w:tc>
          <w:tcPr>
            <w:tcW w:w="19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Membership Units (150,000</w:t>
            </w: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Units)</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602</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8,810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(4,260</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w:t>
            </w:r>
          </w:p>
        </w:tc>
        <w:tc>
          <w:tcPr>
            <w:tcW w:w="20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6,674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90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gridSpan w:val="3"/>
            <w:shd w:val="clear" w:color="auto" w:fill="CCEEFF"/>
          </w:tcPr>
          <w:p>
            <w:pPr>
              <w:spacing w:after="0" w:line="102" w:lineRule="exact"/>
              <w:rPr>
                <w:sz w:val="20"/>
                <w:szCs w:val="20"/>
                <w:color w:val="auto"/>
              </w:rPr>
            </w:pPr>
            <w:r>
              <w:rPr>
                <w:rFonts w:ascii="Arial" w:cs="Arial" w:eastAsia="Arial" w:hAnsi="Arial"/>
                <w:sz w:val="11"/>
                <w:szCs w:val="11"/>
                <w:b w:val="1"/>
                <w:bCs w:val="1"/>
                <w:i w:val="1"/>
                <w:iCs w:val="1"/>
                <w:color w:val="auto"/>
              </w:rPr>
              <w:t>Total Control</w:t>
            </w:r>
          </w:p>
        </w:tc>
        <w:tc>
          <w:tcPr>
            <w:tcW w:w="38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100" w:type="dxa"/>
            <w:vAlign w:val="bottom"/>
            <w:gridSpan w:val="3"/>
            <w:vMerge w:val="restart"/>
            <w:shd w:val="clear" w:color="auto" w:fill="CCEEFF"/>
          </w:tcPr>
          <w:p>
            <w:pPr>
              <w:jc w:val="right"/>
              <w:ind w:right="120"/>
              <w:spacing w:after="0" w:line="236" w:lineRule="exact"/>
              <w:rPr>
                <w:sz w:val="20"/>
                <w:szCs w:val="20"/>
                <w:color w:val="auto"/>
              </w:rPr>
            </w:pPr>
            <w:r>
              <w:rPr>
                <w:rFonts w:ascii="Arial" w:cs="Arial" w:eastAsia="Arial" w:hAnsi="Arial"/>
                <w:sz w:val="13"/>
                <w:szCs w:val="13"/>
                <w:color w:val="auto"/>
              </w:rPr>
              <w:t>(50,898</w:t>
            </w: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940" w:type="dxa"/>
            <w:vAlign w:val="bottom"/>
            <w:gridSpan w:val="3"/>
            <w:vMerge w:val="restart"/>
            <w:shd w:val="clear" w:color="auto" w:fill="CCEEFF"/>
          </w:tcPr>
          <w:p>
            <w:pPr>
              <w:jc w:val="right"/>
              <w:ind w:right="160"/>
              <w:spacing w:after="0" w:line="236" w:lineRule="exact"/>
              <w:rPr>
                <w:sz w:val="20"/>
                <w:szCs w:val="20"/>
                <w:color w:val="auto"/>
              </w:rPr>
            </w:pPr>
            <w:r>
              <w:rPr>
                <w:rFonts w:ascii="Arial" w:cs="Arial" w:eastAsia="Arial" w:hAnsi="Arial"/>
                <w:sz w:val="13"/>
                <w:szCs w:val="13"/>
                <w:color w:val="auto"/>
              </w:rPr>
              <w:t>(22,010</w:t>
            </w: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1020" w:type="dxa"/>
            <w:vAlign w:val="bottom"/>
            <w:gridSpan w:val="3"/>
            <w:vMerge w:val="restart"/>
            <w:shd w:val="clear" w:color="auto" w:fill="CCEEFF"/>
          </w:tcPr>
          <w:p>
            <w:pPr>
              <w:jc w:val="right"/>
              <w:ind w:right="180"/>
              <w:spacing w:after="0" w:line="236" w:lineRule="exact"/>
              <w:rPr>
                <w:sz w:val="20"/>
                <w:szCs w:val="20"/>
                <w:color w:val="auto"/>
              </w:rPr>
            </w:pPr>
            <w:r>
              <w:rPr>
                <w:rFonts w:ascii="Arial" w:cs="Arial" w:eastAsia="Arial" w:hAnsi="Arial"/>
                <w:sz w:val="13"/>
                <w:szCs w:val="13"/>
                <w:color w:val="auto"/>
              </w:rPr>
              <w:t>(16,460</w:t>
            </w: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i w:val="1"/>
                <w:iCs w:val="1"/>
                <w:color w:val="auto"/>
                <w:w w:val="90"/>
              </w:rPr>
              <w:t>investments</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190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CCEEFF"/>
              <w:bottom w:val="single" w:sz="8" w:color="CCEEFF"/>
            </w:tcBorders>
            <w:gridSpan w:val="2"/>
            <w:shd w:val="clear" w:color="auto" w:fill="CCEEFF"/>
          </w:tcPr>
          <w:p>
            <w:pPr>
              <w:jc w:val="right"/>
              <w:ind w:right="220"/>
              <w:spacing w:after="0" w:line="115"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CCEEFF"/>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6,802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CCEEFF"/>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107,608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gridSpan w:val="2"/>
            <w:shd w:val="clear" w:color="auto" w:fill="CCEEFF"/>
          </w:tcPr>
          <w:p>
            <w:pPr>
              <w:jc w:val="right"/>
              <w:ind w:right="300"/>
              <w:spacing w:after="0" w:line="115"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CCEEFF"/>
              <w:bottom w:val="single" w:sz="8" w:color="CCEEFF"/>
            </w:tcBorders>
            <w:gridSpan w:val="2"/>
            <w:shd w:val="clear" w:color="auto" w:fill="CCEEFF"/>
          </w:tcPr>
          <w:p>
            <w:pPr>
              <w:jc w:val="right"/>
              <w:ind w:right="100"/>
              <w:spacing w:after="0" w:line="115" w:lineRule="exact"/>
              <w:rPr>
                <w:sz w:val="20"/>
                <w:szCs w:val="20"/>
                <w:color w:val="auto"/>
              </w:rPr>
            </w:pPr>
            <w:r>
              <w:rPr>
                <w:rFonts w:ascii="Arial" w:cs="Arial" w:eastAsia="Arial" w:hAnsi="Arial"/>
                <w:sz w:val="13"/>
                <w:szCs w:val="13"/>
                <w:color w:val="auto"/>
              </w:rPr>
              <w:t>50,905</w:t>
            </w:r>
          </w:p>
        </w:tc>
        <w:tc>
          <w:tcPr>
            <w:tcW w:w="500" w:type="dxa"/>
            <w:vAlign w:val="bottom"/>
            <w:tcBorders>
              <w:top w:val="single" w:sz="8" w:color="CCEEFF"/>
              <w:bottom w:val="single" w:sz="8" w:color="CCEEFF"/>
            </w:tcBorders>
            <w:gridSpan w:val="2"/>
            <w:shd w:val="clear" w:color="auto" w:fill="CCEEFF"/>
          </w:tcPr>
          <w:p>
            <w:pPr>
              <w:jc w:val="right"/>
              <w:ind w:right="320"/>
              <w:spacing w:after="0" w:line="115" w:lineRule="exact"/>
              <w:rPr>
                <w:sz w:val="20"/>
                <w:szCs w:val="20"/>
                <w:color w:val="auto"/>
              </w:rPr>
            </w:pPr>
            <w:r>
              <w:rPr>
                <w:rFonts w:ascii="Arial" w:cs="Arial" w:eastAsia="Arial" w:hAnsi="Arial"/>
                <w:sz w:val="13"/>
                <w:szCs w:val="13"/>
                <w:color w:val="auto"/>
              </w:rPr>
              <w:t>$</w:t>
            </w:r>
          </w:p>
        </w:tc>
        <w:tc>
          <w:tcPr>
            <w:tcW w:w="1100" w:type="dxa"/>
            <w:vAlign w:val="bottom"/>
            <w:tcBorders>
              <w:top w:val="single" w:sz="8" w:color="CCEEFF"/>
              <w:bottom w:val="single" w:sz="8" w:color="CCEEFF"/>
            </w:tcBorders>
            <w:gridSpan w:val="3"/>
            <w:vMerge w:val="continue"/>
            <w:shd w:val="clear" w:color="auto" w:fill="CCEEFF"/>
          </w:tcPr>
          <w:p>
            <w:pPr>
              <w:spacing w:after="0"/>
              <w:rPr>
                <w:sz w:val="13"/>
                <w:szCs w:val="13"/>
                <w:color w:val="auto"/>
              </w:rPr>
            </w:pPr>
          </w:p>
        </w:tc>
        <w:tc>
          <w:tcPr>
            <w:tcW w:w="940" w:type="dxa"/>
            <w:vAlign w:val="bottom"/>
            <w:tcBorders>
              <w:top w:val="single" w:sz="8" w:color="CCEEFF"/>
              <w:bottom w:val="single" w:sz="8" w:color="CCEEFF"/>
            </w:tcBorders>
            <w:gridSpan w:val="3"/>
            <w:vMerge w:val="continue"/>
            <w:shd w:val="clear" w:color="auto" w:fill="CCEEFF"/>
          </w:tcPr>
          <w:p>
            <w:pPr>
              <w:spacing w:after="0"/>
              <w:rPr>
                <w:sz w:val="13"/>
                <w:szCs w:val="13"/>
                <w:color w:val="auto"/>
              </w:rPr>
            </w:pPr>
          </w:p>
        </w:tc>
        <w:tc>
          <w:tcPr>
            <w:tcW w:w="1020" w:type="dxa"/>
            <w:vAlign w:val="bottom"/>
            <w:tcBorders>
              <w:top w:val="single" w:sz="8" w:color="CCEEFF"/>
              <w:bottom w:val="single" w:sz="8" w:color="CCEEFF"/>
            </w:tcBorders>
            <w:gridSpan w:val="3"/>
            <w:vMerge w:val="continue"/>
            <w:shd w:val="clear" w:color="auto" w:fill="CCEEFF"/>
          </w:tcPr>
          <w:p>
            <w:pPr>
              <w:spacing w:after="0"/>
              <w:rPr>
                <w:sz w:val="13"/>
                <w:szCs w:val="13"/>
                <w:color w:val="auto"/>
              </w:rPr>
            </w:pPr>
          </w:p>
        </w:tc>
        <w:tc>
          <w:tcPr>
            <w:tcW w:w="640" w:type="dxa"/>
            <w:vAlign w:val="bottom"/>
            <w:tcBorders>
              <w:top w:val="single" w:sz="8" w:color="CCEEFF"/>
              <w:bottom w:val="single" w:sz="8" w:color="CCEEFF"/>
            </w:tcBorders>
            <w:gridSpan w:val="2"/>
            <w:shd w:val="clear" w:color="auto" w:fill="CCEEFF"/>
          </w:tcPr>
          <w:p>
            <w:pPr>
              <w:jc w:val="right"/>
              <w:ind w:right="100"/>
              <w:spacing w:after="0" w:line="115" w:lineRule="exact"/>
              <w:rPr>
                <w:sz w:val="20"/>
                <w:szCs w:val="20"/>
                <w:color w:val="auto"/>
              </w:rPr>
            </w:pPr>
            <w:r>
              <w:rPr>
                <w:rFonts w:ascii="Arial" w:cs="Arial" w:eastAsia="Arial" w:hAnsi="Arial"/>
                <w:sz w:val="13"/>
                <w:szCs w:val="13"/>
                <w:color w:val="auto"/>
              </w:rPr>
              <w:t>69,145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the total amount of interest, original issue discount, fees and dividends credited to income for the portion of the year an investment was included in Affiliate or Control categories, respectively.</w:t>
      </w:r>
    </w:p>
    <w:p>
      <w:pPr>
        <w:spacing w:after="0" w:line="7" w:lineRule="exact"/>
        <w:rPr>
          <w:rFonts w:ascii="Arial" w:cs="Arial" w:eastAsia="Arial" w:hAnsi="Arial"/>
          <w:sz w:val="12"/>
          <w:szCs w:val="12"/>
          <w:color w:val="auto"/>
        </w:rPr>
      </w:pPr>
    </w:p>
    <w:p>
      <w:pPr>
        <w:ind w:left="340" w:hanging="332"/>
        <w:spacing w:after="0" w:line="216"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spacing w:after="0" w:line="1" w:lineRule="exact"/>
        <w:rPr>
          <w:rFonts w:ascii="Arial" w:cs="Arial" w:eastAsia="Arial" w:hAnsi="Arial"/>
          <w:sz w:val="13"/>
          <w:szCs w:val="13"/>
          <w:color w:val="auto"/>
        </w:rPr>
      </w:pPr>
    </w:p>
    <w:p>
      <w:pPr>
        <w:ind w:left="340" w:hanging="332"/>
        <w:spacing w:after="0" w:line="234"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Gross reductions include decreases in the cost basis of investments resulting from principal repayments and sales. Gross reductions also includes transfers out of Affiliate or Control classification.</w:t>
      </w:r>
    </w:p>
    <w:p>
      <w:pPr>
        <w:ind w:left="340" w:hanging="332"/>
        <w:spacing w:after="0" w:line="216"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All debt investments are income producing. Equity and warrant investments are non-income producing, unless otherwise noted.</w:t>
      </w: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equity investment is income producing, based on rate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6.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non-interested directors. The Investment Advisory Agreement was most recently re-approved by the Board, including a majority of our non-interested directors, at an in-person meeting on August 1, 2019.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89" w:lineRule="exact"/>
        <w:rPr>
          <w:sz w:val="20"/>
          <w:szCs w:val="20"/>
          <w:color w:val="auto"/>
        </w:rPr>
      </w:pPr>
    </w:p>
    <w:p>
      <w:pPr>
        <w:ind w:left="760" w:hanging="104"/>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248" w:lineRule="exact"/>
        <w:rPr>
          <w:rFonts w:ascii="Arial" w:cs="Arial" w:eastAsia="Arial" w:hAnsi="Arial"/>
          <w:sz w:val="16"/>
          <w:szCs w:val="16"/>
          <w:color w:val="auto"/>
        </w:rPr>
      </w:pPr>
    </w:p>
    <w:p>
      <w:pPr>
        <w:ind w:firstLine="656"/>
        <w:spacing w:after="0" w:line="277" w:lineRule="auto"/>
        <w:tabs>
          <w:tab w:leader="none" w:pos="7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760" w:hanging="10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169" w:lineRule="exact"/>
        <w:rPr>
          <w:sz w:val="20"/>
          <w:szCs w:val="20"/>
          <w:color w:val="auto"/>
        </w:rPr>
      </w:pPr>
    </w:p>
    <w:p>
      <w:pPr>
        <w:ind w:left="760" w:hanging="10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225" w:lineRule="exact"/>
        <w:rPr>
          <w:rFonts w:ascii="Arial" w:cs="Arial" w:eastAsia="Arial" w:hAnsi="Arial"/>
          <w:sz w:val="18"/>
          <w:szCs w:val="18"/>
          <w:color w:val="auto"/>
        </w:rPr>
      </w:pPr>
    </w:p>
    <w:p>
      <w:pPr>
        <w:jc w:val="both"/>
        <w:ind w:firstLine="656"/>
        <w:spacing w:after="0" w:line="279" w:lineRule="auto"/>
        <w:tabs>
          <w:tab w:leader="none" w:pos="778" w:val="left"/>
        </w:tabs>
        <w:numPr>
          <w:ilvl w:val="0"/>
          <w:numId w:val="15"/>
        </w:numPr>
        <w:rPr>
          <w:rFonts w:ascii="Arial" w:cs="Arial" w:eastAsia="Arial" w:hAnsi="Arial"/>
          <w:sz w:val="17"/>
          <w:szCs w:val="17"/>
          <w:color w:val="auto"/>
        </w:rPr>
      </w:pPr>
      <w:r>
        <w:rPr>
          <w:rFonts w:ascii="Arial" w:cs="Arial" w:eastAsia="Arial" w:hAnsi="Arial"/>
          <w:sz w:val="17"/>
          <w:szCs w:val="17"/>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171" w:lineRule="exact"/>
        <w:rPr>
          <w:rFonts w:ascii="Arial" w:cs="Arial" w:eastAsia="Arial" w:hAnsi="Arial"/>
          <w:sz w:val="17"/>
          <w:szCs w:val="17"/>
          <w:color w:val="auto"/>
        </w:rPr>
      </w:pPr>
    </w:p>
    <w:p>
      <w:pPr>
        <w:jc w:val="both"/>
        <w:ind w:firstLine="656"/>
        <w:spacing w:after="0" w:line="264" w:lineRule="auto"/>
        <w:tabs>
          <w:tab w:leader="none" w:pos="7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896" w:gutter="0" w:footer="0" w:header="0"/>
        </w:sectPr>
      </w:pPr>
    </w:p>
    <w:bookmarkStart w:id="41" w:name="page42"/>
    <w:bookmarkEnd w:id="41"/>
    <w:p>
      <w:pPr>
        <w:jc w:val="both"/>
        <w:ind w:firstLine="648"/>
        <w:spacing w:after="0" w:line="297" w:lineRule="auto"/>
        <w:rPr>
          <w:sz w:val="20"/>
          <w:szCs w:val="20"/>
          <w:color w:val="auto"/>
        </w:rPr>
      </w:pPr>
      <w:r>
        <w:rPr>
          <w:rFonts w:ascii="Arial" w:cs="Arial" w:eastAsia="Arial" w:hAnsi="Arial"/>
          <w:sz w:val="16"/>
          <w:szCs w:val="16"/>
          <w:color w:val="auto"/>
        </w:rPr>
        <w:t>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September 30, 2019 and December 31, 2018, the Company had incentive fees payable to the Investment Advisor of $3.7 million and $2.5 million, respectively.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September 30, 2019 and 2018, the Company incurred $1.9 million and $2.3 million in base management fees, respectively. The Company incurred $0.0 million and $0.0 million in incentive fees related to pre-incentive fee net investment income for the three months ended September 30, 2019 and 2018, respectively. For the three months ended September 30, 2019 and 2018, $0.0 million and $0.0 million, respectively, in incentive fees were waived by our Investment Advisor.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nine months ended September 30, 2019 and 2018, the Company incurred $6.1 million and $6.9 million in base management fees, respectively. The Company incurred $1.5 million and $0.2 million in incentive fees related to pre-incentive fee net investment income for the nine months ended September 30, 2019 and 2018, respectively. For the nine months ended September 30, 2019 and 2018, $0.3 million and $0.0 million, respectively, in incentive fees were waived by our Investment Advisor.</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August 1, 2019.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and nine months ended September 30, 2019, the Company paid the Administrator $0.4 million and $1.1 million, respectively, for the Company’s allocable portion of the Administrator’s overhead. For the three and nine months ended September 30, 2018, the Company paid the Administrator $0.4 million and $1.1 million, respectively, for the Company’s allocable portion of the Administrator’s overhead.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648"/>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September 30, 2019 and December 31, 2018, the Company had $3.5 million and $2.5 million, respectively, of management and incentive fees payable to the Investment Advisor.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The Administrator also serves as the administrator to FSC II. See Note 4 for a further description of this transaction.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may invest in the same unitranche facility as CSLF II, whereby CSLF II provides the first-out portion of the unitranche facility and the Company and other lenders provide the last-out portion of the unitranche facility. Under a guarantee agreement, the Company may be required to purchase its pro-rata portion of first-out loans from CSLF II upon certain triggering events, including acceleration upon payment default of the underlying borrower. As of September 30, 2019, the Company has evaluated the fair value of the guarantee under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and determined that the fair value of the guarantee is immaterial as the risk of payment default for first-out loans in CSLF II is considered remote. The maximum exposure to credit risk as of September 30, 2019 and December 31, 2018 was $7.3 million and $4.3 million, respectively, and extends to the stated maturity of the underlying loans in CSLF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through its wholly owned subsidiary, uses debenture leverage provided through the SBA to fund a portion of its investment portfolio. As of September 30, 2019 and December 31, 2018, the Company had $150.0 million and $165.7 million, respectively, of SBA-guaranteed debentures outstanding. The Company has issued all SBA-guaranteed debentures that were permitted under each of the Legacy Funds’ respective SBIC licenses (as applicable), and there are no unused SBA debenture commitments remaining. On March 1, 2019, Fund II repaid its outstanding SBA debentures and relinquished its SBIC license. SBA-guaranteed debentures are secured by a lien on all assets of Fund III and were secured by a lien on all assets of Fund II prior to March 1, 2019. As of September 30, 2019, Fund III had total assets of $269.8 million. As of December 31, 2018, Fund II and Fund III had total assets of $332.7 million.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7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following table summarizes the interest expense and annual charges, deferred financing costs, average outstanding balance, and average stated interest and annual charge rate on the SBA-guaranteed debentures for the three and nine months ended September 30, 2019 and 2018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w w:val="99"/>
              </w:rPr>
              <w:t>For the Three Months Ended</w:t>
            </w:r>
          </w:p>
        </w:tc>
        <w:tc>
          <w:tcPr>
            <w:tcW w:w="340" w:type="dxa"/>
            <w:vAlign w:val="bottom"/>
          </w:tcPr>
          <w:p>
            <w:pPr>
              <w:spacing w:after="0"/>
              <w:rPr>
                <w:sz w:val="20"/>
                <w:szCs w:val="20"/>
                <w:color w:val="auto"/>
              </w:rPr>
            </w:pPr>
          </w:p>
        </w:tc>
        <w:tc>
          <w:tcPr>
            <w:tcW w:w="31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September 30, 2019</w:t>
            </w: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8"/>
              </w:rPr>
              <w:t>September 30, 2018</w:t>
            </w:r>
          </w:p>
        </w:tc>
        <w:tc>
          <w:tcPr>
            <w:tcW w:w="260" w:type="dxa"/>
            <w:vAlign w:val="bottom"/>
          </w:tcPr>
          <w:p>
            <w:pPr>
              <w:spacing w:after="0"/>
              <w:rPr>
                <w:sz w:val="19"/>
                <w:szCs w:val="19"/>
                <w:color w:val="auto"/>
              </w:rPr>
            </w:pPr>
          </w:p>
        </w:tc>
        <w:tc>
          <w:tcPr>
            <w:tcW w:w="17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8"/>
              </w:rPr>
              <w:t>September 30, 2018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and annual charges</w:t>
            </w: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559</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5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150,000</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169,069</w:t>
            </w:r>
          </w:p>
        </w:tc>
        <w:tc>
          <w:tcPr>
            <w:tcW w:w="260" w:type="dxa"/>
            <w:vAlign w:val="bottom"/>
            <w:vMerge w:val="continue"/>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153,393</w:t>
            </w:r>
          </w:p>
        </w:tc>
        <w:tc>
          <w:tcPr>
            <w:tcW w:w="2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170,151</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and annual charge rate</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648"/>
        </w:trPr>
        <w:tc>
          <w:tcPr>
            <w:tcW w:w="3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color w:val="auto"/>
        </w:rPr>
        <w:t>As of September 30, 2019 and December 31, 2018, the Company’s issued and outstanding SBA-guaranteed debentures mature as follows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SBA Annual</w:t>
            </w:r>
          </w:p>
        </w:tc>
        <w:tc>
          <w:tcPr>
            <w:tcW w:w="6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Fixed Maturity Date</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Interest Rate</w:t>
            </w: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Charge</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September 1, 2020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3.215%</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15,700</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4.084%</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2.351%</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23"/>
        </w:trPr>
        <w:tc>
          <w:tcPr>
            <w:tcW w:w="54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Notes for the three and nine months ended September 30, 2019 and 2018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91"/>
              </w:rPr>
              <w:t>For the Three Months Ended</w:t>
            </w: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w w:val="93"/>
              </w:rPr>
              <w:t>For the Nine Months Ended</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 2019</w:t>
            </w:r>
          </w:p>
        </w:tc>
        <w:tc>
          <w:tcPr>
            <w:tcW w:w="1560" w:type="dxa"/>
            <w:vAlign w:val="bottom"/>
            <w:gridSpan w:val="3"/>
          </w:tcPr>
          <w:p>
            <w:pPr>
              <w:ind w:left="60"/>
              <w:spacing w:after="0"/>
              <w:rPr>
                <w:sz w:val="20"/>
                <w:szCs w:val="20"/>
                <w:color w:val="auto"/>
              </w:rPr>
            </w:pPr>
            <w:r>
              <w:rPr>
                <w:rFonts w:ascii="Arial" w:cs="Arial" w:eastAsia="Arial" w:hAnsi="Arial"/>
                <w:sz w:val="18"/>
                <w:szCs w:val="18"/>
                <w:b w:val="1"/>
                <w:bCs w:val="1"/>
                <w:color w:val="auto"/>
                <w:w w:val="88"/>
              </w:rPr>
              <w:t>September 30, 2018</w:t>
            </w:r>
          </w:p>
        </w:tc>
        <w:tc>
          <w:tcPr>
            <w:tcW w:w="2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60" w:type="dxa"/>
            <w:vAlign w:val="bottom"/>
            <w:gridSpan w:val="3"/>
          </w:tcPr>
          <w:p>
            <w:pPr>
              <w:ind w:left="60"/>
              <w:spacing w:after="0"/>
              <w:rPr>
                <w:sz w:val="20"/>
                <w:szCs w:val="20"/>
                <w:color w:val="auto"/>
              </w:rPr>
            </w:pPr>
            <w:r>
              <w:rPr>
                <w:rFonts w:ascii="Arial" w:cs="Arial" w:eastAsia="Arial" w:hAnsi="Arial"/>
                <w:sz w:val="18"/>
                <w:szCs w:val="18"/>
                <w:b w:val="1"/>
                <w:bCs w:val="1"/>
                <w:color w:val="auto"/>
                <w:w w:val="88"/>
              </w:rPr>
              <w:t>September 30, 2018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9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w w:val="87"/>
              </w:rPr>
              <w:t>75,000</w:t>
            </w:r>
          </w:p>
        </w:tc>
        <w:tc>
          <w:tcPr>
            <w:tcW w:w="260" w:type="dxa"/>
            <w:vAlign w:val="bottom"/>
            <w:vMerge w:val="continue"/>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2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9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90"/>
              </w:rPr>
              <w:t>75,000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2022 Convertible Notes are convertible, at the holder’s option, into shares of the Company’s common stock at any time on or prior to the close of business on the business day immediately preceding the maturity date. The conversion rate for the 2022 Convertible Notes is initially 1.5913 shares per $25.00 principal amount of 2022 Convertible Notes (equivalent to an initial conversion price of approximately $15.71 per share of common stock). The initial conversion premium is approximately 14.0%.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Convertible Notes for the three and nine months ended September 30, 2019 and 2018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91"/>
              </w:rPr>
              <w:t>For the Three Months Ended</w:t>
            </w: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w w:val="93"/>
              </w:rPr>
              <w:t>For the Nine Months Ended</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 2019</w:t>
            </w:r>
          </w:p>
        </w:tc>
        <w:tc>
          <w:tcPr>
            <w:tcW w:w="1560" w:type="dxa"/>
            <w:vAlign w:val="bottom"/>
            <w:gridSpan w:val="3"/>
          </w:tcPr>
          <w:p>
            <w:pPr>
              <w:ind w:left="60"/>
              <w:spacing w:after="0"/>
              <w:rPr>
                <w:sz w:val="20"/>
                <w:szCs w:val="20"/>
                <w:color w:val="auto"/>
              </w:rPr>
            </w:pPr>
            <w:r>
              <w:rPr>
                <w:rFonts w:ascii="Arial" w:cs="Arial" w:eastAsia="Arial" w:hAnsi="Arial"/>
                <w:sz w:val="18"/>
                <w:szCs w:val="18"/>
                <w:b w:val="1"/>
                <w:bCs w:val="1"/>
                <w:color w:val="auto"/>
                <w:w w:val="88"/>
              </w:rPr>
              <w:t>September 30, 2018</w:t>
            </w:r>
          </w:p>
        </w:tc>
        <w:tc>
          <w:tcPr>
            <w:tcW w:w="2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60" w:type="dxa"/>
            <w:vAlign w:val="bottom"/>
            <w:gridSpan w:val="3"/>
          </w:tcPr>
          <w:p>
            <w:pPr>
              <w:ind w:left="60"/>
              <w:spacing w:after="0"/>
              <w:rPr>
                <w:sz w:val="20"/>
                <w:szCs w:val="20"/>
                <w:color w:val="auto"/>
              </w:rPr>
            </w:pPr>
            <w:r>
              <w:rPr>
                <w:rFonts w:ascii="Arial" w:cs="Arial" w:eastAsia="Arial" w:hAnsi="Arial"/>
                <w:sz w:val="18"/>
                <w:szCs w:val="18"/>
                <w:b w:val="1"/>
                <w:bCs w:val="1"/>
                <w:color w:val="auto"/>
                <w:w w:val="88"/>
              </w:rPr>
              <w:t>September 30, 2018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9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w w:val="87"/>
              </w:rPr>
              <w:t>52,088</w:t>
            </w:r>
          </w:p>
        </w:tc>
        <w:tc>
          <w:tcPr>
            <w:tcW w:w="260" w:type="dxa"/>
            <w:vAlign w:val="bottom"/>
            <w:vMerge w:val="continue"/>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9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90"/>
              </w:rPr>
              <w:t>52,088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October 17, 2014, the Company entered into a senior secured revolving credit agreement (as amended, the “Credit Facility”) with ING Capital, LLC, as administrative agent, arranger, and bookrunner, and the lenders party thereto. The Credit Facility was amended on May 22, 2015, June 16, 2017, July 19, 2018, and February 22, 2019 (the “Amendments”). The Amendments were affected, among other things, in order to increase the total borrowings allowed under the Credit Facility, allow for stock repurchases, extend the maturity date, reduce the minimum required interest coverage ratio, reduce the minimum required net asset value, and reduce the minimum required asset coverage ratio. The Credit Facility currently provides for borrowings up to $114.5 million and may be increased up to $200.0 million pursuant to its “accordion” feature. The Credit Facility matures on June 16, 2021.</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has been selected, the interest rate on the applicable amount borrowed will reset after the applicable tenor period and be based on the then applicable selected LIBOR (e.g., borrowings for which the Company has elected the one month LIBOR will reset on the one month anniversary of the period based on the then selected LIBOR). For any given borrowing under the Credit Facility, the Company intends to elect what it believes to be an appropriate LIBOR taking into account the Company’s needs at the time as well as the Company’s view of future interest rate movements. The Credit Facility provides for the ability to step-down the pricing of the Credit Facility from LIBOR plus 3.00% to LIBOR plus 2.75% when certain conditions are met.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8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summarizes the interest expense, deferred financing costs, unused commitment fees, average outstanding balance, and average stated interest rate on the Credit Facility for the three and nine months ended September 30, 2019 and 2018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93"/>
              </w:rPr>
              <w:t>For the Three Months Ended</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w w:val="94"/>
              </w:rPr>
              <w:t>For the Nine Months Ended</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 2019</w:t>
            </w:r>
          </w:p>
        </w:tc>
        <w:tc>
          <w:tcPr>
            <w:tcW w:w="1560" w:type="dxa"/>
            <w:vAlign w:val="bottom"/>
            <w:gridSpan w:val="3"/>
          </w:tcPr>
          <w:p>
            <w:pPr>
              <w:ind w:left="60"/>
              <w:spacing w:after="0"/>
              <w:rPr>
                <w:sz w:val="20"/>
                <w:szCs w:val="20"/>
                <w:color w:val="auto"/>
              </w:rPr>
            </w:pPr>
            <w:r>
              <w:rPr>
                <w:rFonts w:ascii="Arial" w:cs="Arial" w:eastAsia="Arial" w:hAnsi="Arial"/>
                <w:sz w:val="18"/>
                <w:szCs w:val="18"/>
                <w:b w:val="1"/>
                <w:bCs w:val="1"/>
                <w:color w:val="auto"/>
                <w:w w:val="88"/>
              </w:rPr>
              <w:t>September 30, 2018</w:t>
            </w:r>
          </w:p>
        </w:tc>
        <w:tc>
          <w:tcPr>
            <w:tcW w:w="2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60" w:type="dxa"/>
            <w:vAlign w:val="bottom"/>
            <w:gridSpan w:val="3"/>
          </w:tcPr>
          <w:p>
            <w:pPr>
              <w:ind w:left="60"/>
              <w:spacing w:after="0"/>
              <w:rPr>
                <w:sz w:val="20"/>
                <w:szCs w:val="20"/>
                <w:color w:val="auto"/>
              </w:rPr>
            </w:pPr>
            <w:r>
              <w:rPr>
                <w:rFonts w:ascii="Arial" w:cs="Arial" w:eastAsia="Arial" w:hAnsi="Arial"/>
                <w:sz w:val="18"/>
                <w:szCs w:val="18"/>
                <w:b w:val="1"/>
                <w:bCs w:val="1"/>
                <w:color w:val="auto"/>
                <w:w w:val="88"/>
              </w:rPr>
              <w:t>September 30, 2018</w:t>
            </w:r>
          </w:p>
        </w:tc>
        <w:tc>
          <w:tcPr>
            <w:tcW w:w="160" w:type="dxa"/>
            <w:vAlign w:val="bottom"/>
          </w:tcPr>
          <w:p>
            <w:pPr>
              <w:spacing w:after="0"/>
              <w:rPr>
                <w:sz w:val="19"/>
                <w:szCs w:val="19"/>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w:t>
            </w:r>
          </w:p>
        </w:tc>
      </w:tr>
      <w:tr>
        <w:trPr>
          <w:trHeight w:val="263"/>
        </w:trPr>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and financing expenses</w:t>
            </w:r>
          </w:p>
        </w:tc>
        <w:tc>
          <w:tcPr>
            <w:tcW w:w="9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60" w:type="dxa"/>
            <w:vAlign w:val="bottom"/>
            <w:tcBorders>
              <w:bottom w:val="single" w:sz="8" w:color="CCEEFF"/>
            </w:tcBorders>
          </w:tcPr>
          <w:p>
            <w:pPr>
              <w:spacing w:after="0"/>
              <w:rPr>
                <w:sz w:val="22"/>
                <w:szCs w:val="22"/>
                <w:color w:val="auto"/>
              </w:rPr>
            </w:pPr>
          </w:p>
        </w:tc>
      </w:tr>
      <w:tr>
        <w:trPr>
          <w:trHeight w:val="197"/>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outstanding balance</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3,804</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2,391</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13,864</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8,098</w:t>
            </w:r>
          </w:p>
        </w:tc>
        <w:tc>
          <w:tcPr>
            <w:tcW w:w="160" w:type="dxa"/>
            <w:vAlign w:val="bottom"/>
            <w:shd w:val="clear" w:color="auto" w:fill="CCEEFF"/>
          </w:tcPr>
          <w:p>
            <w:pPr>
              <w:spacing w:after="0"/>
              <w:rPr>
                <w:sz w:val="17"/>
                <w:szCs w:val="17"/>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Average stated interest rate</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34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r>
    </w:tbl>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September 30, 2019 and December 31, 2018, the Company had $0.0 million and $10.0 million, respectively, outstanding under the Credit Facility. The Credit Facility is secured by investments and cash held by the Company, exclusive of assets pledged as collateral for the Company’s SBA debentures. Assets pledged to secure the Credit Facility had a carrying value of $165.4 million and $158.9 million, respectively, at September 30, 2019 and December 31, 2018. As part of the terms of the Credit Facility, the Company may not make cash distributions with respect to any taxable year that exceed 110% (125% if the Company is not in default and our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carrying value and fair value of the Company’s financial liabilities disclosed, but not carried,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the level of each financial liability within the fair value hierarchy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4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center"/>
              <w:ind w:right="440"/>
              <w:spacing w:after="0" w:line="271" w:lineRule="exact"/>
              <w:rPr>
                <w:sz w:val="20"/>
                <w:szCs w:val="20"/>
                <w:color w:val="auto"/>
              </w:rPr>
            </w:pPr>
            <w:r>
              <w:rPr>
                <w:rFonts w:ascii="Arial" w:cs="Arial" w:eastAsia="Arial" w:hAnsi="Arial"/>
                <w:sz w:val="18"/>
                <w:szCs w:val="18"/>
                <w:b w:val="1"/>
                <w:bCs w:val="1"/>
                <w:color w:val="auto"/>
                <w:w w:val="82"/>
              </w:rPr>
              <w:t xml:space="preserve">Value </w:t>
            </w:r>
            <w:r>
              <w:rPr>
                <w:rFonts w:ascii="Arial" w:cs="Arial" w:eastAsia="Arial" w:hAnsi="Arial"/>
                <w:sz w:val="30"/>
                <w:szCs w:val="30"/>
                <w:b w:val="1"/>
                <w:bCs w:val="1"/>
                <w:color w:val="auto"/>
                <w:w w:val="82"/>
                <w:vertAlign w:val="superscript"/>
              </w:rPr>
              <w:t>(1)</w:t>
            </w:r>
          </w:p>
        </w:tc>
        <w:tc>
          <w:tcPr>
            <w:tcW w:w="160" w:type="dxa"/>
            <w:vAlign w:val="bottom"/>
          </w:tcPr>
          <w:p>
            <w:pPr>
              <w:spacing w:after="0"/>
              <w:rPr>
                <w:sz w:val="23"/>
                <w:szCs w:val="23"/>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Fair Value</w:t>
            </w:r>
          </w:p>
        </w:tc>
        <w:tc>
          <w:tcPr>
            <w:tcW w:w="200" w:type="dxa"/>
            <w:vAlign w:val="bottom"/>
          </w:tcPr>
          <w:p>
            <w:pPr>
              <w:spacing w:after="0"/>
              <w:rPr>
                <w:sz w:val="23"/>
                <w:szCs w:val="23"/>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2022 Notes</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74,640</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74,640</w:t>
            </w:r>
          </w:p>
        </w:tc>
        <w:tc>
          <w:tcPr>
            <w:tcW w:w="200" w:type="dxa"/>
            <w:vAlign w:val="bottom"/>
          </w:tcPr>
          <w:p>
            <w:pPr>
              <w:spacing w:after="0"/>
              <w:rPr>
                <w:sz w:val="18"/>
                <w:szCs w:val="18"/>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52,088</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50,858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50,858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Credit Facility</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277,088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276,851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Carrying value equals the gross principal outstanding at period 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carrying value and fair value of the Company’s financial liabilities disclosed, but not carried,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the level of each financial liability within the fair value hierarchy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4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center"/>
              <w:ind w:right="440"/>
              <w:spacing w:after="0" w:line="271" w:lineRule="exact"/>
              <w:rPr>
                <w:sz w:val="20"/>
                <w:szCs w:val="20"/>
                <w:color w:val="auto"/>
              </w:rPr>
            </w:pPr>
            <w:r>
              <w:rPr>
                <w:rFonts w:ascii="Arial" w:cs="Arial" w:eastAsia="Arial" w:hAnsi="Arial"/>
                <w:sz w:val="18"/>
                <w:szCs w:val="18"/>
                <w:b w:val="1"/>
                <w:bCs w:val="1"/>
                <w:color w:val="auto"/>
                <w:w w:val="82"/>
              </w:rPr>
              <w:t xml:space="preserve">Value </w:t>
            </w:r>
            <w:r>
              <w:rPr>
                <w:rFonts w:ascii="Arial" w:cs="Arial" w:eastAsia="Arial" w:hAnsi="Arial"/>
                <w:sz w:val="30"/>
                <w:szCs w:val="30"/>
                <w:b w:val="1"/>
                <w:bCs w:val="1"/>
                <w:color w:val="auto"/>
                <w:w w:val="82"/>
                <w:vertAlign w:val="superscript"/>
              </w:rPr>
              <w:t>(1)</w:t>
            </w:r>
          </w:p>
        </w:tc>
        <w:tc>
          <w:tcPr>
            <w:tcW w:w="160" w:type="dxa"/>
            <w:vAlign w:val="bottom"/>
          </w:tcPr>
          <w:p>
            <w:pPr>
              <w:spacing w:after="0"/>
              <w:rPr>
                <w:sz w:val="23"/>
                <w:szCs w:val="23"/>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Fair Value</w:t>
            </w:r>
          </w:p>
        </w:tc>
        <w:tc>
          <w:tcPr>
            <w:tcW w:w="200" w:type="dxa"/>
            <w:vAlign w:val="bottom"/>
          </w:tcPr>
          <w:p>
            <w:pPr>
              <w:spacing w:after="0"/>
              <w:rPr>
                <w:sz w:val="23"/>
                <w:szCs w:val="23"/>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165,436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2022 Notes</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74,700</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74,700</w:t>
            </w:r>
          </w:p>
        </w:tc>
        <w:tc>
          <w:tcPr>
            <w:tcW w:w="200" w:type="dxa"/>
            <w:vAlign w:val="bottom"/>
          </w:tcPr>
          <w:p>
            <w:pPr>
              <w:spacing w:after="0"/>
              <w:rPr>
                <w:sz w:val="18"/>
                <w:szCs w:val="18"/>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52,088</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49,546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49,546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Credit Facility</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10,030</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10,030</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302,788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299,712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Carrying value equals the gross principal outstanding at period end.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fair value of the Credit Facility was based on future contractual cash payments discounted at estimated market interest rates for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Directors’ Fees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nine months ended September 30, 2019, the Company recognized directors’ fees expense of $0.1 million and $0.3 million, respectively. For the three and nine months ended September 30, 2018, the Company recognized directors’ fees expense of $0.1 million and $0.3 million, respectively. No compensation is expected to be paid to directors who are “interested persons” of the Company, as such term is defined in Section 2(a)(19) of the 1940 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Summarized Financial Information of Our Unconsolidated Subsidiaries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holds a control interest, as defined by the 1940 Act, in two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months ended September 30, 2019, the Company wrote off its investment in AAE Acquisition, LLC and realized a loss of $20.4 million. During the nine months ended September 30, 2019, the Company exited its investment in Micro Precision, LLC, receiving $6.3 million for its debt investment, and receiving $2.4 million in total consideration for its equity investment.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loss the Company generated from CableOrganizer Acquisition, LLC, which includes all interest, dividends, PIK interest and PIK dividends, fees, realized loss, and unrealized appreciation (depreciation), was $(8.9) million and $(0.2) million for the nine months ended September 30, 2019 and September 30,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 Precision, LLC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Micro Precision, LLC, formed on August 5, 2011 as a Delaware limited liability company, is a prime contractor supplying critical parts and mechanical assemblies to the U.S. Department of Defense as well as designer and manufacturer of locomotive air horns. The income the Company generated from Micro Precision, LLC, which includes all interest, dividends, PIK interest and PIK dividends, fees, and unrealized appreciation (depreciation), was $0.2 million and $1.9 million for the nine months ended September 30, 2019 and September 30, 2018,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ind w:left="40"/>
              <w:spacing w:after="0" w:line="205" w:lineRule="exact"/>
              <w:rPr>
                <w:sz w:val="20"/>
                <w:szCs w:val="20"/>
                <w:color w:val="auto"/>
              </w:rPr>
            </w:pPr>
            <w:r>
              <w:rPr>
                <w:rFonts w:ascii="Arial" w:cs="Arial" w:eastAsia="Arial" w:hAnsi="Arial"/>
                <w:sz w:val="18"/>
                <w:szCs w:val="18"/>
                <w:b w:val="1"/>
                <w:bCs w:val="1"/>
                <w:color w:val="auto"/>
              </w:rPr>
              <w:t>September 30,</w:t>
            </w:r>
          </w:p>
        </w:tc>
        <w:tc>
          <w:tcPr>
            <w:tcW w:w="118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Balance Sheets – CableOrganizer Acquisition, LLC</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7,190</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4,939</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3"/>
              </w:rPr>
              <w:t>For the Nine Months Ended</w:t>
            </w:r>
          </w:p>
        </w:tc>
      </w:tr>
      <w:tr>
        <w:trPr>
          <w:trHeight w:val="205"/>
        </w:trPr>
        <w:tc>
          <w:tcPr>
            <w:tcW w:w="7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gridSpan w:val="3"/>
          </w:tcPr>
          <w:p>
            <w:pPr>
              <w:ind w:left="40"/>
              <w:spacing w:after="0" w:line="205" w:lineRule="exact"/>
              <w:rPr>
                <w:sz w:val="20"/>
                <w:szCs w:val="20"/>
                <w:color w:val="auto"/>
              </w:rPr>
            </w:pPr>
            <w:r>
              <w:rPr>
                <w:rFonts w:ascii="Arial" w:cs="Arial" w:eastAsia="Arial" w:hAnsi="Arial"/>
                <w:sz w:val="18"/>
                <w:szCs w:val="18"/>
                <w:b w:val="1"/>
                <w:bCs w:val="1"/>
                <w:color w:val="auto"/>
              </w:rPr>
              <w:t>September 30,</w:t>
            </w:r>
          </w:p>
        </w:tc>
        <w:tc>
          <w:tcPr>
            <w:tcW w:w="118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7"/>
                <w:szCs w:val="17"/>
                <w:color w:val="auto"/>
              </w:rPr>
            </w:pPr>
          </w:p>
        </w:tc>
      </w:tr>
      <w:tr>
        <w:trPr>
          <w:trHeight w:val="234"/>
        </w:trPr>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CableOrganizer Acquisition, LLC</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100" w:type="dxa"/>
            <w:vAlign w:val="bottom"/>
            <w:shd w:val="clear" w:color="auto" w:fill="CCEEFF"/>
          </w:tcPr>
          <w:p>
            <w:pPr>
              <w:spacing w:after="0"/>
              <w:rPr>
                <w:sz w:val="18"/>
                <w:szCs w:val="18"/>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6,810</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9,601</w:t>
            </w:r>
          </w:p>
        </w:tc>
      </w:tr>
      <w:tr>
        <w:trPr>
          <w:trHeight w:val="210"/>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09" w:right="239" w:bottom="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809105"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809105"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09105"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Balance Sheets – Micro Precision, LLC</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6,022</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(1,989)</w:t>
            </w:r>
          </w:p>
        </w:tc>
        <w:tc>
          <w:tcPr>
            <w:tcW w:w="2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(1,275)</w:t>
            </w: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2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June 30,</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60" w:type="dxa"/>
            <w:vAlign w:val="bottom"/>
            <w:gridSpan w:val="2"/>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7980" w:space="720"/>
            <w:col w:w="2720"/>
          </w:cols>
          <w:pgMar w:left="240" w:top="909" w:right="239" w:bottom="0" w:gutter="0" w:footer="0" w:header="0"/>
          <w:type w:val="continuous"/>
        </w:sectPr>
      </w:pPr>
    </w:p>
    <w:tbl>
      <w:tblPr>
        <w:tblLayout w:type="fixed"/>
        <w:tblInd w:w="6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19,346</w:t>
            </w: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13,977</w:t>
            </w: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16,208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8"/>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 Micro Precision, LLC</w:t>
            </w:r>
            <w:r>
              <w:rPr>
                <w:rFonts w:ascii="Arial" w:cs="Arial" w:eastAsia="Arial" w:hAnsi="Arial"/>
                <w:sz w:val="30"/>
                <w:szCs w:val="30"/>
                <w:b w:val="1"/>
                <w:bCs w:val="1"/>
                <w:color w:val="auto"/>
                <w:vertAlign w:val="superscript"/>
              </w:rPr>
              <w:t>(1)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9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6,024</w:t>
            </w:r>
          </w:p>
        </w:tc>
        <w:tc>
          <w:tcPr>
            <w:tcW w:w="18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September 30, 2019 financial statements are not available. As such, the most recent comparable period is presented.</w:t>
      </w:r>
    </w:p>
    <w:p>
      <w:pPr>
        <w:sectPr>
          <w:pgSz w:w="11900" w:h="16838" w:orient="portrait"/>
          <w:cols w:equalWidth="0" w:num="1">
            <w:col w:w="11420"/>
          </w:cols>
          <w:pgMar w:left="240" w:top="909" w:right="239" w:bottom="0" w:gutter="0" w:footer="0" w:header="0"/>
          <w:type w:val="continuous"/>
        </w:sectPr>
      </w:pPr>
    </w:p>
    <w:bookmarkStart w:id="47" w:name="page48"/>
    <w:bookmarkEnd w:id="47"/>
    <w:p>
      <w:pPr>
        <w:jc w:val="center"/>
        <w:ind w:right="-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accordance with the provisions of ASC Topic 260 -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 basic earnings per share is computed by dividing earnings available to common stockholders by the weighted average number of shares outstanding during the period. Other potentially dilutive common shares, and the related impact to earnings, are considered when calculating diluted earnings per share. For the three and nine months ended September 30, 2019 and September 30, 2018, 3.3 million in convertible shares related to the 2022 Convertible Notes were considered anti-dilutive.</w:t>
      </w:r>
    </w:p>
    <w:p>
      <w:pPr>
        <w:spacing w:after="0" w:line="17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information sets forth the computation of the weighted average basic and diluted net increase (decrease) in net assets per share resulting from operations for the three and nine months ended September 30, 2019 and 2018 (dollars in thousands,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For the Three Months Ended</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For the Nine Months Ended</w:t>
            </w:r>
          </w:p>
        </w:tc>
      </w:tr>
      <w:tr>
        <w:trPr>
          <w:trHeight w:val="223"/>
        </w:trPr>
        <w:tc>
          <w:tcPr>
            <w:tcW w:w="4660" w:type="dxa"/>
            <w:vAlign w:val="bottom"/>
          </w:tcPr>
          <w:p>
            <w:pPr>
              <w:spacing w:after="0"/>
              <w:rPr>
                <w:sz w:val="19"/>
                <w:szCs w:val="19"/>
                <w:color w:val="auto"/>
              </w:rPr>
            </w:pPr>
          </w:p>
        </w:tc>
        <w:tc>
          <w:tcPr>
            <w:tcW w:w="17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September 30, 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6"/>
              </w:rPr>
              <w:t>September 30, 2019</w:t>
            </w: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September 30, 2018</w:t>
            </w:r>
          </w:p>
        </w:tc>
        <w:tc>
          <w:tcPr>
            <w:tcW w:w="100" w:type="dxa"/>
            <w:vAlign w:val="bottom"/>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Net increase (decrease) in net assets resulting from operations</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660" w:type="dxa"/>
            <w:vAlign w:val="bottom"/>
          </w:tcPr>
          <w:p>
            <w:pPr>
              <w:spacing w:after="0" w:line="201" w:lineRule="exact"/>
              <w:rPr>
                <w:sz w:val="20"/>
                <w:szCs w:val="20"/>
                <w:color w:val="auto"/>
              </w:rPr>
            </w:pPr>
            <w:r>
              <w:rPr>
                <w:rFonts w:ascii="Arial" w:cs="Arial" w:eastAsia="Arial" w:hAnsi="Arial"/>
                <w:sz w:val="18"/>
                <w:szCs w:val="18"/>
                <w:color w:val="auto"/>
              </w:rPr>
              <w:t>Weighted average common stock outstanding – basic and</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16,133,365</w:t>
            </w:r>
          </w:p>
        </w:tc>
        <w:tc>
          <w:tcPr>
            <w:tcW w:w="4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16,001,919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16,097,908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15,981,154</w:t>
            </w: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Net increase (decrease) in net assets per share resulting from</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operations – basic and diluted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(0.74)</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4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Distributions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distributions are recorded on the record date. Stockholders have the option to receive payment of the distribution in cash, shares of common stock, or a combination of cash and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nine months ended September 30, 2019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DRIP</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Cash</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w:t>
            </w:r>
          </w:p>
        </w:tc>
      </w:tr>
      <w:tr>
        <w:trPr>
          <w:trHeight w:val="234"/>
        </w:trPr>
        <w:tc>
          <w:tcPr>
            <w:tcW w:w="1740" w:type="dxa"/>
            <w:vAlign w:val="bottom"/>
            <w:gridSpan w:val="2"/>
          </w:tcPr>
          <w:p>
            <w:pPr>
              <w:ind w:left="260"/>
              <w:spacing w:after="0"/>
              <w:rPr>
                <w:sz w:val="20"/>
                <w:szCs w:val="20"/>
                <w:color w:val="auto"/>
              </w:rPr>
            </w:pPr>
            <w:r>
              <w:rPr>
                <w:rFonts w:ascii="Arial" w:cs="Arial" w:eastAsia="Arial" w:hAnsi="Arial"/>
                <w:sz w:val="18"/>
                <w:szCs w:val="18"/>
                <w:b w:val="1"/>
                <w:bCs w:val="1"/>
                <w:color w:val="auto"/>
              </w:rPr>
              <w:t>Date Declared</w:t>
            </w:r>
          </w:p>
        </w:tc>
        <w:tc>
          <w:tcPr>
            <w:tcW w:w="1720" w:type="dxa"/>
            <w:vAlign w:val="bottom"/>
            <w:gridSpan w:val="2"/>
          </w:tcPr>
          <w:p>
            <w:pPr>
              <w:ind w:left="320"/>
              <w:spacing w:after="0"/>
              <w:rPr>
                <w:sz w:val="20"/>
                <w:szCs w:val="20"/>
                <w:color w:val="auto"/>
              </w:rPr>
            </w:pPr>
            <w:r>
              <w:rPr>
                <w:rFonts w:ascii="Arial" w:cs="Arial" w:eastAsia="Arial" w:hAnsi="Arial"/>
                <w:sz w:val="18"/>
                <w:szCs w:val="18"/>
                <w:b w:val="1"/>
                <w:bCs w:val="1"/>
                <w:color w:val="auto"/>
              </w:rPr>
              <w:t>Record Date</w:t>
            </w:r>
          </w:p>
        </w:tc>
        <w:tc>
          <w:tcPr>
            <w:tcW w:w="1620" w:type="dxa"/>
            <w:vAlign w:val="bottom"/>
          </w:tcPr>
          <w:p>
            <w:pPr>
              <w:ind w:left="260"/>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Per Share</w:t>
            </w:r>
          </w:p>
        </w:tc>
        <w:tc>
          <w:tcPr>
            <w:tcW w:w="14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Distribution</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28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Value</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24, 2019</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January 2, 2019</w:t>
            </w:r>
          </w:p>
        </w:tc>
        <w:tc>
          <w:tcPr>
            <w:tcW w:w="1720" w:type="dxa"/>
            <w:vAlign w:val="bottom"/>
            <w:gridSpan w:val="2"/>
          </w:tcPr>
          <w:p>
            <w:pPr>
              <w:spacing w:after="0"/>
              <w:rPr>
                <w:sz w:val="20"/>
                <w:szCs w:val="20"/>
                <w:color w:val="auto"/>
              </w:rPr>
            </w:pPr>
            <w:r>
              <w:rPr>
                <w:rFonts w:ascii="Arial" w:cs="Arial" w:eastAsia="Arial" w:hAnsi="Arial"/>
                <w:sz w:val="18"/>
                <w:szCs w:val="18"/>
                <w:color w:val="auto"/>
              </w:rPr>
              <w:t>February 20, 2019</w:t>
            </w:r>
          </w:p>
        </w:tc>
        <w:tc>
          <w:tcPr>
            <w:tcW w:w="1620" w:type="dxa"/>
            <w:vAlign w:val="bottom"/>
          </w:tcPr>
          <w:p>
            <w:pPr>
              <w:spacing w:after="0"/>
              <w:rPr>
                <w:sz w:val="20"/>
                <w:szCs w:val="20"/>
                <w:color w:val="auto"/>
              </w:rPr>
            </w:pPr>
            <w:r>
              <w:rPr>
                <w:rFonts w:ascii="Arial" w:cs="Arial" w:eastAsia="Arial" w:hAnsi="Arial"/>
                <w:sz w:val="18"/>
                <w:szCs w:val="18"/>
                <w:color w:val="auto"/>
              </w:rPr>
              <w:t>February 27, 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1,253</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10,570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21, 2019</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March 28, 2019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1720" w:type="dxa"/>
            <w:vAlign w:val="bottom"/>
            <w:gridSpan w:val="2"/>
          </w:tcPr>
          <w:p>
            <w:pPr>
              <w:spacing w:after="0"/>
              <w:rPr>
                <w:sz w:val="20"/>
                <w:szCs w:val="20"/>
                <w:color w:val="auto"/>
              </w:rPr>
            </w:pPr>
            <w:r>
              <w:rPr>
                <w:rFonts w:ascii="Arial" w:cs="Arial" w:eastAsia="Arial" w:hAnsi="Arial"/>
                <w:sz w:val="18"/>
                <w:szCs w:val="18"/>
                <w:color w:val="auto"/>
              </w:rPr>
              <w:t>April 22, 2019</w:t>
            </w:r>
          </w:p>
        </w:tc>
        <w:tc>
          <w:tcPr>
            <w:tcW w:w="1620" w:type="dxa"/>
            <w:vAlign w:val="bottom"/>
          </w:tcPr>
          <w:p>
            <w:pPr>
              <w:spacing w:after="0"/>
              <w:rPr>
                <w:sz w:val="20"/>
                <w:szCs w:val="20"/>
                <w:color w:val="auto"/>
              </w:rPr>
            </w:pPr>
            <w:r>
              <w:rPr>
                <w:rFonts w:ascii="Arial" w:cs="Arial" w:eastAsia="Arial" w:hAnsi="Arial"/>
                <w:sz w:val="18"/>
                <w:szCs w:val="18"/>
                <w:color w:val="auto"/>
              </w:rPr>
              <w:t>April 29, 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1,246</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11,479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2019</w:t>
            </w: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23, 2019</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May 30, 2019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1720" w:type="dxa"/>
            <w:vAlign w:val="bottom"/>
            <w:gridSpan w:val="2"/>
          </w:tcPr>
          <w:p>
            <w:pPr>
              <w:spacing w:after="0"/>
              <w:rPr>
                <w:sz w:val="20"/>
                <w:szCs w:val="20"/>
                <w:color w:val="auto"/>
              </w:rPr>
            </w:pPr>
            <w:r>
              <w:rPr>
                <w:rFonts w:ascii="Arial" w:cs="Arial" w:eastAsia="Arial" w:hAnsi="Arial"/>
                <w:sz w:val="18"/>
                <w:szCs w:val="18"/>
                <w:color w:val="auto"/>
              </w:rPr>
              <w:t>June 20, 2019</w:t>
            </w:r>
          </w:p>
        </w:tc>
        <w:tc>
          <w:tcPr>
            <w:tcW w:w="1620" w:type="dxa"/>
            <w:vAlign w:val="bottom"/>
          </w:tcPr>
          <w:p>
            <w:pPr>
              <w:spacing w:after="0"/>
              <w:rPr>
                <w:sz w:val="20"/>
                <w:szCs w:val="20"/>
                <w:color w:val="auto"/>
              </w:rPr>
            </w:pPr>
            <w:r>
              <w:rPr>
                <w:rFonts w:ascii="Arial" w:cs="Arial" w:eastAsia="Arial" w:hAnsi="Arial"/>
                <w:sz w:val="18"/>
                <w:szCs w:val="18"/>
                <w:color w:val="auto"/>
              </w:rPr>
              <w:t>June 27, 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1,238</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11,747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w:t>
            </w: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23, 2019</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July 30, 2019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July 1, 2019</w:t>
            </w:r>
          </w:p>
        </w:tc>
        <w:tc>
          <w:tcPr>
            <w:tcW w:w="1720" w:type="dxa"/>
            <w:vAlign w:val="bottom"/>
            <w:gridSpan w:val="2"/>
          </w:tcPr>
          <w:p>
            <w:pPr>
              <w:spacing w:after="0"/>
              <w:rPr>
                <w:sz w:val="20"/>
                <w:szCs w:val="20"/>
                <w:color w:val="auto"/>
              </w:rPr>
            </w:pPr>
            <w:r>
              <w:rPr>
                <w:rFonts w:ascii="Arial" w:cs="Arial" w:eastAsia="Arial" w:hAnsi="Arial"/>
                <w:sz w:val="18"/>
                <w:szCs w:val="18"/>
                <w:color w:val="auto"/>
              </w:rPr>
              <w:t>August 22, 2019</w:t>
            </w:r>
          </w:p>
        </w:tc>
        <w:tc>
          <w:tcPr>
            <w:tcW w:w="1620" w:type="dxa"/>
            <w:vAlign w:val="bottom"/>
          </w:tcPr>
          <w:p>
            <w:pPr>
              <w:spacing w:after="0"/>
              <w:rPr>
                <w:sz w:val="20"/>
                <w:szCs w:val="20"/>
                <w:color w:val="auto"/>
              </w:rPr>
            </w:pPr>
            <w:r>
              <w:rPr>
                <w:rFonts w:ascii="Arial" w:cs="Arial" w:eastAsia="Arial" w:hAnsi="Arial"/>
                <w:sz w:val="18"/>
                <w:szCs w:val="18"/>
                <w:color w:val="auto"/>
              </w:rPr>
              <w:t>August 29, 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1,231</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16,079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3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w:t>
            </w: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2019</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8"/>
              </w:rPr>
              <w:t>September 27, 2019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14,327</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23"/>
        </w:trPr>
        <w:tc>
          <w:tcPr>
            <w:tcW w:w="3460" w:type="dxa"/>
            <w:vAlign w:val="bottom"/>
            <w:gridSpan w:val="4"/>
          </w:tcPr>
          <w:p>
            <w:pPr>
              <w:ind w:left="180"/>
              <w:spacing w:after="0"/>
              <w:rPr>
                <w:sz w:val="20"/>
                <w:szCs w:val="20"/>
                <w:color w:val="auto"/>
              </w:rPr>
            </w:pPr>
            <w:r>
              <w:rPr>
                <w:rFonts w:ascii="Arial" w:cs="Arial" w:eastAsia="Arial" w:hAnsi="Arial"/>
                <w:sz w:val="18"/>
                <w:szCs w:val="18"/>
                <w:color w:val="auto"/>
                <w:w w:val="93"/>
              </w:rPr>
              <w:t>Total Distributions Declared and Distributed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11,185</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109,528</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9" w:name="page50"/>
    <w:bookmarkEnd w:id="49"/>
    <w:p>
      <w:pPr>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nine months ended September 30, 2018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DRIP</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Cash</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w:t>
            </w:r>
          </w:p>
        </w:tc>
      </w:tr>
      <w:tr>
        <w:trPr>
          <w:trHeight w:val="234"/>
        </w:trPr>
        <w:tc>
          <w:tcPr>
            <w:tcW w:w="1740" w:type="dxa"/>
            <w:vAlign w:val="bottom"/>
            <w:gridSpan w:val="2"/>
          </w:tcPr>
          <w:p>
            <w:pPr>
              <w:ind w:left="260"/>
              <w:spacing w:after="0"/>
              <w:rPr>
                <w:sz w:val="20"/>
                <w:szCs w:val="20"/>
                <w:color w:val="auto"/>
              </w:rPr>
            </w:pPr>
            <w:r>
              <w:rPr>
                <w:rFonts w:ascii="Arial" w:cs="Arial" w:eastAsia="Arial" w:hAnsi="Arial"/>
                <w:sz w:val="18"/>
                <w:szCs w:val="18"/>
                <w:b w:val="1"/>
                <w:bCs w:val="1"/>
                <w:color w:val="auto"/>
              </w:rPr>
              <w:t>Date Declared</w:t>
            </w:r>
          </w:p>
        </w:tc>
        <w:tc>
          <w:tcPr>
            <w:tcW w:w="1720" w:type="dxa"/>
            <w:vAlign w:val="bottom"/>
            <w:gridSpan w:val="2"/>
          </w:tcPr>
          <w:p>
            <w:pPr>
              <w:ind w:left="320"/>
              <w:spacing w:after="0"/>
              <w:rPr>
                <w:sz w:val="20"/>
                <w:szCs w:val="20"/>
                <w:color w:val="auto"/>
              </w:rPr>
            </w:pPr>
            <w:r>
              <w:rPr>
                <w:rFonts w:ascii="Arial" w:cs="Arial" w:eastAsia="Arial" w:hAnsi="Arial"/>
                <w:sz w:val="18"/>
                <w:szCs w:val="18"/>
                <w:b w:val="1"/>
                <w:bCs w:val="1"/>
                <w:color w:val="auto"/>
              </w:rPr>
              <w:t>Record Date</w:t>
            </w:r>
          </w:p>
        </w:tc>
        <w:tc>
          <w:tcPr>
            <w:tcW w:w="1620" w:type="dxa"/>
            <w:vAlign w:val="bottom"/>
          </w:tcPr>
          <w:p>
            <w:pPr>
              <w:ind w:left="260"/>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Per Share</w:t>
            </w:r>
          </w:p>
        </w:tc>
        <w:tc>
          <w:tcPr>
            <w:tcW w:w="14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Distribution</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28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Value</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22, 2018</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January 2, 2018</w:t>
            </w:r>
          </w:p>
        </w:tc>
        <w:tc>
          <w:tcPr>
            <w:tcW w:w="1720" w:type="dxa"/>
            <w:vAlign w:val="bottom"/>
            <w:gridSpan w:val="2"/>
          </w:tcPr>
          <w:p>
            <w:pPr>
              <w:spacing w:after="0"/>
              <w:rPr>
                <w:sz w:val="20"/>
                <w:szCs w:val="20"/>
                <w:color w:val="auto"/>
              </w:rPr>
            </w:pPr>
            <w:r>
              <w:rPr>
                <w:rFonts w:ascii="Arial" w:cs="Arial" w:eastAsia="Arial" w:hAnsi="Arial"/>
                <w:sz w:val="18"/>
                <w:szCs w:val="18"/>
                <w:color w:val="auto"/>
              </w:rPr>
              <w:t>February 20, 2018</w:t>
            </w:r>
          </w:p>
        </w:tc>
        <w:tc>
          <w:tcPr>
            <w:tcW w:w="1620" w:type="dxa"/>
            <w:vAlign w:val="bottom"/>
          </w:tcPr>
          <w:p>
            <w:pPr>
              <w:spacing w:after="0"/>
              <w:rPr>
                <w:sz w:val="20"/>
                <w:szCs w:val="20"/>
                <w:color w:val="auto"/>
              </w:rPr>
            </w:pPr>
            <w:r>
              <w:rPr>
                <w:rFonts w:ascii="Arial" w:cs="Arial" w:eastAsia="Arial" w:hAnsi="Arial"/>
                <w:sz w:val="18"/>
                <w:szCs w:val="18"/>
                <w:color w:val="auto"/>
              </w:rPr>
              <w:t>February 27, 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1,275</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8,076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23, 2018</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March 29, 2018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1720" w:type="dxa"/>
            <w:vAlign w:val="bottom"/>
            <w:gridSpan w:val="2"/>
          </w:tcPr>
          <w:p>
            <w:pPr>
              <w:spacing w:after="0"/>
              <w:rPr>
                <w:sz w:val="20"/>
                <w:szCs w:val="20"/>
                <w:color w:val="auto"/>
              </w:rPr>
            </w:pPr>
            <w:r>
              <w:rPr>
                <w:rFonts w:ascii="Arial" w:cs="Arial" w:eastAsia="Arial" w:hAnsi="Arial"/>
                <w:sz w:val="18"/>
                <w:szCs w:val="18"/>
                <w:color w:val="auto"/>
              </w:rPr>
              <w:t>April 19, 2018</w:t>
            </w:r>
          </w:p>
        </w:tc>
        <w:tc>
          <w:tcPr>
            <w:tcW w:w="1620" w:type="dxa"/>
            <w:vAlign w:val="bottom"/>
          </w:tcPr>
          <w:p>
            <w:pPr>
              <w:spacing w:after="0"/>
              <w:rPr>
                <w:sz w:val="20"/>
                <w:szCs w:val="20"/>
                <w:color w:val="auto"/>
              </w:rPr>
            </w:pPr>
            <w:r>
              <w:rPr>
                <w:rFonts w:ascii="Arial" w:cs="Arial" w:eastAsia="Arial" w:hAnsi="Arial"/>
                <w:sz w:val="18"/>
                <w:szCs w:val="18"/>
                <w:color w:val="auto"/>
              </w:rPr>
              <w:t>April 27, 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1,278</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7,006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 2018</w:t>
            </w: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22, 2018</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May 30, 2018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1720" w:type="dxa"/>
            <w:vAlign w:val="bottom"/>
            <w:gridSpan w:val="2"/>
          </w:tcPr>
          <w:p>
            <w:pPr>
              <w:spacing w:after="0"/>
              <w:rPr>
                <w:sz w:val="20"/>
                <w:szCs w:val="20"/>
                <w:color w:val="auto"/>
              </w:rPr>
            </w:pPr>
            <w:r>
              <w:rPr>
                <w:rFonts w:ascii="Arial" w:cs="Arial" w:eastAsia="Arial" w:hAnsi="Arial"/>
                <w:sz w:val="18"/>
                <w:szCs w:val="18"/>
                <w:color w:val="auto"/>
              </w:rPr>
              <w:t>June 20, 2018</w:t>
            </w:r>
          </w:p>
        </w:tc>
        <w:tc>
          <w:tcPr>
            <w:tcW w:w="1620" w:type="dxa"/>
            <w:vAlign w:val="bottom"/>
          </w:tcPr>
          <w:p>
            <w:pPr>
              <w:spacing w:after="0"/>
              <w:rPr>
                <w:sz w:val="20"/>
                <w:szCs w:val="20"/>
                <w:color w:val="auto"/>
              </w:rPr>
            </w:pPr>
            <w:r>
              <w:rPr>
                <w:rFonts w:ascii="Arial" w:cs="Arial" w:eastAsia="Arial" w:hAnsi="Arial"/>
                <w:sz w:val="18"/>
                <w:szCs w:val="18"/>
                <w:color w:val="auto"/>
              </w:rPr>
              <w:t>June 28, 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1,280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6,591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2018</w:t>
            </w: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23, 2018</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July 30, 2018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1,279</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July 2, 2018</w:t>
            </w:r>
          </w:p>
        </w:tc>
        <w:tc>
          <w:tcPr>
            <w:tcW w:w="1720" w:type="dxa"/>
            <w:vAlign w:val="bottom"/>
            <w:gridSpan w:val="2"/>
          </w:tcPr>
          <w:p>
            <w:pPr>
              <w:spacing w:after="0"/>
              <w:rPr>
                <w:sz w:val="20"/>
                <w:szCs w:val="20"/>
                <w:color w:val="auto"/>
              </w:rPr>
            </w:pPr>
            <w:r>
              <w:rPr>
                <w:rFonts w:ascii="Arial" w:cs="Arial" w:eastAsia="Arial" w:hAnsi="Arial"/>
                <w:sz w:val="18"/>
                <w:szCs w:val="18"/>
                <w:color w:val="auto"/>
              </w:rPr>
              <w:t>August 23, 2018</w:t>
            </w:r>
          </w:p>
        </w:tc>
        <w:tc>
          <w:tcPr>
            <w:tcW w:w="1620" w:type="dxa"/>
            <w:vAlign w:val="bottom"/>
          </w:tcPr>
          <w:p>
            <w:pPr>
              <w:spacing w:after="0"/>
              <w:rPr>
                <w:sz w:val="20"/>
                <w:szCs w:val="20"/>
                <w:color w:val="auto"/>
              </w:rPr>
            </w:pPr>
            <w:r>
              <w:rPr>
                <w:rFonts w:ascii="Arial" w:cs="Arial" w:eastAsia="Arial" w:hAnsi="Arial"/>
                <w:sz w:val="18"/>
                <w:szCs w:val="18"/>
                <w:color w:val="auto"/>
              </w:rPr>
              <w:t>August 30, 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1,277</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6,699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3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2018</w:t>
            </w: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2018</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8"/>
              </w:rPr>
              <w:t>September 27, 2018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10,066</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23"/>
        </w:trPr>
        <w:tc>
          <w:tcPr>
            <w:tcW w:w="3460" w:type="dxa"/>
            <w:vAlign w:val="bottom"/>
            <w:gridSpan w:val="4"/>
          </w:tcPr>
          <w:p>
            <w:pPr>
              <w:ind w:left="180"/>
              <w:spacing w:after="0"/>
              <w:rPr>
                <w:sz w:val="20"/>
                <w:szCs w:val="20"/>
                <w:color w:val="auto"/>
              </w:rPr>
            </w:pPr>
            <w:r>
              <w:rPr>
                <w:rFonts w:ascii="Arial" w:cs="Arial" w:eastAsia="Arial" w:hAnsi="Arial"/>
                <w:sz w:val="18"/>
                <w:szCs w:val="18"/>
                <w:color w:val="auto"/>
                <w:w w:val="93"/>
              </w:rPr>
              <w:t>Total Distributions Declared and Distributed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11,464</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66,739</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13. Financial Highlights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schedule of financial highlights for the nine months ended September 30, 2019 and 2018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For the Nine Months Ended</w:t>
            </w:r>
          </w:p>
        </w:tc>
      </w:tr>
      <w:tr>
        <w:trPr>
          <w:trHeight w:val="223"/>
        </w:trPr>
        <w:tc>
          <w:tcPr>
            <w:tcW w:w="7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0"/>
              </w:rPr>
              <w:t>September 30, 2019</w:t>
            </w:r>
          </w:p>
        </w:tc>
        <w:tc>
          <w:tcPr>
            <w:tcW w:w="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September 30, 2018</w:t>
            </w:r>
          </w:p>
        </w:tc>
        <w:tc>
          <w:tcPr>
            <w:tcW w:w="220" w:type="dxa"/>
            <w:vAlign w:val="bottom"/>
          </w:tcPr>
          <w:p>
            <w:pPr>
              <w:spacing w:after="0"/>
              <w:rPr>
                <w:sz w:val="19"/>
                <w:szCs w:val="19"/>
                <w:color w:val="auto"/>
              </w:rPr>
            </w:pP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7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11.88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13.91</w:t>
            </w:r>
          </w:p>
        </w:tc>
      </w:tr>
      <w:tr>
        <w:trPr>
          <w:trHeight w:val="257"/>
        </w:trPr>
        <w:tc>
          <w:tcPr>
            <w:tcW w:w="7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0.69</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0.78</w:t>
            </w:r>
          </w:p>
        </w:tc>
      </w:tr>
      <w:tr>
        <w:trPr>
          <w:trHeight w:val="257"/>
        </w:trPr>
        <w:tc>
          <w:tcPr>
            <w:tcW w:w="7480" w:type="dxa"/>
            <w:vAlign w:val="bottom"/>
          </w:tcPr>
          <w:p>
            <w:pPr>
              <w:spacing w:after="0" w:line="256" w:lineRule="exact"/>
              <w:rPr>
                <w:sz w:val="20"/>
                <w:szCs w:val="20"/>
                <w:color w:val="auto"/>
              </w:rPr>
            </w:pPr>
            <w:r>
              <w:rPr>
                <w:rFonts w:ascii="Arial" w:cs="Arial" w:eastAsia="Arial" w:hAnsi="Arial"/>
                <w:sz w:val="18"/>
                <w:szCs w:val="18"/>
                <w:color w:val="auto"/>
              </w:rPr>
              <w:t>Net realized loss on investments</w:t>
            </w:r>
            <w:r>
              <w:rPr>
                <w:rFonts w:ascii="Arial" w:cs="Arial" w:eastAsia="Arial" w:hAnsi="Arial"/>
                <w:sz w:val="29"/>
                <w:szCs w:val="29"/>
                <w:color w:val="auto"/>
                <w:vertAlign w:val="superscript"/>
              </w:rPr>
              <w:t>(1)</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r>
      <w:tr>
        <w:trPr>
          <w:trHeight w:val="257"/>
        </w:trPr>
        <w:tc>
          <w:tcPr>
            <w:tcW w:w="7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unrealized depreciation on investments</w:t>
            </w:r>
            <w:r>
              <w:rPr>
                <w:rFonts w:ascii="Arial" w:cs="Arial" w:eastAsia="Arial" w:hAnsi="Arial"/>
                <w:sz w:val="29"/>
                <w:szCs w:val="29"/>
                <w:color w:val="auto"/>
                <w:vertAlign w:val="superscript"/>
              </w:rPr>
              <w:t>(1)</w:t>
            </w:r>
          </w:p>
        </w:tc>
        <w:tc>
          <w:tcPr>
            <w:tcW w:w="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r>
      <w:tr>
        <w:trPr>
          <w:trHeight w:val="257"/>
        </w:trPr>
        <w:tc>
          <w:tcPr>
            <w:tcW w:w="7480" w:type="dxa"/>
            <w:vAlign w:val="bottom"/>
          </w:tcPr>
          <w:p>
            <w:pPr>
              <w:spacing w:after="0" w:line="256" w:lineRule="exact"/>
              <w:rPr>
                <w:sz w:val="20"/>
                <w:szCs w:val="20"/>
                <w:color w:val="auto"/>
              </w:rPr>
            </w:pPr>
            <w:r>
              <w:rPr>
                <w:rFonts w:ascii="Arial" w:cs="Arial" w:eastAsia="Arial" w:hAnsi="Arial"/>
                <w:sz w:val="18"/>
                <w:szCs w:val="18"/>
                <w:color w:val="auto"/>
              </w:rPr>
              <w:t>Net unrealized appreciation on Written Call Option</w:t>
            </w:r>
            <w:r>
              <w:rPr>
                <w:rFonts w:ascii="Arial" w:cs="Arial" w:eastAsia="Arial" w:hAnsi="Arial"/>
                <w:sz w:val="29"/>
                <w:szCs w:val="29"/>
                <w:color w:val="auto"/>
                <w:vertAlign w:val="superscript"/>
              </w:rPr>
              <w:t>(1)</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0.43</w:t>
            </w:r>
          </w:p>
        </w:tc>
      </w:tr>
      <w:tr>
        <w:trPr>
          <w:trHeight w:val="257"/>
        </w:trPr>
        <w:tc>
          <w:tcPr>
            <w:tcW w:w="7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Tax benefit (provision)</w:t>
            </w:r>
            <w:r>
              <w:rPr>
                <w:rFonts w:ascii="Arial" w:cs="Arial" w:eastAsia="Arial" w:hAnsi="Arial"/>
                <w:sz w:val="29"/>
                <w:szCs w:val="29"/>
                <w:color w:val="auto"/>
                <w:vertAlign w:val="superscript"/>
              </w:rPr>
              <w:t>(1)</w:t>
            </w:r>
          </w:p>
        </w:tc>
        <w:tc>
          <w:tcPr>
            <w:tcW w:w="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Distributions declared from net investment income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(0.75)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(0.75)</w:t>
            </w:r>
          </w:p>
        </w:tc>
      </w:tr>
      <w:tr>
        <w:trPr>
          <w:trHeight w:val="270"/>
        </w:trPr>
        <w:tc>
          <w:tcPr>
            <w:tcW w:w="748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Other</w:t>
            </w:r>
            <w:r>
              <w:rPr>
                <w:rFonts w:ascii="Arial" w:cs="Arial" w:eastAsia="Arial" w:hAnsi="Arial"/>
                <w:sz w:val="30"/>
                <w:szCs w:val="30"/>
                <w:color w:val="auto"/>
                <w:vertAlign w:val="superscript"/>
              </w:rPr>
              <w:t>(7)</w:t>
            </w: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r>
      <w:tr>
        <w:trPr>
          <w:trHeight w:val="210"/>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 value at end of period</w:t>
            </w:r>
          </w:p>
        </w:tc>
        <w:tc>
          <w:tcPr>
            <w:tcW w:w="3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220" w:type="dxa"/>
            <w:vAlign w:val="bottom"/>
            <w:tcBorders>
              <w:bottom w:val="single" w:sz="8" w:color="CCEEFF"/>
            </w:tcBorders>
          </w:tcPr>
          <w:p>
            <w:pPr>
              <w:spacing w:after="0"/>
              <w:rPr>
                <w:sz w:val="18"/>
                <w:szCs w:val="18"/>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203,596</w:t>
            </w:r>
          </w:p>
        </w:tc>
        <w:tc>
          <w:tcPr>
            <w:tcW w:w="2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16,161,075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16,017,970</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7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w:t>
            </w:r>
          </w:p>
        </w:tc>
      </w:tr>
      <w:tr>
        <w:trPr>
          <w:trHeight w:val="257"/>
        </w:trPr>
        <w:tc>
          <w:tcPr>
            <w:tcW w:w="7480" w:type="dxa"/>
            <w:vAlign w:val="bottom"/>
          </w:tcPr>
          <w:p>
            <w:pPr>
              <w:spacing w:after="0" w:line="256"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(2)</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26.83%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31.81%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57"/>
        </w:trPr>
        <w:tc>
          <w:tcPr>
            <w:tcW w:w="7480" w:type="dxa"/>
            <w:vAlign w:val="bottom"/>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(9)</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8.96%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7.80%</w:t>
            </w:r>
          </w:p>
        </w:tc>
      </w:tr>
      <w:tr>
        <w:trPr>
          <w:trHeight w:val="257"/>
        </w:trPr>
        <w:tc>
          <w:tcPr>
            <w:tcW w:w="7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incentive fees, net of incentive fee waiver, to average net assets</w:t>
            </w:r>
            <w:r>
              <w:rPr>
                <w:rFonts w:ascii="Arial" w:cs="Arial" w:eastAsia="Arial" w:hAnsi="Arial"/>
                <w:sz w:val="29"/>
                <w:szCs w:val="29"/>
                <w:color w:val="auto"/>
                <w:vertAlign w:val="superscript"/>
              </w:rPr>
              <w:t>(6)(10)</w:t>
            </w:r>
          </w:p>
        </w:tc>
        <w:tc>
          <w:tcPr>
            <w:tcW w:w="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r>
      <w:tr>
        <w:trPr>
          <w:trHeight w:val="257"/>
        </w:trPr>
        <w:tc>
          <w:tcPr>
            <w:tcW w:w="7480" w:type="dxa"/>
            <w:vAlign w:val="bottom"/>
          </w:tcPr>
          <w:p>
            <w:pPr>
              <w:spacing w:after="0" w:line="256" w:lineRule="exact"/>
              <w:rPr>
                <w:sz w:val="20"/>
                <w:szCs w:val="20"/>
                <w:color w:val="auto"/>
              </w:rPr>
            </w:pPr>
            <w:r>
              <w:rPr>
                <w:rFonts w:ascii="Arial" w:cs="Arial" w:eastAsia="Arial" w:hAnsi="Arial"/>
                <w:sz w:val="18"/>
                <w:szCs w:val="18"/>
                <w:color w:val="auto"/>
              </w:rPr>
              <w:t>Ratio of interest and financing expenses to average net assets</w:t>
            </w:r>
            <w:r>
              <w:rPr>
                <w:rFonts w:ascii="Arial" w:cs="Arial" w:eastAsia="Arial" w:hAnsi="Arial"/>
                <w:sz w:val="29"/>
                <w:szCs w:val="29"/>
                <w:color w:val="auto"/>
                <w:vertAlign w:val="superscript"/>
              </w:rPr>
              <w:t>(8)</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8.06%</w:t>
            </w:r>
          </w:p>
        </w:tc>
      </w:tr>
      <w:tr>
        <w:trPr>
          <w:trHeight w:val="257"/>
        </w:trPr>
        <w:tc>
          <w:tcPr>
            <w:tcW w:w="7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tax (benefit) provision to average net assets</w:t>
            </w:r>
            <w:r>
              <w:rPr>
                <w:rFonts w:ascii="Arial" w:cs="Arial" w:eastAsia="Arial" w:hAnsi="Arial"/>
                <w:sz w:val="29"/>
                <w:szCs w:val="29"/>
                <w:color w:val="auto"/>
                <w:vertAlign w:val="superscript"/>
              </w:rPr>
              <w:t>(8)</w:t>
            </w:r>
          </w:p>
        </w:tc>
        <w:tc>
          <w:tcPr>
            <w:tcW w:w="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0.49%</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57"/>
        </w:trPr>
        <w:tc>
          <w:tcPr>
            <w:tcW w:w="7480" w:type="dxa"/>
            <w:vAlign w:val="bottom"/>
          </w:tcPr>
          <w:p>
            <w:pPr>
              <w:spacing w:after="0" w:line="256" w:lineRule="exact"/>
              <w:rPr>
                <w:sz w:val="20"/>
                <w:szCs w:val="20"/>
                <w:color w:val="auto"/>
              </w:rPr>
            </w:pPr>
            <w:r>
              <w:rPr>
                <w:rFonts w:ascii="Arial" w:cs="Arial" w:eastAsia="Arial" w:hAnsi="Arial"/>
                <w:sz w:val="18"/>
                <w:szCs w:val="18"/>
                <w:color w:val="auto"/>
              </w:rPr>
              <w:t>Ratio of other operating expenses to average net assets</w:t>
            </w:r>
            <w:r>
              <w:rPr>
                <w:rFonts w:ascii="Arial" w:cs="Arial" w:eastAsia="Arial" w:hAnsi="Arial"/>
                <w:sz w:val="29"/>
                <w:szCs w:val="29"/>
                <w:color w:val="auto"/>
                <w:vertAlign w:val="superscript"/>
              </w:rPr>
              <w:t>(8)</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7.28%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6.32%</w:t>
            </w:r>
          </w:p>
        </w:tc>
      </w:tr>
      <w:tr>
        <w:trPr>
          <w:trHeight w:val="205"/>
        </w:trPr>
        <w:tc>
          <w:tcPr>
            <w:tcW w:w="74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5"/>
              </w:rPr>
              <w:t>Ratio of total expenses including tax (benefit) provision, net of incentive fee waiver, to average net</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67"/>
        </w:trPr>
        <w:tc>
          <w:tcPr>
            <w:tcW w:w="7480" w:type="dxa"/>
            <w:vAlign w:val="bottom"/>
            <w:shd w:val="clear" w:color="auto" w:fill="CCEEFF"/>
          </w:tcPr>
          <w:p>
            <w:pPr>
              <w:ind w:left="180"/>
              <w:spacing w:after="0" w:line="266" w:lineRule="exact"/>
              <w:rPr>
                <w:sz w:val="20"/>
                <w:szCs w:val="20"/>
                <w:color w:val="auto"/>
              </w:rPr>
            </w:pPr>
            <w:r>
              <w:rPr>
                <w:rFonts w:ascii="Arial" w:cs="Arial" w:eastAsia="Arial" w:hAnsi="Arial"/>
                <w:sz w:val="30"/>
                <w:szCs w:val="30"/>
                <w:color w:val="auto"/>
                <w:vertAlign w:val="subscript"/>
              </w:rPr>
              <w:t>assets</w:t>
            </w:r>
            <w:r>
              <w:rPr>
                <w:rFonts w:ascii="Arial" w:cs="Arial" w:eastAsia="Arial" w:hAnsi="Arial"/>
                <w:sz w:val="14"/>
                <w:szCs w:val="14"/>
                <w:color w:val="auto"/>
              </w:rPr>
              <w:t>(6)(9)</w:t>
            </w: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18.46%</w:t>
            </w: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13.76%</w:t>
            </w:r>
          </w:p>
        </w:tc>
      </w:tr>
      <w:tr>
        <w:trPr>
          <w:trHeight w:val="257"/>
        </w:trPr>
        <w:tc>
          <w:tcPr>
            <w:tcW w:w="7480" w:type="dxa"/>
            <w:vAlign w:val="bottom"/>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(3)</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11.71%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12.23%</w:t>
            </w:r>
          </w:p>
        </w:tc>
      </w:tr>
      <w:tr>
        <w:trPr>
          <w:trHeight w:val="257"/>
        </w:trPr>
        <w:tc>
          <w:tcPr>
            <w:tcW w:w="7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9"/>
                <w:szCs w:val="29"/>
                <w:color w:val="auto"/>
                <w:vertAlign w:val="superscript"/>
              </w:rPr>
              <w:t>(4)</w:t>
            </w:r>
          </w:p>
        </w:tc>
        <w:tc>
          <w:tcPr>
            <w:tcW w:w="7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294,345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305,337</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Average debt outstanding per common share</w:t>
            </w:r>
          </w:p>
        </w:tc>
        <w:tc>
          <w:tcPr>
            <w:tcW w:w="7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18.21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19.06</w:t>
            </w:r>
          </w:p>
        </w:tc>
      </w:tr>
      <w:tr>
        <w:trPr>
          <w:trHeight w:val="257"/>
        </w:trPr>
        <w:tc>
          <w:tcPr>
            <w:tcW w:w="7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Asset coverage ratio per unit</w:t>
            </w:r>
            <w:r>
              <w:rPr>
                <w:rFonts w:ascii="Arial" w:cs="Arial" w:eastAsia="Arial" w:hAnsi="Arial"/>
                <w:sz w:val="29"/>
                <w:szCs w:val="29"/>
                <w:color w:val="auto"/>
                <w:vertAlign w:val="superscript"/>
              </w:rPr>
              <w:t>(5)</w:t>
            </w:r>
          </w:p>
        </w:tc>
        <w:tc>
          <w:tcPr>
            <w:tcW w:w="7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2,602</w:t>
            </w:r>
          </w:p>
        </w:tc>
      </w:tr>
    </w:tbl>
    <w:p>
      <w:pPr>
        <w:spacing w:after="0" w:line="202"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23" w:lineRule="exact"/>
        <w:rPr>
          <w:rFonts w:ascii="Arial" w:cs="Arial" w:eastAsia="Arial" w:hAnsi="Arial"/>
          <w:sz w:val="18"/>
          <w:szCs w:val="18"/>
          <w:color w:val="auto"/>
        </w:rPr>
      </w:pPr>
    </w:p>
    <w:p>
      <w:pPr>
        <w:jc w:val="both"/>
        <w:ind w:left="360" w:hanging="352"/>
        <w:spacing w:after="0" w:line="250"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ind w:left="360" w:right="20" w:hanging="352"/>
        <w:spacing w:after="0" w:line="250"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the daily weighted average balance of debt outstanding during the period.</w:t>
      </w:r>
    </w:p>
    <w:p>
      <w:pPr>
        <w:spacing w:after="0" w:line="9" w:lineRule="exact"/>
        <w:rPr>
          <w:rFonts w:ascii="Arial" w:cs="Arial" w:eastAsia="Arial" w:hAnsi="Arial"/>
          <w:sz w:val="18"/>
          <w:szCs w:val="18"/>
          <w:color w:val="auto"/>
        </w:rPr>
      </w:pPr>
    </w:p>
    <w:p>
      <w:pPr>
        <w:jc w:val="both"/>
        <w:ind w:left="360" w:hanging="352"/>
        <w:spacing w:after="0" w:line="265" w:lineRule="auto"/>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September 30, 2019 and September 30, 2018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indebtedness.</w:t>
      </w:r>
    </w:p>
    <w:p>
      <w:pPr>
        <w:spacing w:after="0" w:line="1" w:lineRule="exact"/>
        <w:rPr>
          <w:rFonts w:ascii="Arial" w:cs="Arial" w:eastAsia="Arial" w:hAnsi="Arial"/>
          <w:sz w:val="17"/>
          <w:szCs w:val="17"/>
          <w:color w:val="auto"/>
        </w:rPr>
      </w:pPr>
    </w:p>
    <w:p>
      <w:pPr>
        <w:ind w:left="360" w:hanging="352"/>
        <w:spacing w:after="0" w:line="250"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ratio of waived incentive fees to average net assets was 0.17% and 0.00%, respectively, for the nine months ended September 30, 2019 and September 30, 2018.</w:t>
      </w:r>
    </w:p>
    <w:p>
      <w:pPr>
        <w:ind w:left="360" w:hanging="352"/>
        <w:spacing w:after="0" w:line="281"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Ratios are annualized. Incentive fees, net of incentive fee waiver included within the ratio are not annualized.</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Ratio is not annualized.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September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1, 2019, the Company’s Board declared normal monthly distributions for October, November, and December of 2019 as set forth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ind w:left="1000"/>
              <w:spacing w:after="0"/>
              <w:rPr>
                <w:sz w:val="20"/>
                <w:szCs w:val="20"/>
                <w:color w:val="auto"/>
              </w:rPr>
            </w:pPr>
            <w:r>
              <w:rPr>
                <w:rFonts w:ascii="Arial" w:cs="Arial" w:eastAsia="Arial" w:hAnsi="Arial"/>
                <w:sz w:val="18"/>
                <w:szCs w:val="18"/>
                <w:b w:val="1"/>
                <w:bCs w:val="1"/>
                <w:color w:val="auto"/>
              </w:rPr>
              <w:t>Date Declared</w:t>
            </w:r>
          </w:p>
        </w:tc>
        <w:tc>
          <w:tcPr>
            <w:tcW w:w="2960" w:type="dxa"/>
            <w:vAlign w:val="bottom"/>
          </w:tcPr>
          <w:p>
            <w:pPr>
              <w:ind w:left="100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2980" w:type="dxa"/>
            <w:vAlign w:val="bottom"/>
          </w:tcPr>
          <w:p>
            <w:pPr>
              <w:ind w:left="94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Arial" w:cs="Arial" w:eastAsia="Arial" w:hAnsi="Arial"/>
                <w:sz w:val="18"/>
                <w:szCs w:val="18"/>
                <w:b w:val="1"/>
                <w:bCs w:val="1"/>
                <w:color w:val="auto"/>
                <w:w w:val="95"/>
              </w:rPr>
              <w:t>Distributions per Share</w:t>
            </w: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2019</w:t>
            </w:r>
          </w:p>
        </w:tc>
        <w:tc>
          <w:tcPr>
            <w:tcW w:w="24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22, 2019</w:t>
            </w:r>
          </w:p>
        </w:tc>
        <w:tc>
          <w:tcPr>
            <w:tcW w:w="12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29, 2019</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October 1, 2019</w:t>
            </w:r>
          </w:p>
        </w:tc>
        <w:tc>
          <w:tcPr>
            <w:tcW w:w="2960" w:type="dxa"/>
            <w:vAlign w:val="bottom"/>
          </w:tcPr>
          <w:p>
            <w:pPr>
              <w:spacing w:after="0"/>
              <w:rPr>
                <w:sz w:val="20"/>
                <w:szCs w:val="20"/>
                <w:color w:val="auto"/>
              </w:rPr>
            </w:pPr>
            <w:r>
              <w:rPr>
                <w:rFonts w:ascii="Arial" w:cs="Arial" w:eastAsia="Arial" w:hAnsi="Arial"/>
                <w:sz w:val="18"/>
                <w:szCs w:val="18"/>
                <w:color w:val="auto"/>
              </w:rPr>
              <w:t>November 22, 2019</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November 29, 2019</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2019</w:t>
            </w: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December 23, 2019</w:t>
            </w:r>
          </w:p>
        </w:tc>
        <w:tc>
          <w:tcPr>
            <w:tcW w:w="3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December 30, 2019</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On October 8, 2019, the Board of Directors appointed Kevin A. Koonts to replace Richard G. Wheelahan III as the Chief Compliance Officer and Secretary of the Company. Kevin A. Koonts will continue to serve as the Company’s Chief Accounting Officer and Treasurer.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Some of the statements in the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181" w:lineRule="exact"/>
        <w:rPr>
          <w:sz w:val="20"/>
          <w:szCs w:val="20"/>
          <w:color w:val="auto"/>
        </w:rPr>
      </w:pPr>
    </w:p>
    <w:p>
      <w:pPr>
        <w:ind w:left="1620" w:hanging="315"/>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1660" w:right="20" w:hanging="342"/>
        <w:spacing w:after="0" w:line="277" w:lineRule="auto"/>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1660" w:hanging="342"/>
        <w:spacing w:after="0"/>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lending and investment activities;</w:t>
      </w:r>
    </w:p>
    <w:p>
      <w:pPr>
        <w:spacing w:after="0" w:line="236" w:lineRule="exact"/>
        <w:rPr>
          <w:rFonts w:ascii="Arial" w:cs="Arial" w:eastAsia="Arial" w:hAnsi="Arial"/>
          <w:sz w:val="17"/>
          <w:szCs w:val="17"/>
          <w:color w:val="auto"/>
        </w:rPr>
      </w:pPr>
    </w:p>
    <w:p>
      <w:pPr>
        <w:ind w:left="1660" w:hanging="342"/>
        <w:spacing w:after="0"/>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if we use leverage as part of our investment strategy; and</w:t>
      </w:r>
    </w:p>
    <w:p>
      <w:pPr>
        <w:spacing w:after="0" w:line="236" w:lineRule="exact"/>
        <w:rPr>
          <w:rFonts w:ascii="Arial" w:cs="Arial" w:eastAsia="Arial" w:hAnsi="Arial"/>
          <w:sz w:val="17"/>
          <w:szCs w:val="17"/>
          <w:color w:val="auto"/>
        </w:rPr>
      </w:pPr>
    </w:p>
    <w:p>
      <w:pPr>
        <w:ind w:left="1660" w:right="20" w:hanging="342"/>
        <w:spacing w:after="0" w:line="277" w:lineRule="auto"/>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our Annual Report on Form 10-K and in this quarterly report on Form 10-Q.</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2018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$30.0 million in trailing twelve-month earnings before interest, tax, depreciation, and amortization (‘‘EBITDA’’).</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invest in first lien loans, second lien loans, and subordinated loans, and, to a lesser extent, equity securities issued by lower middle-market companies and traditional middle-market companies.</w:t>
      </w:r>
    </w:p>
    <w:p>
      <w:pPr>
        <w:spacing w:after="0" w:line="170" w:lineRule="exact"/>
        <w:rPr>
          <w:sz w:val="20"/>
          <w:szCs w:val="20"/>
          <w:color w:val="auto"/>
        </w:rPr>
      </w:pPr>
    </w:p>
    <w:p>
      <w:pPr>
        <w:jc w:val="both"/>
        <w:ind w:right="100" w:firstLine="648"/>
        <w:spacing w:after="0" w:line="268" w:lineRule="auto"/>
        <w:rPr>
          <w:sz w:val="20"/>
          <w:szCs w:val="20"/>
          <w:color w:val="auto"/>
        </w:rPr>
      </w:pPr>
      <w:r>
        <w:rPr>
          <w:rFonts w:ascii="Arial" w:cs="Arial" w:eastAsia="Arial" w:hAnsi="Arial"/>
          <w:sz w:val="17"/>
          <w:szCs w:val="17"/>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(or 150%, if certain requirements are met, after November 1, 2019) after such borrowing, with certain limited exceptions.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On November 1, 2018, the Board, including a ‘‘required majority’’ (as such term is defined in Section 57(o) of the 1940 Act) approved the application of the modified asset coverage. As a result, our asset coverage requirements for senior securities will be changed from 200% to 150%, effective November 1, 2019. As of September 30, 2019, our asset coverage ratio was 219.5%.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 term capital gains in excess of realized net long-term capital losses, if any, for the taxable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w:t>
      </w:r>
    </w:p>
    <w:p>
      <w:pPr>
        <w:jc w:val="both"/>
        <w:ind w:firstLine="8"/>
        <w:spacing w:after="0" w:line="292" w:lineRule="auto"/>
        <w:tabs>
          <w:tab w:leader="none" w:pos="225"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retained their SBIC licenses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SBA debentures and relinquished its SBIC license.</w:t>
      </w:r>
    </w:p>
    <w:p>
      <w:pPr>
        <w:spacing w:after="0" w:line="1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U.S. Small Business Administration (“SBA”) guaranteed debt payable. Fund III, our subsidiary, is licensed under the Small Business Investment Company (“SBIC”) Act and has elected to be regulated as a BDC under the 1940 Act. Fund II, our subsidiary, was licensed under the SBIC Act until March 1, 2019 and has elected to be regulated as a BDC under the 1940 Act.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both"/>
        <w:ind w:firstLine="648"/>
        <w:spacing w:after="0" w:line="264"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 Taxable Subsidiaries allow the Company to make equity investments in companies organized as pass-through entities while continuing to satisfy the requirements of a RIC under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is considered an investment company as defined in Accounting Standards Codification (“ASC”) Topic 946 —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Investment Companies </w:t>
      </w:r>
      <w:r>
        <w:rPr>
          <w:rFonts w:ascii="Arial" w:cs="Arial" w:eastAsia="Arial" w:hAnsi="Arial"/>
          <w:sz w:val="18"/>
          <w:szCs w:val="18"/>
          <w:color w:val="auto"/>
        </w:rPr>
        <w:t>(“ASC 946”). The accompanying unaudited consolidated financial statements have been prepared on the accrual basis of accounting in</w:t>
      </w:r>
      <w:r>
        <w:rPr>
          <w:rFonts w:ascii="Arial" w:cs="Arial" w:eastAsia="Arial" w:hAnsi="Arial"/>
          <w:sz w:val="18"/>
          <w:szCs w:val="18"/>
          <w:i w:val="1"/>
          <w:iCs w:val="1"/>
          <w:color w:val="auto"/>
        </w:rPr>
        <w:t xml:space="preserve"> </w:t>
      </w:r>
      <w:r>
        <w:rPr>
          <w:rFonts w:ascii="Arial" w:cs="Arial" w:eastAsia="Arial" w:hAnsi="Arial"/>
          <w:sz w:val="18"/>
          <w:szCs w:val="18"/>
          <w:color w:val="auto"/>
        </w:rPr>
        <w:t>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financial statements as of September 30, 2019 and December 31, 2018 and for the periods ended September 30, 2019 and September 30, 2018 are presented on a consolidated basis. The effects of all intercompany transactions between the Company and its subsidiaries (Fund II, Fund III,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and the Taxable Subsidiaries) in its consolidated financial statements. The Company does not consolidate its interest in Capitala Senior Loan Fund II, LLC (‘‘CSLF II’’) because the investment is not considered a substantially wholly owned investment company subsidiary. Further, CSLF II is a joint venture for which shared power exists relating to the decisions that most significantly impact the economic performance of the entity. See Note 4 to the consolidated financial statements for a description of the Company’s investment in CSLF II.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amendment, structuring or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88" w:lineRule="exact"/>
        <w:rPr>
          <w:sz w:val="20"/>
          <w:szCs w:val="20"/>
          <w:color w:val="auto"/>
        </w:rPr>
      </w:pPr>
    </w:p>
    <w:p>
      <w:pPr>
        <w:ind w:left="620" w:hanging="328"/>
        <w:spacing w:after="0"/>
        <w:tabs>
          <w:tab w:leader="none" w:pos="620" w:val="left"/>
        </w:tabs>
        <w:numPr>
          <w:ilvl w:val="5"/>
          <w:numId w:val="20"/>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25" w:lineRule="exact"/>
        <w:rPr>
          <w:rFonts w:ascii="Arial" w:cs="Arial" w:eastAsia="Arial" w:hAnsi="Arial"/>
          <w:sz w:val="18"/>
          <w:szCs w:val="18"/>
          <w:color w:val="auto"/>
        </w:rPr>
      </w:pPr>
    </w:p>
    <w:p>
      <w:pPr>
        <w:ind w:left="420" w:hanging="331"/>
        <w:spacing w:after="0"/>
        <w:tabs>
          <w:tab w:leader="none" w:pos="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420" w:hanging="317"/>
        <w:spacing w:after="0"/>
        <w:tabs>
          <w:tab w:leader="none" w:pos="42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460" w:hanging="317"/>
        <w:spacing w:after="0"/>
        <w:tabs>
          <w:tab w:leader="none" w:pos="460" w:val="left"/>
        </w:tabs>
        <w:numPr>
          <w:ilvl w:val="3"/>
          <w:numId w:val="20"/>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ind w:left="380" w:hanging="318"/>
        <w:spacing w:after="0" w:line="342"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23" w:lineRule="exact"/>
        <w:rPr>
          <w:rFonts w:ascii="Arial" w:cs="Arial" w:eastAsia="Arial" w:hAnsi="Arial"/>
          <w:sz w:val="16"/>
          <w:szCs w:val="16"/>
          <w:color w:val="auto"/>
        </w:rPr>
      </w:pPr>
    </w:p>
    <w:p>
      <w:pPr>
        <w:ind w:left="580" w:hanging="329"/>
        <w:spacing w:after="0"/>
        <w:tabs>
          <w:tab w:leader="none" w:pos="580" w:val="left"/>
        </w:tabs>
        <w:numPr>
          <w:ilvl w:val="4"/>
          <w:numId w:val="2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left="480" w:hanging="323"/>
        <w:spacing w:after="0"/>
        <w:tabs>
          <w:tab w:leader="none" w:pos="480" w:val="left"/>
        </w:tabs>
        <w:numPr>
          <w:ilvl w:val="3"/>
          <w:numId w:val="2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380" w:hanging="318"/>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as amended (the “1934 Act”), other applicable federal and state securities laws, and ongoing stock exchange listing fees;</w:t>
      </w:r>
    </w:p>
    <w:p>
      <w:pPr>
        <w:spacing w:after="0" w:line="170" w:lineRule="exact"/>
        <w:rPr>
          <w:rFonts w:ascii="Arial" w:cs="Arial" w:eastAsia="Arial" w:hAnsi="Arial"/>
          <w:sz w:val="18"/>
          <w:szCs w:val="18"/>
          <w:color w:val="auto"/>
        </w:rPr>
      </w:pPr>
    </w:p>
    <w:p>
      <w:pPr>
        <w:ind w:left="600" w:hanging="322"/>
        <w:spacing w:after="0"/>
        <w:tabs>
          <w:tab w:leader="none" w:pos="600" w:val="left"/>
        </w:tabs>
        <w:numPr>
          <w:ilvl w:val="5"/>
          <w:numId w:val="2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520" w:hanging="323"/>
        <w:spacing w:after="0"/>
        <w:tabs>
          <w:tab w:leader="none" w:pos="520" w:val="left"/>
        </w:tabs>
        <w:numPr>
          <w:ilvl w:val="4"/>
          <w:numId w:val="2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6"/>
          <w:numId w:val="2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420" w:hanging="331"/>
        <w:spacing w:after="0"/>
        <w:tabs>
          <w:tab w:leader="none" w:pos="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225" w:lineRule="exact"/>
        <w:rPr>
          <w:rFonts w:ascii="Arial" w:cs="Arial" w:eastAsia="Arial" w:hAnsi="Arial"/>
          <w:sz w:val="18"/>
          <w:szCs w:val="18"/>
          <w:color w:val="auto"/>
        </w:rPr>
      </w:pPr>
    </w:p>
    <w:p>
      <w:pPr>
        <w:ind w:left="420" w:hanging="331"/>
        <w:spacing w:after="0"/>
        <w:tabs>
          <w:tab w:leader="none" w:pos="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25" w:lineRule="exact"/>
        <w:rPr>
          <w:rFonts w:ascii="Arial" w:cs="Arial" w:eastAsia="Arial" w:hAnsi="Arial"/>
          <w:sz w:val="18"/>
          <w:szCs w:val="18"/>
          <w:color w:val="auto"/>
        </w:rPr>
      </w:pPr>
    </w:p>
    <w:p>
      <w:pPr>
        <w:ind w:left="420" w:hanging="317"/>
        <w:spacing w:after="0"/>
        <w:tabs>
          <w:tab w:leader="none" w:pos="420" w:val="left"/>
        </w:tabs>
        <w:numPr>
          <w:ilvl w:val="2"/>
          <w:numId w:val="2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jc w:val="both"/>
        <w:ind w:left="380" w:hanging="318"/>
        <w:spacing w:after="0" w:line="25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establishes a framework used to measure fair value and requires disclosures for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Valuations based on unadjusted quoted prices in active markets for identical assets or liabilities that the Company has the 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5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jc w:val="both"/>
        <w:ind w:firstLine="648"/>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practical expedient, the Company uses net asset value (“NAV”) as the fair value for its equity investment in CSLF II. CSLF II records its underlying investments at fair value on a quarterly basis in accordance with the 1940 Act and ASC 820.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 amounts are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collected. The Company has loans in the portfolio that contain a PIK interest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Management reviews all loans that become 90 days or more past due, or when there is reasonable doubt that principal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investments in portfolio companies are recognized as income when the investment transaction closes. Prepayment penalties received by the Company for debt instruments repaid prior to the maturity date are recorded as income upon receipt.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firstLine="648"/>
        <w:spacing w:after="0" w:line="264"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elected to amend its tax year end from August 31 to December 31 and filed a tax return for the four months ended December 31, 2017. The tax periods ended December 31, 2018, December 31, 2017, August 31, 2017, and August 31, 2016 remain subject to examination by U.S. federal, state, and local tax authorities. No interest expense or penalties have been assessed for the periods ended September 30, 2019 and 2018. If the Company was required to recognize interest and penalties, if any, related to unrecognized tax benefits this would be recognized as income tax expense in the consolidated statements of operations.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Taxable Subsidiaries record deferred tax assets or liabilities related to temporary book versus tax differences on the income or loss generated by the underlying equity investments held by the Taxable Subsidiaries. As of September 30, 2019 and December 31, 2018, the Company recorded a net deferred tax asset of $0.0 million and $0.6 million, respectively. For the three and nine months ended September 30, 2019, the Company recorded a tax provision of $0.0 million and $(0.6) million, respectively. For the three and nine months ended September 30, 2018, the Company recorded a tax benefit (provision) of $(0.1) million and $1.2 million, respectively. As of September 30, 2019 and December 31, 2018, the valuation allowance on the Company’s deferred tax asset was $3.1 million and $0.4 million, respectively. During the three and nine months ended September 30, 2019, the Company recognized an increase in the valuation allowance of $0.7 million and $2.7 million, respectively. No change in the valuation allowance was recognized for the three and nine months ended September 30, 2018.</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2019 and December 31, 2018, there were no uncertain tax positions.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ind w:firstLine="648"/>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September 30, 2019 and December 31, 2018.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and subordinated loans and, to a lesser extent, equity securities issued by lower middle-market companies and traditional middle-market companies. As of September 30, 2019, our portfolio consisted of investments in 40 portfolio companies with a fair value of approximately $371.4 million.</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Unitranche debt, a form of first lien loan, typically involves issuing one debt security that blends the risk and return profiles of both senior secured and subordinated debt in one debt security, bifurcating the loan into a first-out tranche and last-out tranche. As of September 30, 2019, 18.6% of the fair value of our first lien loans consisted of last-out loans. As of December 31, 2018, 13.7% of the fair value of our first lien loans consisted of last-out loans. In some cases, first lien loans may be subordinated, solely with respect to the payment of cash interest, to an asset based revolving credit facility.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first and second lien loans, the Company may also invest in subordinated loans. Subordinated loans typically have a second lien on all or substantially all of the borrower’s assets, but unlike second lien loans, may be subject to the interruption of cash interest payments upon certain events of default, at the discretion of the first lien lender.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September 30, 2019, we made approximately $13.9 million of investments and had approximately $33.2 million in repayments and sales of investments, resulting in net repayments and sales of approximately $19.3 million for the period. During the three months ended September 30, 2018, we made approximately $19.9 million of investments and had approximately $42.6 million in repayments and sales, resulting in net repayments and sales of approximately $22.7 million for the period.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nine months ended September 30, 2019, we made approximately $48.8 million of investments and had approximately $91.3 million in repayments and sales of investments, resulting in net repayments and sales of approximately $42.5 million for the period. During the nine months ended September 30, 2018, we made approximately $58.9 million of investments and had approximately $96.3 million in repayments and sales, resulting in net repayments and sales of approximately $37.4 million for the period.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2019, our debt investment portfolio, which represented 75.3% of the fair value of our total portfolio, had a weighted average annualized yield of approximately 11.5%. As of September 30, 2019, 39.0% of the fair value of our debt investment portfolio was bearing a fixed rate of interest. As of December 31, 2018, our debt investment portfolio, which represented 76.4% of the fair value of our total portfolio, had a weighted average annualized yield of approximately 11.9%. As of December 31, 2018, 41.4% of the fair value of our debt investment portfolio was bearing a fixed rate of interest.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amortized cost and the fair value of investments as of September 30, 2019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4"/>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40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20"/>
                <w:szCs w:val="20"/>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230,297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220,049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Second Lien Debt</w:t>
            </w: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17,499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16,841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4.5</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45,232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42,868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Equity and Warrants</w:t>
            </w: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52,945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77,935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21.0</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Capitala Senior Loan Fund II, LLC</w:t>
            </w: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13,658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359,573</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371,351</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0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54</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0" w:name="page61"/>
    <w:bookmarkEnd w:id="60"/>
    <w:p>
      <w:pPr>
        <w:ind w:left="500"/>
        <w:spacing w:after="0"/>
        <w:rPr>
          <w:sz w:val="20"/>
          <w:szCs w:val="20"/>
          <w:color w:val="auto"/>
        </w:rPr>
      </w:pPr>
      <w:r>
        <w:rPr>
          <w:rFonts w:ascii="Arial" w:cs="Arial" w:eastAsia="Arial" w:hAnsi="Arial"/>
          <w:sz w:val="18"/>
          <w:szCs w:val="18"/>
          <w:color w:val="auto"/>
        </w:rPr>
        <w:t>The following table summarizes the amortized cost and the fair value of investments as of December 31, 2018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4"/>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33,040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32,495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72,562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73,113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48,594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92,054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Capitala Senior Loan Fund II, LLC</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419,970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shows the portfolio composition by industry grouping at fair value as of September 30, 2019 and December 31, 2018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2018</w:t>
            </w:r>
          </w:p>
        </w:tc>
      </w:tr>
      <w:tr>
        <w:trPr>
          <w:trHeight w:val="191"/>
        </w:trPr>
        <w:tc>
          <w:tcPr>
            <w:tcW w:w="4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60" w:type="dxa"/>
            <w:vAlign w:val="bottom"/>
            <w:tcBorders>
              <w:top w:val="single" w:sz="8" w:color="auto"/>
            </w:tcBorders>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w w:val="91"/>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160" w:type="dxa"/>
            <w:vAlign w:val="bottom"/>
          </w:tcPr>
          <w:p>
            <w:pPr>
              <w:spacing w:after="0"/>
              <w:rPr>
                <w:sz w:val="16"/>
                <w:szCs w:val="16"/>
                <w:color w:val="auto"/>
              </w:rPr>
            </w:pPr>
          </w:p>
        </w:tc>
      </w:tr>
      <w:tr>
        <w:trPr>
          <w:trHeight w:val="234"/>
        </w:trPr>
        <w:tc>
          <w:tcPr>
            <w:tcW w:w="452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Financial Services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29,408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21,666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4.8</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16,972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Consumer Products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25,108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27,746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6.2</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 Services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19,390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19,496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Food Product Manufacturer</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17,007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17,335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3.9</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Automobile Part Manufacturer</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14,571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IT Consulting</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14,169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15,233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3.4</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Investment Funds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13,658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13,695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Healthcare Management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12,968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13,792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Multi-platform media and consumer products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Textile Equipment Manufacturer</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11,485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12,848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Entertainment</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Government Services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11,023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12,109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Testing laboratories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7,214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7,503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25,232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Oil &amp; Gas Engineering and Consulting Services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6,211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6,854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Electronic Machine Repair</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Medical Device Distributor</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4,894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4,797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Data Services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Restaurant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4,800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4,903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Advertising &amp; Marketing Services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Professional and Personal Digital Imaging</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3,656</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6,674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Online Merchandise Retailer</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Footwear Retail</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3,184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3,184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Logistics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Computer Supply Retail</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2,935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10,597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2.4</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Home Repair Parts Manufacturer</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2,497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1,722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0.4</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QSR Franchisor</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General Industrial</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838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Household Product Manufacturer</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Data Processing &amp; Digital Marketing</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708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742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Industrial Equipment Rental</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16,327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14,833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Conglomerate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9,004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Produce Distribution</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Farming</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5,880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r>
      <w:tr>
        <w:trPr>
          <w:trHeight w:val="223"/>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5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1" w:name="page62"/>
    <w:bookmarkEnd w:id="61"/>
    <w:p>
      <w:pPr>
        <w:jc w:val="both"/>
        <w:ind w:firstLine="648"/>
        <w:spacing w:after="0" w:line="279" w:lineRule="auto"/>
        <w:rPr>
          <w:sz w:val="20"/>
          <w:szCs w:val="20"/>
          <w:color w:val="auto"/>
        </w:rPr>
      </w:pPr>
      <w:r>
        <w:rPr>
          <w:rFonts w:ascii="Arial" w:cs="Arial" w:eastAsia="Arial" w:hAnsi="Arial"/>
          <w:sz w:val="17"/>
          <w:szCs w:val="17"/>
          <w:color w:val="auto"/>
        </w:rPr>
        <w:t>With the exception of the international investment holdings noted below, all investments made by the Company as of September 30, 2019 and December 31, 2018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September 30, 2019 and December 31, 2018 (dollars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 2018</w:t>
            </w:r>
          </w:p>
        </w:tc>
      </w:tr>
      <w:tr>
        <w:trPr>
          <w:trHeight w:val="191"/>
        </w:trPr>
        <w:tc>
          <w:tcPr>
            <w:tcW w:w="5580" w:type="dxa"/>
            <w:vAlign w:val="bottom"/>
          </w:tcPr>
          <w:p>
            <w:pPr>
              <w:spacing w:after="0"/>
              <w:rPr>
                <w:sz w:val="16"/>
                <w:szCs w:val="16"/>
                <w:color w:val="auto"/>
              </w:rPr>
            </w:pPr>
          </w:p>
        </w:tc>
        <w:tc>
          <w:tcPr>
            <w:tcW w:w="1460" w:type="dxa"/>
            <w:vAlign w:val="bottom"/>
            <w:tcBorders>
              <w:top w:val="single" w:sz="8" w:color="auto"/>
            </w:tcBorders>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w w:val="91"/>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160" w:type="dxa"/>
            <w:vAlign w:val="bottom"/>
            <w:gridSpan w:val="2"/>
          </w:tcPr>
          <w:p>
            <w:pPr>
              <w:spacing w:after="0"/>
              <w:rPr>
                <w:sz w:val="16"/>
                <w:szCs w:val="16"/>
                <w:color w:val="auto"/>
              </w:rPr>
            </w:pPr>
          </w:p>
        </w:tc>
      </w:tr>
      <w:tr>
        <w:trPr>
          <w:trHeight w:val="234"/>
        </w:trPr>
        <w:tc>
          <w:tcPr>
            <w:tcW w:w="5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197,118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224,856</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Northeast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60,991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66,303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56,740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77,537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West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56,502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77,353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371,351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various risk management tools, our Investment Advisor uses an investment rating system to characterize and monitor our expected level of return on each investment in our portfolio.</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ectPr>
          <w:pgSz w:w="11900" w:h="16838" w:orient="portrait"/>
          <w:cols w:equalWidth="0" w:num="1">
            <w:col w:w="11420"/>
          </w:cols>
          <w:pgMar w:left="240" w:top="909" w:right="239" w:bottom="1440" w:gutter="0" w:footer="0" w:header="0"/>
        </w:sectPr>
      </w:pPr>
    </w:p>
    <w:p>
      <w:pPr>
        <w:spacing w:after="0" w:line="221" w:lineRule="exact"/>
        <w:rPr>
          <w:sz w:val="20"/>
          <w:szCs w:val="20"/>
          <w:color w:val="auto"/>
        </w:rPr>
      </w:pPr>
    </w:p>
    <w:p>
      <w:pPr>
        <w:jc w:val="center"/>
        <w:ind w:right="4120"/>
        <w:spacing w:after="0"/>
        <w:rPr>
          <w:sz w:val="20"/>
          <w:szCs w:val="20"/>
          <w:color w:val="auto"/>
        </w:rPr>
      </w:pPr>
      <w:r>
        <w:rPr>
          <w:rFonts w:ascii="Arial" w:cs="Arial" w:eastAsia="Arial" w:hAnsi="Arial"/>
          <w:sz w:val="16"/>
          <w:szCs w:val="16"/>
          <w:b w:val="1"/>
          <w:bCs w:val="1"/>
          <w:color w:val="auto"/>
        </w:rPr>
        <w:t>Investment</w:t>
      </w:r>
    </w:p>
    <w:p>
      <w:pPr>
        <w:spacing w:after="0" w:line="50" w:lineRule="exact"/>
        <w:rPr>
          <w:sz w:val="20"/>
          <w:szCs w:val="20"/>
          <w:color w:val="auto"/>
        </w:rPr>
      </w:pPr>
    </w:p>
    <w:p>
      <w:pPr>
        <w:jc w:val="center"/>
        <w:ind w:right="412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8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640"/>
        <w:spacing w:after="0"/>
        <w:rPr>
          <w:sz w:val="20"/>
          <w:szCs w:val="20"/>
          <w:color w:val="auto"/>
        </w:rPr>
      </w:pPr>
      <w:r>
        <w:rPr>
          <w:rFonts w:ascii="Arial" w:cs="Arial" w:eastAsia="Arial" w:hAnsi="Arial"/>
          <w:sz w:val="16"/>
          <w:szCs w:val="16"/>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31750</wp:posOffset>
            </wp:positionV>
            <wp:extent cx="63715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5300" w:space="720"/>
            <w:col w:w="5400"/>
          </w:cols>
          <w:pgMar w:left="240" w:top="909" w:right="239" w:bottom="1440" w:gutter="0" w:footer="0" w:header="0"/>
          <w:type w:val="continuous"/>
        </w:sectPr>
      </w:pPr>
    </w:p>
    <w:p>
      <w:pPr>
        <w:spacing w:after="0" w:line="24" w:lineRule="exact"/>
        <w:rPr>
          <w:sz w:val="20"/>
          <w:szCs w:val="20"/>
          <w:color w:val="auto"/>
        </w:rPr>
      </w:pPr>
    </w:p>
    <w:p>
      <w:pPr>
        <w:ind w:left="1380" w:right="20" w:hanging="843"/>
        <w:spacing w:after="0" w:line="277" w:lineRule="auto"/>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170" w:lineRule="exact"/>
        <w:rPr>
          <w:sz w:val="20"/>
          <w:szCs w:val="20"/>
          <w:color w:val="auto"/>
        </w:rPr>
      </w:pPr>
    </w:p>
    <w:p>
      <w:pPr>
        <w:jc w:val="both"/>
        <w:ind w:left="1380" w:hanging="843"/>
        <w:spacing w:after="0" w:line="264"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81" w:lineRule="exact"/>
        <w:rPr>
          <w:sz w:val="20"/>
          <w:szCs w:val="20"/>
          <w:color w:val="auto"/>
        </w:rPr>
      </w:pPr>
    </w:p>
    <w:p>
      <w:pPr>
        <w:jc w:val="both"/>
        <w:ind w:left="1380" w:hanging="843"/>
        <w:spacing w:after="0" w:line="264"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181" w:lineRule="exact"/>
        <w:rPr>
          <w:sz w:val="20"/>
          <w:szCs w:val="20"/>
          <w:color w:val="auto"/>
        </w:rPr>
      </w:pPr>
    </w:p>
    <w:p>
      <w:pPr>
        <w:ind w:left="1380" w:hanging="843"/>
        <w:spacing w:after="0" w:line="277" w:lineRule="auto"/>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170" w:lineRule="exact"/>
        <w:rPr>
          <w:sz w:val="20"/>
          <w:szCs w:val="20"/>
          <w:color w:val="auto"/>
        </w:rPr>
      </w:pPr>
    </w:p>
    <w:p>
      <w:pPr>
        <w:ind w:left="1380" w:right="20" w:hanging="843"/>
        <w:spacing w:after="0" w:line="277"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62" w:name="page63"/>
    <w:bookmarkEnd w:id="62"/>
    <w:p>
      <w:pPr>
        <w:ind w:left="660"/>
        <w:spacing w:after="0"/>
        <w:rPr>
          <w:sz w:val="20"/>
          <w:szCs w:val="20"/>
          <w:color w:val="auto"/>
        </w:rPr>
      </w:pPr>
      <w:r>
        <w:rPr>
          <w:rFonts w:ascii="Arial" w:cs="Arial" w:eastAsia="Arial" w:hAnsi="Arial"/>
          <w:sz w:val="17"/>
          <w:szCs w:val="17"/>
          <w:color w:val="auto"/>
        </w:rPr>
        <w:t>The following table shows the distribution of our investments on the 1 to 5 investment rating scale at fair value as of September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8"/>
              </w:rPr>
              <w:t>As of September 30,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9"/>
              </w:rPr>
              <w:t>As of December 31, 2018</w:t>
            </w:r>
          </w:p>
        </w:tc>
      </w:tr>
      <w:tr>
        <w:trPr>
          <w:trHeight w:val="191"/>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gridSpan w:val="2"/>
          </w:tcPr>
          <w:p>
            <w:pPr>
              <w:spacing w:after="0"/>
              <w:rPr>
                <w:sz w:val="16"/>
                <w:szCs w:val="16"/>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Investments 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Investments at</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Rating</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119,415</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171,829</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207,086</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55.8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194,411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25,523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19,327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9,362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371,351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2019, we had four debt investments on non-accrual status with an aggregate amortized cost of $25.8 million and an aggregate fair value of $15.8 million, which represented 7.2% and 4.3% of the investment portfolio, respectively. As of December 31, 2018, we had two debt investments on non-accrual status with an aggregate amortized cost of $20.7 million and an aggregate fair value of $9.4 million, which represented 4.9% and 2.1% of the investment portfolio,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2018, Capitala and Trinity Universal Insurance Company (“Trinity”), a subsidiary of Kemper Corporation, entered into a limited liability company agreement (the “LLC Agreement”) to co-manage CSLF II. The purpose and design of the joint venture is to invest primarily in senior secured first-out loans. Capitala and Trinity have committed to provide $25.0 million of equity to CSLF II, with Capitala providing $20.0 million and Trinity providing $5.0 million. Capitala and Trinity each appointed two members to CSLF II’s four-person board of directors and investment committee. All material decisions with respect to CSLF II, including those involving its investment portfolio, require approval of a member on the board of directors and investment committee of at least one member representing Capitala and Trinity, respectively.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2019 and December 31, 2018, $13.6 million and $3.4 million in equity capital had been contributed by Capitala and Trinity, respectively. As of September 30, 2019 and December 31, 2018, the Company and Trinity had $6.4 million and $1.6 million of unfunded equity capital commitments outstanding, respectively. The Company’s equity investment in CSLF II is not redeemable.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September 30, 2019 and 2018, the Company received $0.3 million and $0.0 million, respectively, in dividend income from its equity interest in CSLF II. For the nine months ended September 30, 2019 and 2018, the Company received $0.7 million and $0.0 million, respectively, in dividend income from its equity interest in CSLF II.</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3, 2019, CSLF II entered into a senior secured revolving credit facility (the “CSLF II Credit Facility”) with KeyBank Specialty Finance Lending, an affiliate of KeyCorp. The CSLF II Credit Facility currently provides for borrowings up to $45.0 million, subject to certain borrowing base restrictions. Borrowings under the CSLF II Credit Facility bear interest at a rate of 1-month LIBOR + 2.25%. Beginning the quarter ended March 31, 2020, CSLF II will incur unused fees of .35% when utilization of the CSLF II Credit Facility exceeds 50% and .65% when utilization of the CSLF II Credit Facility is less than 50%. The CSLF II Credit Facility matures on September 2, 2024.</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2019 and December 31, 2018, $0.5 million and $0.0 million was outstanding under the CSLF II Credit Facility, respectively. For the three and nine months ended September 30, 2019, CSLF II incurred interest and financing expenses of $9.0 thousand. For the three and nine months ended September 30, 2018, CSLF II did not incur interest and financing expenses.</w:t>
      </w:r>
    </w:p>
    <w:p>
      <w:pPr>
        <w:spacing w:after="0" w:line="181" w:lineRule="exact"/>
        <w:rPr>
          <w:sz w:val="20"/>
          <w:szCs w:val="20"/>
          <w:color w:val="auto"/>
        </w:rPr>
      </w:pPr>
    </w:p>
    <w:p>
      <w:pPr>
        <w:jc w:val="both"/>
        <w:ind w:firstLine="701"/>
        <w:spacing w:after="0" w:line="259" w:lineRule="auto"/>
        <w:rPr>
          <w:sz w:val="20"/>
          <w:szCs w:val="20"/>
          <w:color w:val="auto"/>
        </w:rPr>
      </w:pPr>
      <w:r>
        <w:rPr>
          <w:rFonts w:ascii="Arial" w:cs="Arial" w:eastAsia="Arial" w:hAnsi="Arial"/>
          <w:sz w:val="18"/>
          <w:szCs w:val="18"/>
          <w:color w:val="auto"/>
        </w:rPr>
        <w:t>On September 3, 2019, Capitala and Trinity committed to provide $25.0 million of subordinated debt (the “Subordinated Notes”) to CSLF II, with Capitala providing $5.0 million and Trinity providing $20.0 million. The Subordinated Notes currently bear interest at a rate of 1-month LIBOR + 5.00%. Beginning the quarter ended June 30, 2020, the Subordinated Notes will bear interest at a rate of 1-month LIBOR + 6.00%. The Subordinated Notes mature on September 3, 2024.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2019, and December 31, 2018, $0.0 million was outstanding on the Subordinated Notes. As of September 30, 2019, and December 31, 2018, the Company and Trinity had $5.0 million and $20.0 million of unfunded commitments related to the Subordinated Notes, respectively. For the three and nine months ended September 30, 2019 and 2018, the Company did not incur any interest and financing expenses related to the Subordinated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CSLF II’s portfolio as of September 30, 2019 and December 31, 2018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720" w:type="dxa"/>
            <w:vAlign w:val="bottom"/>
            <w:gridSpan w:val="4"/>
          </w:tcPr>
          <w:p>
            <w:pPr>
              <w:ind w:left="1960"/>
              <w:spacing w:after="0"/>
              <w:rPr>
                <w:sz w:val="20"/>
                <w:szCs w:val="20"/>
                <w:color w:val="auto"/>
              </w:rPr>
            </w:pPr>
            <w:r>
              <w:rPr>
                <w:rFonts w:ascii="Arial" w:cs="Arial" w:eastAsia="Arial" w:hAnsi="Arial"/>
                <w:sz w:val="18"/>
                <w:szCs w:val="18"/>
                <w:b w:val="1"/>
                <w:bCs w:val="1"/>
                <w:color w:val="auto"/>
              </w:rPr>
              <w:t>September 30, 2019</w:t>
            </w: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December 31, 2018</w:t>
            </w:r>
          </w:p>
        </w:tc>
        <w:tc>
          <w:tcPr>
            <w:tcW w:w="0" w:type="dxa"/>
            <w:vAlign w:val="bottom"/>
          </w:tcPr>
          <w:p>
            <w:pPr>
              <w:spacing w:after="0"/>
              <w:rPr>
                <w:sz w:val="1"/>
                <w:szCs w:val="1"/>
                <w:color w:val="auto"/>
              </w:rPr>
            </w:pPr>
          </w:p>
        </w:tc>
      </w:tr>
      <w:tr>
        <w:trPr>
          <w:trHeight w:val="20"/>
        </w:trPr>
        <w:tc>
          <w:tcPr>
            <w:tcW w:w="6060" w:type="dxa"/>
            <w:vAlign w:val="bottom"/>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 xml:space="preserve">First lien loans </w:t>
            </w:r>
            <w:r>
              <w:rPr>
                <w:rFonts w:ascii="Arial" w:cs="Arial" w:eastAsia="Arial" w:hAnsi="Arial"/>
                <w:sz w:val="29"/>
                <w:szCs w:val="29"/>
                <w:color w:val="auto"/>
                <w:vertAlign w:val="superscript"/>
              </w:rPr>
              <w:t>(1)</w:t>
            </w:r>
          </w:p>
        </w:tc>
        <w:tc>
          <w:tcPr>
            <w:tcW w:w="19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vMerge w:val="continue"/>
            <w:shd w:val="clear" w:color="auto" w:fill="CCEEFF"/>
          </w:tcPr>
          <w:p>
            <w:pPr>
              <w:spacing w:after="0"/>
              <w:rPr>
                <w:sz w:val="20"/>
                <w:szCs w:val="20"/>
                <w:color w:val="auto"/>
              </w:rPr>
            </w:pPr>
          </w:p>
        </w:tc>
        <w:tc>
          <w:tcPr>
            <w:tcW w:w="25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16,666</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Weighted average current interest rate on first lien loans</w:t>
            </w: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CSLF II</w:t>
            </w: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060" w:type="dxa"/>
            <w:vAlign w:val="bottom"/>
          </w:tcPr>
          <w:p>
            <w:pPr>
              <w:spacing w:after="0" w:line="256" w:lineRule="exact"/>
              <w:rPr>
                <w:sz w:val="20"/>
                <w:szCs w:val="20"/>
                <w:color w:val="auto"/>
              </w:rPr>
            </w:pPr>
            <w:r>
              <w:rPr>
                <w:rFonts w:ascii="Arial" w:cs="Arial" w:eastAsia="Arial" w:hAnsi="Arial"/>
                <w:sz w:val="18"/>
                <w:szCs w:val="18"/>
                <w:color w:val="auto"/>
              </w:rPr>
              <w:t xml:space="preserve">Largest portfolio company investment </w:t>
            </w:r>
            <w:r>
              <w:rPr>
                <w:rFonts w:ascii="Arial" w:cs="Arial" w:eastAsia="Arial" w:hAnsi="Arial"/>
                <w:sz w:val="29"/>
                <w:szCs w:val="29"/>
                <w:color w:val="auto"/>
                <w:vertAlign w:val="superscript"/>
              </w:rPr>
              <w:t>(1)</w:t>
            </w:r>
          </w:p>
        </w:tc>
        <w:tc>
          <w:tcPr>
            <w:tcW w:w="25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6,741</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of five largest portfolio company investments </w:t>
            </w:r>
            <w:r>
              <w:rPr>
                <w:rFonts w:ascii="Arial" w:cs="Arial" w:eastAsia="Arial" w:hAnsi="Arial"/>
                <w:sz w:val="29"/>
                <w:szCs w:val="29"/>
                <w:color w:val="auto"/>
                <w:vertAlign w:val="superscript"/>
              </w:rPr>
              <w:t>(1)(2)</w:t>
            </w:r>
          </w:p>
        </w:tc>
        <w:tc>
          <w:tcPr>
            <w:tcW w:w="25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16,666</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principal amount outstanding at period end.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Only three investments and two investments held as of September 30, 2019 and December 31, 2018,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auto"/>
        </w:rPr>
        <w:t>Below is CSLF II’s unaudited schedule of investments as of September 30, 2019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Portfolio Company</w:t>
            </w:r>
          </w:p>
        </w:tc>
        <w:tc>
          <w:tcPr>
            <w:tcW w:w="18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Type of Investment</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4"/>
                <w:szCs w:val="14"/>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at Fair Value</w:t>
            </w:r>
          </w:p>
        </w:tc>
        <w:tc>
          <w:tcPr>
            <w:tcW w:w="24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40" w:type="dxa"/>
            <w:vAlign w:val="bottom"/>
            <w:gridSpan w:val="2"/>
          </w:tcPr>
          <w:p>
            <w:pPr>
              <w:spacing w:after="0" w:line="130" w:lineRule="exact"/>
              <w:rPr>
                <w:sz w:val="20"/>
                <w:szCs w:val="20"/>
                <w:color w:val="auto"/>
              </w:rPr>
            </w:pPr>
            <w:r>
              <w:rPr>
                <w:rFonts w:ascii="Arial" w:cs="Arial" w:eastAsia="Arial" w:hAnsi="Arial"/>
                <w:sz w:val="14"/>
                <w:szCs w:val="14"/>
                <w:color w:val="auto"/>
              </w:rPr>
              <w:t>U.S. BioTek Laboratories, LLC</w:t>
            </w:r>
          </w:p>
        </w:tc>
        <w:tc>
          <w:tcPr>
            <w:tcW w:w="1840" w:type="dxa"/>
            <w:vAlign w:val="bottom"/>
          </w:tcPr>
          <w:p>
            <w:pPr>
              <w:spacing w:after="0" w:line="130" w:lineRule="exact"/>
              <w:rPr>
                <w:sz w:val="20"/>
                <w:szCs w:val="20"/>
                <w:color w:val="auto"/>
              </w:rPr>
            </w:pPr>
            <w:r>
              <w:rPr>
                <w:rFonts w:ascii="Arial" w:cs="Arial" w:eastAsia="Arial" w:hAnsi="Arial"/>
                <w:sz w:val="14"/>
                <w:szCs w:val="14"/>
                <w:color w:val="auto"/>
              </w:rPr>
              <w:t>Testing Laboratories</w:t>
            </w:r>
          </w:p>
        </w:tc>
        <w:tc>
          <w:tcPr>
            <w:tcW w:w="3320" w:type="dxa"/>
            <w:vAlign w:val="bottom"/>
            <w:gridSpan w:val="4"/>
          </w:tcPr>
          <w:p>
            <w:pPr>
              <w:ind w:left="220"/>
              <w:spacing w:after="0" w:line="130" w:lineRule="exact"/>
              <w:rPr>
                <w:sz w:val="20"/>
                <w:szCs w:val="20"/>
                <w:color w:val="auto"/>
              </w:rPr>
            </w:pPr>
            <w:r>
              <w:rPr>
                <w:rFonts w:ascii="Arial" w:cs="Arial" w:eastAsia="Arial" w:hAnsi="Arial"/>
                <w:sz w:val="14"/>
                <w:szCs w:val="14"/>
                <w:color w:val="auto"/>
              </w:rPr>
              <w:t>First Lien Debt (7.1% Cash (3 month LIBOR +</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color w:val="auto"/>
                <w:w w:val="92"/>
              </w:rPr>
              <w:t>5.0%, 2.0%</w:t>
            </w:r>
          </w:p>
        </w:tc>
        <w:tc>
          <w:tcPr>
            <w:tcW w:w="2420" w:type="dxa"/>
            <w:vAlign w:val="bottom"/>
            <w:gridSpan w:val="2"/>
          </w:tcPr>
          <w:p>
            <w:pPr>
              <w:ind w:left="20"/>
              <w:spacing w:after="0"/>
              <w:rPr>
                <w:sz w:val="20"/>
                <w:szCs w:val="20"/>
                <w:color w:val="auto"/>
              </w:rPr>
            </w:pPr>
            <w:r>
              <w:rPr>
                <w:rFonts w:ascii="Arial" w:cs="Arial" w:eastAsia="Arial" w:hAnsi="Arial"/>
                <w:sz w:val="14"/>
                <w:szCs w:val="14"/>
                <w:color w:val="auto"/>
              </w:rPr>
              <w:t>Floor), Due 12/14/23)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4,466</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4,466</w:t>
            </w:r>
          </w:p>
        </w:tc>
        <w:tc>
          <w:tcPr>
            <w:tcW w:w="28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4,466</w:t>
            </w:r>
          </w:p>
        </w:tc>
        <w:tc>
          <w:tcPr>
            <w:tcW w:w="0" w:type="dxa"/>
            <w:vAlign w:val="bottom"/>
          </w:tcPr>
          <w:p>
            <w:pPr>
              <w:spacing w:after="0"/>
              <w:rPr>
                <w:sz w:val="1"/>
                <w:szCs w:val="1"/>
                <w:color w:val="auto"/>
              </w:rPr>
            </w:pPr>
          </w:p>
        </w:tc>
      </w:tr>
      <w:tr>
        <w:trPr>
          <w:trHeight w:val="130"/>
        </w:trPr>
        <w:tc>
          <w:tcPr>
            <w:tcW w:w="2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Electronic Machine Repair</w:t>
            </w:r>
          </w:p>
        </w:tc>
        <w:tc>
          <w:tcPr>
            <w:tcW w:w="3320" w:type="dxa"/>
            <w:vAlign w:val="bottom"/>
            <w:gridSpan w:val="4"/>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(7.1% Cash (1 month LIBOR +</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2"/>
              </w:rPr>
              <w:t>5.0%, 2.0%</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Floor), Due 12/20/23)</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5,459</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5,459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5,459</w:t>
            </w:r>
          </w:p>
        </w:tc>
        <w:tc>
          <w:tcPr>
            <w:tcW w:w="0" w:type="dxa"/>
            <w:vAlign w:val="bottom"/>
          </w:tcPr>
          <w:p>
            <w:pPr>
              <w:spacing w:after="0"/>
              <w:rPr>
                <w:sz w:val="1"/>
                <w:szCs w:val="1"/>
                <w:color w:val="auto"/>
              </w:rPr>
            </w:pPr>
          </w:p>
        </w:tc>
      </w:tr>
      <w:tr>
        <w:trPr>
          <w:trHeight w:val="130"/>
        </w:trPr>
        <w:tc>
          <w:tcPr>
            <w:tcW w:w="2540" w:type="dxa"/>
            <w:vAlign w:val="bottom"/>
            <w:gridSpan w:val="2"/>
          </w:tcPr>
          <w:p>
            <w:pPr>
              <w:spacing w:after="0" w:line="130" w:lineRule="exact"/>
              <w:rPr>
                <w:sz w:val="20"/>
                <w:szCs w:val="20"/>
                <w:color w:val="auto"/>
              </w:rPr>
            </w:pPr>
            <w:r>
              <w:rPr>
                <w:rFonts w:ascii="Arial" w:cs="Arial" w:eastAsia="Arial" w:hAnsi="Arial"/>
                <w:sz w:val="14"/>
                <w:szCs w:val="14"/>
                <w:color w:val="auto"/>
              </w:rPr>
              <w:t>RAM Payment, LLC</w:t>
            </w:r>
          </w:p>
        </w:tc>
        <w:tc>
          <w:tcPr>
            <w:tcW w:w="1840" w:type="dxa"/>
            <w:vAlign w:val="bottom"/>
          </w:tcPr>
          <w:p>
            <w:pPr>
              <w:spacing w:after="0" w:line="130" w:lineRule="exact"/>
              <w:rPr>
                <w:sz w:val="20"/>
                <w:szCs w:val="20"/>
                <w:color w:val="auto"/>
              </w:rPr>
            </w:pPr>
            <w:r>
              <w:rPr>
                <w:rFonts w:ascii="Arial" w:cs="Arial" w:eastAsia="Arial" w:hAnsi="Arial"/>
                <w:sz w:val="14"/>
                <w:szCs w:val="14"/>
                <w:color w:val="auto"/>
              </w:rPr>
              <w:t>Financial Services</w:t>
            </w:r>
          </w:p>
        </w:tc>
        <w:tc>
          <w:tcPr>
            <w:tcW w:w="3320" w:type="dxa"/>
            <w:vAlign w:val="bottom"/>
            <w:gridSpan w:val="4"/>
          </w:tcPr>
          <w:p>
            <w:pPr>
              <w:ind w:left="220"/>
              <w:spacing w:after="0" w:line="130" w:lineRule="exact"/>
              <w:rPr>
                <w:sz w:val="20"/>
                <w:szCs w:val="20"/>
                <w:color w:val="auto"/>
              </w:rPr>
            </w:pPr>
            <w:r>
              <w:rPr>
                <w:rFonts w:ascii="Arial" w:cs="Arial" w:eastAsia="Arial" w:hAnsi="Arial"/>
                <w:sz w:val="14"/>
                <w:szCs w:val="14"/>
                <w:color w:val="auto"/>
              </w:rPr>
              <w:t>First Lien Debt (7.1% Cash (1 month LIBOR +</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color w:val="auto"/>
                <w:w w:val="92"/>
              </w:rPr>
              <w:t>5.0%, 1.5%</w:t>
            </w:r>
          </w:p>
        </w:tc>
        <w:tc>
          <w:tcPr>
            <w:tcW w:w="2420" w:type="dxa"/>
            <w:vAlign w:val="bottom"/>
            <w:gridSpan w:val="2"/>
          </w:tcPr>
          <w:p>
            <w:pPr>
              <w:ind w:left="20"/>
              <w:spacing w:after="0"/>
              <w:rPr>
                <w:sz w:val="20"/>
                <w:szCs w:val="20"/>
                <w:color w:val="auto"/>
              </w:rPr>
            </w:pPr>
            <w:r>
              <w:rPr>
                <w:rFonts w:ascii="Arial" w:cs="Arial" w:eastAsia="Arial" w:hAnsi="Arial"/>
                <w:sz w:val="14"/>
                <w:szCs w:val="14"/>
                <w:color w:val="auto"/>
              </w:rPr>
              <w:t>Floor), Due 1/4/24)</w:t>
            </w:r>
          </w:p>
        </w:tc>
        <w:tc>
          <w:tcPr>
            <w:tcW w:w="1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6,741</w:t>
            </w:r>
          </w:p>
        </w:tc>
        <w:tc>
          <w:tcPr>
            <w:tcW w:w="2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6,741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156"/>
        </w:trPr>
        <w:tc>
          <w:tcPr>
            <w:tcW w:w="254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184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23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16,666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16,666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16,666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CSLF II’s schedule of investments as of December 31, 2018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Portfolio Company</w:t>
            </w:r>
          </w:p>
        </w:tc>
        <w:tc>
          <w:tcPr>
            <w:tcW w:w="184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310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Type of Investment</w:t>
            </w:r>
          </w:p>
        </w:tc>
        <w:tc>
          <w:tcPr>
            <w:tcW w:w="14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14"/>
                <w:szCs w:val="14"/>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at Fair Value</w:t>
            </w:r>
          </w:p>
        </w:tc>
        <w:tc>
          <w:tcPr>
            <w:tcW w:w="24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40" w:type="dxa"/>
            <w:vAlign w:val="bottom"/>
            <w:gridSpan w:val="2"/>
          </w:tcPr>
          <w:p>
            <w:pPr>
              <w:spacing w:after="0" w:line="130" w:lineRule="exact"/>
              <w:rPr>
                <w:sz w:val="20"/>
                <w:szCs w:val="20"/>
                <w:color w:val="auto"/>
              </w:rPr>
            </w:pPr>
            <w:r>
              <w:rPr>
                <w:rFonts w:ascii="Arial" w:cs="Arial" w:eastAsia="Arial" w:hAnsi="Arial"/>
                <w:sz w:val="14"/>
                <w:szCs w:val="14"/>
                <w:color w:val="auto"/>
              </w:rPr>
              <w:t>U.S. BioTek Laboratories, LLC</w:t>
            </w:r>
          </w:p>
        </w:tc>
        <w:tc>
          <w:tcPr>
            <w:tcW w:w="1840" w:type="dxa"/>
            <w:vAlign w:val="bottom"/>
          </w:tcPr>
          <w:p>
            <w:pPr>
              <w:jc w:val="right"/>
              <w:ind w:right="588"/>
              <w:spacing w:after="0" w:line="130" w:lineRule="exact"/>
              <w:rPr>
                <w:sz w:val="20"/>
                <w:szCs w:val="20"/>
                <w:color w:val="auto"/>
              </w:rPr>
            </w:pPr>
            <w:r>
              <w:rPr>
                <w:rFonts w:ascii="Arial" w:cs="Arial" w:eastAsia="Arial" w:hAnsi="Arial"/>
                <w:sz w:val="14"/>
                <w:szCs w:val="14"/>
                <w:color w:val="auto"/>
                <w:w w:val="90"/>
              </w:rPr>
              <w:t>Testing Laboratories</w:t>
            </w:r>
          </w:p>
        </w:tc>
        <w:tc>
          <w:tcPr>
            <w:tcW w:w="3320" w:type="dxa"/>
            <w:vAlign w:val="bottom"/>
            <w:gridSpan w:val="3"/>
          </w:tcPr>
          <w:p>
            <w:pPr>
              <w:ind w:left="220"/>
              <w:spacing w:after="0" w:line="130" w:lineRule="exact"/>
              <w:rPr>
                <w:sz w:val="20"/>
                <w:szCs w:val="20"/>
                <w:color w:val="auto"/>
              </w:rPr>
            </w:pPr>
            <w:r>
              <w:rPr>
                <w:rFonts w:ascii="Arial" w:cs="Arial" w:eastAsia="Arial" w:hAnsi="Arial"/>
                <w:sz w:val="14"/>
                <w:szCs w:val="14"/>
                <w:color w:val="auto"/>
              </w:rPr>
              <w:t>First Lien Debt (7.8% Cash (3 month LIBOR +</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320" w:type="dxa"/>
            <w:vAlign w:val="bottom"/>
            <w:gridSpan w:val="3"/>
          </w:tcPr>
          <w:p>
            <w:pPr>
              <w:ind w:left="220"/>
              <w:spacing w:after="0"/>
              <w:rPr>
                <w:sz w:val="20"/>
                <w:szCs w:val="20"/>
                <w:color w:val="auto"/>
              </w:rPr>
            </w:pPr>
            <w:r>
              <w:rPr>
                <w:rFonts w:ascii="Arial" w:cs="Arial" w:eastAsia="Arial" w:hAnsi="Arial"/>
                <w:sz w:val="14"/>
                <w:szCs w:val="14"/>
                <w:color w:val="auto"/>
              </w:rPr>
              <w:t>5.0%, 2.0% Floor), Due 12/14/23)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4,500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4"/>
                <w:szCs w:val="14"/>
                <w:color w:val="auto"/>
                <w:w w:val="85"/>
              </w:rPr>
              <w:t>4,500</w:t>
            </w:r>
          </w:p>
        </w:tc>
        <w:tc>
          <w:tcPr>
            <w:tcW w:w="28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30"/>
        </w:trPr>
        <w:tc>
          <w:tcPr>
            <w:tcW w:w="2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840" w:type="dxa"/>
            <w:vAlign w:val="bottom"/>
            <w:shd w:val="clear" w:color="auto" w:fill="CCEEFF"/>
          </w:tcPr>
          <w:p>
            <w:pPr>
              <w:jc w:val="right"/>
              <w:ind w:right="228"/>
              <w:spacing w:after="0" w:line="130" w:lineRule="exact"/>
              <w:rPr>
                <w:sz w:val="20"/>
                <w:szCs w:val="20"/>
                <w:color w:val="auto"/>
              </w:rPr>
            </w:pPr>
            <w:r>
              <w:rPr>
                <w:rFonts w:ascii="Arial" w:cs="Arial" w:eastAsia="Arial" w:hAnsi="Arial"/>
                <w:sz w:val="14"/>
                <w:szCs w:val="14"/>
                <w:color w:val="auto"/>
                <w:w w:val="93"/>
              </w:rPr>
              <w:t>Electronic Machine Repair</w:t>
            </w:r>
          </w:p>
        </w:tc>
        <w:tc>
          <w:tcPr>
            <w:tcW w:w="332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First Lien Debt (7.5% Cash (1 month LIBOR +</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3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5.0%, 2.0% Floor), Due 12/20/23)</w:t>
            </w:r>
          </w:p>
        </w:tc>
        <w:tc>
          <w:tcPr>
            <w:tcW w:w="14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5,500</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85"/>
              </w:rPr>
              <w:t>5,500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w:t>
            </w:r>
          </w:p>
        </w:tc>
        <w:tc>
          <w:tcPr>
            <w:tcW w:w="0" w:type="dxa"/>
            <w:vAlign w:val="bottom"/>
          </w:tcPr>
          <w:p>
            <w:pPr>
              <w:spacing w:after="0"/>
              <w:rPr>
                <w:sz w:val="1"/>
                <w:szCs w:val="1"/>
                <w:color w:val="auto"/>
              </w:rPr>
            </w:pPr>
          </w:p>
        </w:tc>
      </w:tr>
      <w:tr>
        <w:trPr>
          <w:trHeight w:val="156"/>
        </w:trPr>
        <w:tc>
          <w:tcPr>
            <w:tcW w:w="2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10,000</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5"/>
          </w:tcPr>
          <w:p>
            <w:pPr>
              <w:jc w:val="right"/>
              <w:spacing w:after="0" w:line="155"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00" w:type="dxa"/>
            <w:vAlign w:val="bottom"/>
            <w:gridSpan w:val="6"/>
            <w:vMerge w:val="restart"/>
          </w:tcPr>
          <w:p>
            <w:pPr>
              <w:ind w:left="660"/>
              <w:spacing w:after="0"/>
              <w:rPr>
                <w:sz w:val="20"/>
                <w:szCs w:val="20"/>
                <w:color w:val="auto"/>
              </w:rPr>
            </w:pPr>
            <w:r>
              <w:rPr>
                <w:rFonts w:ascii="Arial" w:cs="Arial" w:eastAsia="Arial" w:hAnsi="Arial"/>
                <w:sz w:val="18"/>
                <w:szCs w:val="18"/>
                <w:color w:val="auto"/>
              </w:rPr>
              <w:t>Below are the statements of assets and liabilities for CSLF II (dollars in thousands):</w:t>
            </w: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5"/>
          </w:tcPr>
          <w:p>
            <w:pPr>
              <w:spacing w:after="0"/>
              <w:rPr>
                <w:sz w:val="20"/>
                <w:szCs w:val="20"/>
                <w:color w:val="auto"/>
              </w:rPr>
            </w:pPr>
            <w:r>
              <w:rPr>
                <w:rFonts w:ascii="Arial" w:cs="Arial" w:eastAsia="Arial" w:hAnsi="Arial"/>
                <w:sz w:val="18"/>
                <w:szCs w:val="18"/>
                <w:b w:val="1"/>
                <w:bCs w:val="1"/>
                <w:color w:val="auto"/>
                <w:w w:val="89"/>
              </w:rPr>
              <w:t>September 30, 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December 31,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6"/>
          </w:tcPr>
          <w:p>
            <w:pPr>
              <w:spacing w:after="0"/>
              <w:rPr>
                <w:sz w:val="20"/>
                <w:szCs w:val="20"/>
                <w:color w:val="auto"/>
              </w:rPr>
            </w:pPr>
            <w:r>
              <w:rPr>
                <w:rFonts w:ascii="Arial" w:cs="Arial" w:eastAsia="Arial" w:hAnsi="Arial"/>
                <w:sz w:val="18"/>
                <w:szCs w:val="18"/>
                <w:color w:val="auto"/>
              </w:rPr>
              <w:t>Investments at fair value (amortized cost of $16,666 and $10,000, respectively)</w:t>
            </w:r>
          </w:p>
        </w:tc>
        <w:tc>
          <w:tcPr>
            <w:tcW w:w="14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16,666</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17,077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40" w:type="dxa"/>
            <w:vAlign w:val="bottom"/>
            <w:gridSpan w:val="2"/>
            <w:vMerge w:val="continue"/>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facility (net of deferred financing costs of $509)</w:t>
            </w:r>
          </w:p>
        </w:tc>
        <w:tc>
          <w:tcPr>
            <w:tcW w:w="2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w w:val="90"/>
              </w:rPr>
              <w:t>Interest and financing fees payable</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liabilities</w:t>
            </w:r>
          </w:p>
        </w:tc>
        <w:tc>
          <w:tcPr>
            <w:tcW w:w="1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17,073</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17,119</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assets</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17,073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0" w:type="dxa"/>
            <w:vAlign w:val="bottom"/>
            <w:gridSpan w:val="2"/>
            <w:vMerge w:val="restart"/>
          </w:tcPr>
          <w:p>
            <w:pPr>
              <w:ind w:left="126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6"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Below are the unaudited statements of operations for CSLF II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6"/>
              </w:rPr>
              <w:t>For the Three Months Ended</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w w:val="99"/>
              </w:rPr>
              <w:t>For the Nine Months Ended</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88"/>
              </w:rPr>
              <w:t>September 30, 2018</w:t>
            </w:r>
          </w:p>
        </w:tc>
        <w:tc>
          <w:tcPr>
            <w:tcW w:w="100" w:type="dxa"/>
            <w:vAlign w:val="bottom"/>
            <w:gridSpan w:val="2"/>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11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945</w:t>
            </w:r>
          </w:p>
        </w:tc>
        <w:tc>
          <w:tcPr>
            <w:tcW w:w="114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Interest and financing expenses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1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14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100" w:type="dxa"/>
            <w:vAlign w:val="bottom"/>
            <w:gridSpan w:val="2"/>
            <w:shd w:val="clear" w:color="auto" w:fill="CCEEFF"/>
          </w:tcPr>
          <w:p>
            <w:pPr>
              <w:spacing w:after="0"/>
              <w:rPr>
                <w:sz w:val="18"/>
                <w:szCs w:val="18"/>
                <w:color w:val="auto"/>
              </w:rPr>
            </w:pPr>
          </w:p>
        </w:tc>
      </w:tr>
      <w:tr>
        <w:trPr>
          <w:trHeight w:val="182"/>
        </w:trPr>
        <w:tc>
          <w:tcPr>
            <w:tcW w:w="4660" w:type="dxa"/>
            <w:vAlign w:val="bottom"/>
          </w:tcPr>
          <w:p>
            <w:pPr>
              <w:spacing w:after="0" w:line="182" w:lineRule="exact"/>
              <w:rPr>
                <w:sz w:val="20"/>
                <w:szCs w:val="20"/>
                <w:color w:val="auto"/>
              </w:rPr>
            </w:pPr>
            <w:r>
              <w:rPr>
                <w:rFonts w:ascii="Arial" w:cs="Arial" w:eastAsia="Arial" w:hAnsi="Arial"/>
                <w:sz w:val="18"/>
                <w:szCs w:val="18"/>
                <w:color w:val="auto"/>
              </w:rPr>
              <w:t>NET INCREASE IN NET ASSETS RESULTING FROM</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11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854</w:t>
            </w:r>
          </w:p>
        </w:tc>
        <w:tc>
          <w:tcPr>
            <w:tcW w:w="114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results for the three and nine months ended September 30, 2019 and 2018 were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9"/>
              </w:rPr>
              <w:t>For the Three Months Ended</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For the Nine Months Ended</w:t>
            </w:r>
          </w:p>
        </w:tc>
      </w:tr>
      <w:tr>
        <w:trPr>
          <w:trHeight w:val="223"/>
        </w:trPr>
        <w:tc>
          <w:tcPr>
            <w:tcW w:w="4660" w:type="dxa"/>
            <w:vAlign w:val="bottom"/>
          </w:tcPr>
          <w:p>
            <w:pPr>
              <w:spacing w:after="0"/>
              <w:rPr>
                <w:sz w:val="19"/>
                <w:szCs w:val="19"/>
                <w:color w:val="auto"/>
              </w:rPr>
            </w:pPr>
          </w:p>
        </w:tc>
        <w:tc>
          <w:tcPr>
            <w:tcW w:w="17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September 30, 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September 30, 2018</w:t>
            </w:r>
          </w:p>
        </w:tc>
        <w:tc>
          <w:tcPr>
            <w:tcW w:w="100" w:type="dxa"/>
            <w:vAlign w:val="bottom"/>
            <w:gridSpan w:val="2"/>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10,126</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Total expenses, net of incentive fee waiver</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7,142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23,259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23,464</w:t>
            </w:r>
          </w:p>
        </w:tc>
        <w:tc>
          <w:tcPr>
            <w:tcW w:w="80" w:type="dxa"/>
            <w:vAlign w:val="bottom"/>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6,298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(20,912)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(20,179)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(17,179)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(7,148)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unrealized appreciation on Written Call Option</w:t>
            </w: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6,795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6,795</w:t>
            </w:r>
          </w:p>
        </w:tc>
        <w:tc>
          <w:tcPr>
            <w:tcW w:w="80" w:type="dxa"/>
            <w:vAlign w:val="bottom"/>
          </w:tcPr>
          <w:p>
            <w:pPr>
              <w:spacing w:after="0"/>
              <w:rPr>
                <w:sz w:val="18"/>
                <w:szCs w:val="18"/>
                <w:color w:val="auto"/>
              </w:rPr>
            </w:pP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80" w:type="dxa"/>
            <w:vAlign w:val="bottom"/>
            <w:shd w:val="clear" w:color="auto" w:fill="CCEEFF"/>
          </w:tcPr>
          <w:p>
            <w:pPr>
              <w:spacing w:after="0"/>
              <w:rPr>
                <w:sz w:val="19"/>
                <w:szCs w:val="19"/>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w w:val="92"/>
              </w:rPr>
              <w:t>Net increase (decrease) in net assets resulting from operations</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composition of our investment income for the three and nine months ended September 30, 2019 and 2018 was as follows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0"/>
              </w:rPr>
              <w:t>For the Three Months Ended</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w w:val="92"/>
              </w:rPr>
              <w:t>For the Nine Months Ended</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2018</w:t>
            </w:r>
          </w:p>
        </w:tc>
        <w:tc>
          <w:tcPr>
            <w:tcW w:w="22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88"/>
              </w:rPr>
              <w:t>September 30, 2018</w:t>
            </w:r>
          </w:p>
        </w:tc>
        <w:tc>
          <w:tcPr>
            <w:tcW w:w="100" w:type="dxa"/>
            <w:vAlign w:val="bottom"/>
            <w:gridSpan w:val="2"/>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31,149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Fee income</w:t>
            </w: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0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2,266</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3,315</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Dividend income</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2,890</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10,126</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11,530</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35,984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income reported as interest income and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and PIK interest and PIK dividend income are recurring in nature.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firstLine="648"/>
        <w:spacing w:after="0" w:line="264" w:lineRule="auto"/>
        <w:rPr>
          <w:sz w:val="20"/>
          <w:szCs w:val="20"/>
          <w:color w:val="auto"/>
        </w:rPr>
      </w:pPr>
      <w:r>
        <w:rPr>
          <w:rFonts w:ascii="Arial" w:cs="Arial" w:eastAsia="Arial" w:hAnsi="Arial"/>
          <w:sz w:val="18"/>
          <w:szCs w:val="18"/>
          <w:color w:val="auto"/>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and have received, more substantial one-time dividends from our equity investments.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the three months ended September 30, 2019, total investment income decreased by $1.4 million, or 12.2%, compared to the three months ended September 30, 2018. Interest income decreased from $9.9 million for the three months ended September 30, 2018 to $8.1 million for the three months ended September 30, 2019. The decrease from the prior period is primarily related to lower average outstanding debt investments during the three months ended September 30, 2019 compared to the three months ended September 30, 2018. PIK income declined from $1.0 million for the three months ended September 30, 2018 to $0.6 million for the three months ended September 30, 2019, primarily due to a decrease in investments with a contractual PIK rate. Fee income decreased from $0.6 million for the three months ended September 30, 2018 to $0.2 million for the three months ended September 30, 2019. For the three months ended September 30, 2019, we generated $0.0 million in origination fees from new deployments and $0.2 million in non-origination fees. Comparatively, for the three months ended September 30, 2018, we generated $0.5 million in origination fees from new deployments and $0.1 million in non-origination fees. Dividend income increased from $0.1 million for the three months ended September 30, 2018 to $1.2 million for the three months ended September 30, 2019, primarily due to a $0.3 million dividend received from CSLF II and a $0.8 million non-recurring dividend from a portfolio company.</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nine months ended September 30, 2019, total investment income decreased by $1.6 million, or 4.4%, compared to the nine months ended September 30, 2018. Interest income decreased from $31.1 million for the nine months ended September 30, 2018 to $28.2 million for the nine months ended September 30, 2019. The decrease from the prior period is primarily related to lower average outstanding debt investments during the nine months ended September 30, 2019 compared to the nine months ended September 30, 2018. PIK income declined from $3.3 million for the nine months ended September 30, 2018 to $2.3 million for the nine months ended September 30, 2019, primarily due to a decrease in investments with a contractual PIK rate. Fee income decreased from $1.2 million for the nine months ended September 30, 2018 to $0.9 million for the nine months ended September 30, 2018. For the nine months ended September 30, 2019, we generated $0.6 million in origination fees from new deployments and $0.3 million in non-origination fees. Comparatively, for the nine months ended September 30, 2018, we generated $0.9 million in origination fees from new deployments and $0.3 million in non-origination fees. Dividend income increased from $0.2 million for the nine months ended September 30, 2018 to $2.9 million for the nine months ended September 30, 2019, primarily due to two non-recurring dividends of $2.2 million received from portfolio companies and $0.7 million in dividend income received from CSLF II.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composition of our expenses for the three and nine months ended September 30, 2019 and September 30, 2018 was as follows (dollars in thousands):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Interest and financing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Base management fee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Incentive fees, net of incentive fee waiver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net of incentive fee waiver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2"/>
              </w:rPr>
              <w:t>For the Three Months Ended</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w w:val="92"/>
              </w:rPr>
              <w:t>For the Nine Months Ended</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2018</w:t>
            </w:r>
          </w:p>
        </w:tc>
        <w:tc>
          <w:tcPr>
            <w:tcW w:w="22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88"/>
              </w:rPr>
              <w:t>September 30, 2018</w:t>
            </w:r>
          </w:p>
        </w:tc>
        <w:tc>
          <w:tcPr>
            <w:tcW w:w="20" w:type="dxa"/>
            <w:vAlign w:val="bottom"/>
          </w:tcPr>
          <w:p>
            <w:pPr>
              <w:spacing w:after="0"/>
              <w:rPr>
                <w:sz w:val="19"/>
                <w:szCs w:val="19"/>
                <w:color w:val="auto"/>
              </w:rPr>
            </w:pPr>
          </w:p>
        </w:tc>
      </w:tr>
      <w:tr>
        <w:trPr>
          <w:trHeight w:val="195"/>
        </w:trPr>
        <w:tc>
          <w:tcPr>
            <w:tcW w:w="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4,110</w:t>
            </w:r>
          </w:p>
        </w:tc>
        <w:tc>
          <w:tcPr>
            <w:tcW w:w="220" w:type="dxa"/>
            <w:vAlign w:val="bottom"/>
          </w:tcPr>
          <w:p>
            <w:pPr>
              <w:spacing w:after="0"/>
              <w:rPr>
                <w:sz w:val="16"/>
                <w:szCs w:val="16"/>
                <w:color w:val="auto"/>
              </w:rPr>
            </w:pPr>
          </w:p>
        </w:tc>
        <w:tc>
          <w:tcPr>
            <w:tcW w:w="1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4,320</w:t>
            </w: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12,751</w:t>
            </w:r>
          </w:p>
        </w:tc>
        <w:tc>
          <w:tcPr>
            <w:tcW w:w="220" w:type="dxa"/>
            <w:vAlign w:val="bottom"/>
          </w:tcPr>
          <w:p>
            <w:pPr>
              <w:spacing w:after="0"/>
              <w:rPr>
                <w:sz w:val="16"/>
                <w:szCs w:val="16"/>
                <w:color w:val="auto"/>
              </w:rPr>
            </w:pPr>
          </w:p>
        </w:tc>
        <w:tc>
          <w:tcPr>
            <w:tcW w:w="9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0"/>
              </w:rPr>
              <w:t>13,015</w:t>
            </w:r>
          </w:p>
        </w:tc>
        <w:tc>
          <w:tcPr>
            <w:tcW w:w="20" w:type="dxa"/>
            <w:vAlign w:val="bottom"/>
            <w:tcBorders>
              <w:top w:val="single" w:sz="8" w:color="auto"/>
            </w:tcBorders>
          </w:tcPr>
          <w:p>
            <w:pPr>
              <w:spacing w:after="0"/>
              <w:rPr>
                <w:sz w:val="16"/>
                <w:szCs w:val="16"/>
                <w:color w:val="auto"/>
              </w:rPr>
            </w:pPr>
          </w:p>
        </w:tc>
      </w:tr>
      <w:tr>
        <w:trPr>
          <w:trHeight w:val="216"/>
        </w:trPr>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1,925</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2,254</w:t>
            </w: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6,063</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6,871</w:t>
            </w:r>
          </w:p>
        </w:tc>
        <w:tc>
          <w:tcPr>
            <w:tcW w:w="20" w:type="dxa"/>
            <w:vAlign w:val="bottom"/>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1,209</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9"/>
                <w:szCs w:val="19"/>
                <w:color w:val="auto"/>
              </w:rPr>
            </w:pPr>
          </w:p>
        </w:tc>
      </w:tr>
      <w:tr>
        <w:trPr>
          <w:trHeight w:val="230"/>
        </w:trPr>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1,107</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1,105</w:t>
            </w:r>
          </w:p>
        </w:tc>
        <w:tc>
          <w:tcPr>
            <w:tcW w:w="3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3,236</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3,334</w:t>
            </w:r>
          </w:p>
        </w:tc>
        <w:tc>
          <w:tcPr>
            <w:tcW w:w="20" w:type="dxa"/>
            <w:vAlign w:val="bottom"/>
          </w:tcPr>
          <w:p>
            <w:pPr>
              <w:spacing w:after="0"/>
              <w:rPr>
                <w:sz w:val="20"/>
                <w:szCs w:val="20"/>
                <w:color w:val="auto"/>
              </w:rPr>
            </w:pPr>
          </w:p>
        </w:tc>
      </w:tr>
      <w:tr>
        <w:trPr>
          <w:trHeight w:val="223"/>
        </w:trPr>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7,679</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23,259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23,464</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-745490</wp:posOffset>
            </wp:positionV>
            <wp:extent cx="7246620"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-462280</wp:posOffset>
            </wp:positionV>
            <wp:extent cx="72466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-179705</wp:posOffset>
            </wp:positionV>
            <wp:extent cx="7246620"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6760"/>
          </w:cols>
          <w:pgMar w:left="240" w:top="908" w:right="239" w:bottom="1440" w:gutter="0" w:footer="0" w:header="0"/>
          <w:type w:val="continuous"/>
        </w:sectPr>
      </w:pPr>
    </w:p>
    <w:p>
      <w:pPr>
        <w:spacing w:after="0" w:line="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three months ended September 30, 2019, operating expenses decreased $0.5 million, or 7.0%, compared to the three months ended September 30, 2018. Interest and financing expense decreased from $4.3 million for the three months ended September 30, 2018 to $4.1 million for the three months ended September 30, 2019. The decrease from the prior period is primarily related to lower average outstanding SBA debentures during the three months ended September 30, 2019 compared to the three months ended September 30, 2018. Base management fees declined from $2.3 million for the three months ended September 30, 2018 to $1.9 million for the three months ended September 30, 2019, due to lower average assets under management. General and administrative expenses remained relatively flat at $1.1 million for the three months ended September 30, 2019 and September 30, 2018.</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nine months ended September 30, 2019, operating expenses decreased $0.2 million, or 0.9%, compared to the nine months ended September 30, 2018. Interest and financing expense decreased from $13.0 million for the nine months ended September 30, 2018 to $12.8 million for the nine months ended September 30, 2019. The decrease from the prior period is primarily related to lower average outstanding SBA debentures during the nine months ended September 30, 2019 compared to the nine months ended September 30, 2018. Base management fees declined from $6.9 million for the nine months ended September 30, 2018 to $6.1 million for the nine months ended September 30, 2019, due to lower average assets under management. Incentive fees, net of incentive fee waiver, increased from $0.2 million for the nine months ended September 30, 2018 to $1.2 million for the nine months ended September 30, 2019, primarily due to better net investment income returns in relation to our net asset value. General and administrative expenses remained relatively flat declining from $3.3 million for the nine months ended September 30, 2018 to $3.2 million for the nine months ended September 30, 2019.</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Net realized gain (loss) on investments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and nine months ended September 30, 2019 we recognized $12.0 thousand and $(20.9) million, respectively, of net realized gain (loss) on our portfolio investments. During the three and nine months ended September 30, 2018 we recognized $6.3 million and $(20.2) million, respectively, of net realized gain (loss) on our portfolio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change in unrealized appreciation (depreciation) on investments reflects the net change in the fair value of our investment portfolio. For the three and nine months ended September 30, 2019 we had net unrealized depreciation of $(1.3) million and $(17.2) million, respectively. For the three and nine months ended September 30, 2018 we had net unrealized depreciation of $(28.8) million and $(7.1)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on Written Call Option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nine months ended September 30, 2019 we had net unrealized appreciation on the Written Call Option of $0.0 million. For the three and nine months ended September 30, 2018 we had net unrealized appreciation on the Written Call Option of $6.8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benefit (provision)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three and nine months ended September 30, 2019, we recorded a tax provision of $0.0 million and $(0.6) million, respectively. For the three and nine months ended September 30, 2018, we recorded a tax provision of $(0.1) million and a tax benefit of $1.2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and nine months ended September 30, 2019, we recorded a net increase (decrease) in net assets resulting from operations of $1.7 million and $(27.6) million, respectively. Based on the weighted average shares of common stock outstanding for the three and nine months ended September 30, 2019, our per share net increase (decrease) in net assets resulting from operations was $0.11 and $(1.71), respectively.</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and nine months ended September 30, 2018, we recorded a net decrease in net assets resulting from operations of $(11.9) million and $(6.8) million, respectively. Based on the weighted average shares of common stock outstanding for the three and nine months ended September 30, 2018, our per share net decrease in net assets resulting from operations was $(0.74) and $(0.43),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Our Unconsolidated Subsidiaries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holds a control interest, as defined by the 1940 Act, in two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months ended September 30, 2019, the Company wrote off its investment in AAE Acquisition, LLC and realized a loss of $20.4 million. During the nine months ended September 30, 2019, the Company exited its investment in Micro Precision, LLC, receiving $6.3 million for its debt investment, and receiving $2.4 million in total consideration for its equity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loss the Company generated from CableOrganizer Acquisition, LLC, which includes all interest, dividends, PIK interest and PIK dividends, fees, realized loss, and unrealized appreciation (depreciation), was $(8.9) million and $(0.2) million for the nine months ended September 30, 2019 and September 30,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 Precision, LLC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Micro Precision, LLC, formed on August 5, 2011 as a Delaware limited liability company, is a prime contractor supplying critical parts and mechanical assemblies to the U.S. Department of Defense as well as designer and manufacturer of locomotive air horns. The income the Company generated from Micro Precision, LLC, which includes all interest, dividends, PIK interest and PIK dividends, fees, and unrealized appreciation (depreciation), was $0.2 million and $1.9 million for the nine months ended September 30, 2019 and September 30, 2018, respectively.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left="4"/>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ind w:left="40"/>
              <w:spacing w:after="0" w:line="205" w:lineRule="exact"/>
              <w:rPr>
                <w:sz w:val="20"/>
                <w:szCs w:val="20"/>
                <w:color w:val="auto"/>
              </w:rPr>
            </w:pPr>
            <w:r>
              <w:rPr>
                <w:rFonts w:ascii="Arial" w:cs="Arial" w:eastAsia="Arial" w:hAnsi="Arial"/>
                <w:sz w:val="18"/>
                <w:szCs w:val="18"/>
                <w:b w:val="1"/>
                <w:bCs w:val="1"/>
                <w:color w:val="auto"/>
              </w:rPr>
              <w:t>September 30,</w:t>
            </w:r>
          </w:p>
        </w:tc>
        <w:tc>
          <w:tcPr>
            <w:tcW w:w="118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Balance Sheets – CableOrganizer Acquisition, LLC</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7,190</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4,939</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3"/>
              </w:rPr>
              <w:t>For the Nine Months Ended</w:t>
            </w:r>
          </w:p>
        </w:tc>
      </w:tr>
      <w:tr>
        <w:trPr>
          <w:trHeight w:val="205"/>
        </w:trPr>
        <w:tc>
          <w:tcPr>
            <w:tcW w:w="7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top w:val="single" w:sz="8" w:color="auto"/>
            </w:tcBorders>
            <w:gridSpan w:val="3"/>
          </w:tcPr>
          <w:p>
            <w:pPr>
              <w:ind w:left="40"/>
              <w:spacing w:after="0" w:line="205" w:lineRule="exact"/>
              <w:rPr>
                <w:sz w:val="20"/>
                <w:szCs w:val="20"/>
                <w:color w:val="auto"/>
              </w:rPr>
            </w:pPr>
            <w:r>
              <w:rPr>
                <w:rFonts w:ascii="Arial" w:cs="Arial" w:eastAsia="Arial" w:hAnsi="Arial"/>
                <w:sz w:val="18"/>
                <w:szCs w:val="18"/>
                <w:b w:val="1"/>
                <w:bCs w:val="1"/>
                <w:color w:val="auto"/>
              </w:rPr>
              <w:t>September 30,</w:t>
            </w:r>
          </w:p>
        </w:tc>
        <w:tc>
          <w:tcPr>
            <w:tcW w:w="118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7"/>
                <w:szCs w:val="17"/>
                <w:color w:val="auto"/>
              </w:rPr>
            </w:pPr>
          </w:p>
        </w:tc>
      </w:tr>
      <w:tr>
        <w:trPr>
          <w:trHeight w:val="234"/>
        </w:trPr>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CableOrganizer Acquisition, LLC</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100" w:type="dxa"/>
            <w:vAlign w:val="bottom"/>
            <w:shd w:val="clear" w:color="auto" w:fill="CCEEFF"/>
          </w:tcPr>
          <w:p>
            <w:pPr>
              <w:spacing w:after="0"/>
              <w:rPr>
                <w:sz w:val="18"/>
                <w:szCs w:val="18"/>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6,810</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9,601</w:t>
            </w: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724"/>
          </w:cols>
          <w:pgMar w:left="896" w:top="909" w:right="279" w:bottom="1440" w:gutter="0" w:footer="0" w:header="0"/>
        </w:sectPr>
      </w:pP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809105"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809105"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9105" cy="14605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Balance Sheets – Micro Precision, LLC</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6,022</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(1,989)</w:t>
            </w:r>
          </w:p>
        </w:tc>
        <w:tc>
          <w:tcPr>
            <w:tcW w:w="2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(1,275)</w:t>
            </w: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2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June 30,</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60" w:type="dxa"/>
            <w:vAlign w:val="bottom"/>
            <w:gridSpan w:val="2"/>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7324" w:space="720"/>
            <w:col w:w="2680"/>
          </w:cols>
          <w:pgMar w:left="896" w:top="909" w:right="279" w:bottom="1440" w:gutter="0" w:footer="0" w:header="0"/>
          <w:type w:val="continuous"/>
        </w:sectPr>
      </w:pPr>
    </w:p>
    <w:tbl>
      <w:tblPr>
        <w:tblLayout w:type="fixed"/>
        <w:tblInd w:w="4"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19,346</w:t>
            </w: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13,977</w:t>
            </w: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16,208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8"/>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 Micro Precision, LLC</w:t>
            </w:r>
            <w:r>
              <w:rPr>
                <w:rFonts w:ascii="Arial" w:cs="Arial" w:eastAsia="Arial" w:hAnsi="Arial"/>
                <w:sz w:val="30"/>
                <w:szCs w:val="30"/>
                <w:b w:val="1"/>
                <w:bCs w:val="1"/>
                <w:color w:val="auto"/>
                <w:vertAlign w:val="superscript"/>
              </w:rPr>
              <w:t>(1)</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6,024</w:t>
            </w:r>
          </w:p>
        </w:tc>
        <w:tc>
          <w:tcPr>
            <w:tcW w:w="18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984" w:right="2060" w:hanging="4984"/>
        <w:spacing w:after="0" w:line="778" w:lineRule="auto"/>
        <w:tabs>
          <w:tab w:leader="none" w:pos="3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September 30, 2019 financial statements are not available. As such, the most recent comparable period is presented.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-293370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4"/>
          </w:cols>
          <w:pgMar w:left="896" w:top="909" w:right="27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stockholders, and repay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our IPO, we have raised approximately $136.0 million in net proceeds from equity offerings through September 30, 2019.</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17, 2014, the Company entered into a senior secured revolving credit agreement (as amended, the “Credit Facility”) with ING Capital, LLC, as administrative agent, arranger, and bookrunner, and the lenders party thereto. The Credit Facility was amended on May 22, 2015, June 16, 2017, July 19, 2018, and February 22, 2019 (the “Amendments”). The Amendments were affected, among other things, in order to increase the total borrowings allowed under the Credit Facility, allow for stock repurchases, extend the maturity date, reduce the minimum required interest coverage ratio, reduce the minimum required net asset value, and reduce the minimum required asset coverage ratio. The Credit Facility currently provides for borrowings up to $114.5 million and may be increased up to $200.0 million pursuant to its “accordion” feature. The Credit Facility matures on June 16, 2021. As of September 30, 2019, we had $0.0 million outstanding and $114.5 million available under the Credit Facility.</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on the 2022 Notes is payable quarterly. The 2022 Notes are listed on the NASDAQ Global Select Market under the trading symbol “CPTAL” with a par value of $25.00 per share.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Interest on the 2022 Convertible Notes is payable quarterly. The 2022 Convertible Notes are listed on the NASDAQ Capital Market under the trading symbol “CPTAG” with a par value of $25.00 per share.</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September 30, 2019,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w:t>
      </w:r>
    </w:p>
    <w:p>
      <w:pPr>
        <w:jc w:val="both"/>
        <w:ind w:firstLine="8"/>
        <w:spacing w:after="0" w:line="255" w:lineRule="auto"/>
        <w:tabs>
          <w:tab w:leader="none" w:pos="2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from certain provisions of the 1940 Act (including an exemptive order granting relief from the asset coverage requirements for certain indebtedness issued by Fund II and Fund III as SBICs) and from certain reporting requirements mandated by the 1934 Act, with respect to Fund II and Fund III. We intend to comply with the conditions of the order.</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only allowed to borrow money such that our asset coverage, as defined in the 1940 Act, equals at least 200% (or 150% if certain requirements are met, after November 1, 2019) after such borrowing, with certain limited exceptions. On March 23, 2018,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On November 1, 2018, the Board, including a ‘‘required majority’’ (as such term is defined in Section 57(o) of the 1940 Act) approved the application of the modified asset coverage. As a result, our asset coverage requirements for senior securities will be changed from 200% to 150%, effective November 1, 2019. As of September 30, 2019, our asset coverage ratio was 219.5%.</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we had $62.8 million in cash and cash equivalents, and our net assets totaled $151.9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A summary of our significant contractual payment obligations as of September 30, 2019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Contractual Obligations Payments Due by Period</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Less Than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700"/>
              <w:spacing w:after="0" w:line="191" w:lineRule="exact"/>
              <w:rPr>
                <w:sz w:val="20"/>
                <w:szCs w:val="20"/>
                <w:color w:val="auto"/>
              </w:rPr>
            </w:pPr>
            <w:r>
              <w:rPr>
                <w:rFonts w:ascii="Arial" w:cs="Arial" w:eastAsia="Arial" w:hAnsi="Arial"/>
                <w:sz w:val="18"/>
                <w:szCs w:val="18"/>
                <w:b w:val="1"/>
                <w:bCs w:val="1"/>
                <w:color w:val="auto"/>
              </w:rPr>
              <w:t>1 – 3</w:t>
            </w:r>
          </w:p>
        </w:tc>
        <w:tc>
          <w:tcPr>
            <w:tcW w:w="240" w:type="dxa"/>
            <w:vAlign w:val="bottom"/>
          </w:tcPr>
          <w:p>
            <w:pPr>
              <w:spacing w:after="0"/>
              <w:rPr>
                <w:sz w:val="16"/>
                <w:szCs w:val="16"/>
                <w:color w:val="auto"/>
              </w:rPr>
            </w:pPr>
          </w:p>
        </w:tc>
        <w:tc>
          <w:tcPr>
            <w:tcW w:w="122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9"/>
              </w:rPr>
              <w:t>3 – 5</w:t>
            </w:r>
          </w:p>
        </w:tc>
        <w:tc>
          <w:tcPr>
            <w:tcW w:w="120" w:type="dxa"/>
            <w:vAlign w:val="bottom"/>
          </w:tcPr>
          <w:p>
            <w:pPr>
              <w:spacing w:after="0"/>
              <w:rPr>
                <w:sz w:val="16"/>
                <w:szCs w:val="16"/>
                <w:color w:val="auto"/>
              </w:rPr>
            </w:pPr>
          </w:p>
        </w:tc>
        <w:tc>
          <w:tcPr>
            <w:tcW w:w="132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More Than</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1 Year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5 Years</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2022 Notes</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52,088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52,088</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Credit Facility</w:t>
            </w: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233,088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79"/>
              </w:rPr>
              <w:t>64</w:t>
            </w: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have income available, we have made and intend to make monthly distributions thereafter. Our monthly stockholder distributions, if any, will be determined by our Board on a quarterly basis. Any distribution to our stockholders will be declared out of assets legally available for distribution.</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tables summarize our distributions declared from January 1, 2017 through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Record Date</w:t>
            </w:r>
          </w:p>
        </w:tc>
        <w:tc>
          <w:tcPr>
            <w:tcW w:w="2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Payment Date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Per Share</w:t>
            </w: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2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24, 2019</w:t>
            </w:r>
          </w:p>
        </w:tc>
        <w:tc>
          <w:tcPr>
            <w:tcW w:w="2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January 2, 2019</w:t>
            </w: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February 20, 2019</w:t>
            </w:r>
          </w:p>
        </w:tc>
        <w:tc>
          <w:tcPr>
            <w:tcW w:w="28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February 27,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2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March 21, 2019</w:t>
            </w:r>
          </w:p>
        </w:tc>
        <w:tc>
          <w:tcPr>
            <w:tcW w:w="2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March 28, 2019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April 22, 2019</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April 29,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2019</w:t>
            </w:r>
          </w:p>
        </w:tc>
        <w:tc>
          <w:tcPr>
            <w:tcW w:w="2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May 23, 2019</w:t>
            </w:r>
          </w:p>
        </w:tc>
        <w:tc>
          <w:tcPr>
            <w:tcW w:w="28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May 30, 2019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20, 2019</w:t>
            </w:r>
          </w:p>
        </w:tc>
        <w:tc>
          <w:tcPr>
            <w:tcW w:w="28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June 27,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w:t>
            </w:r>
          </w:p>
        </w:tc>
        <w:tc>
          <w:tcPr>
            <w:tcW w:w="2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July 23, 2019</w:t>
            </w:r>
          </w:p>
        </w:tc>
        <w:tc>
          <w:tcPr>
            <w:tcW w:w="2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July 30, 2019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July 1, 2019</w:t>
            </w: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August 22, 2019</w:t>
            </w:r>
          </w:p>
        </w:tc>
        <w:tc>
          <w:tcPr>
            <w:tcW w:w="28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August 29,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8"/>
                <w:szCs w:val="18"/>
                <w:color w:val="auto"/>
              </w:rPr>
            </w:pPr>
          </w:p>
        </w:tc>
      </w:tr>
      <w:tr>
        <w:trPr>
          <w:trHeight w:val="23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w:t>
            </w:r>
          </w:p>
        </w:tc>
        <w:tc>
          <w:tcPr>
            <w:tcW w:w="2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September 20, 2019</w:t>
            </w:r>
          </w:p>
        </w:tc>
        <w:tc>
          <w:tcPr>
            <w:tcW w:w="28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September 27, 2019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9"/>
                <w:szCs w:val="19"/>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 Distributions Declared and Distributed for 2019</w:t>
            </w: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Record Date</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Per 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2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22, 2018</w:t>
            </w:r>
          </w:p>
        </w:tc>
        <w:tc>
          <w:tcPr>
            <w:tcW w:w="2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January 2, 2018</w:t>
            </w: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February 20, 2018</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2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March 23, 2018</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29, 2018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April 19, 2018</w:t>
            </w:r>
          </w:p>
        </w:tc>
        <w:tc>
          <w:tcPr>
            <w:tcW w:w="2640" w:type="dxa"/>
            <w:vAlign w:val="bottom"/>
          </w:tcPr>
          <w:p>
            <w:pPr>
              <w:jc w:val="center"/>
              <w:spacing w:after="0"/>
              <w:rPr>
                <w:sz w:val="20"/>
                <w:szCs w:val="20"/>
                <w:color w:val="auto"/>
              </w:rPr>
            </w:pPr>
            <w:r>
              <w:rPr>
                <w:rFonts w:ascii="Arial" w:cs="Arial" w:eastAsia="Arial" w:hAnsi="Arial"/>
                <w:sz w:val="18"/>
                <w:szCs w:val="18"/>
                <w:color w:val="auto"/>
                <w:w w:val="95"/>
              </w:rPr>
              <w:t>April 27, 2018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 2018</w:t>
            </w:r>
          </w:p>
        </w:tc>
        <w:tc>
          <w:tcPr>
            <w:tcW w:w="2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May 22, 2018</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20, 2018</w:t>
            </w: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June 28, 2018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2018</w:t>
            </w:r>
          </w:p>
        </w:tc>
        <w:tc>
          <w:tcPr>
            <w:tcW w:w="2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July 23, 2018</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July 2, 2018</w:t>
            </w: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August 23, 2018</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30, 2018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2018</w:t>
            </w:r>
          </w:p>
        </w:tc>
        <w:tc>
          <w:tcPr>
            <w:tcW w:w="2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September 20, 2018</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27, 2018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October 1, 2018</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October 23, 2018</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October 30, 2018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2018</w:t>
            </w:r>
          </w:p>
        </w:tc>
        <w:tc>
          <w:tcPr>
            <w:tcW w:w="2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November 21, 2018</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October 1, 2018</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20, 2018</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December 28, 2018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2018</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vMerge w:val="restart"/>
          </w:tcPr>
          <w:p>
            <w:pPr>
              <w:jc w:val="right"/>
              <w:ind w:right="109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Record Date</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Per Share</w:t>
            </w: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2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 2017</w:t>
            </w:r>
          </w:p>
        </w:tc>
        <w:tc>
          <w:tcPr>
            <w:tcW w:w="2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January 3, 2017</w:t>
            </w: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February 20, 2017</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2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March 23, 2017</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April 19, 2017</w:t>
            </w:r>
          </w:p>
        </w:tc>
        <w:tc>
          <w:tcPr>
            <w:tcW w:w="2640" w:type="dxa"/>
            <w:vAlign w:val="bottom"/>
          </w:tcPr>
          <w:p>
            <w:pPr>
              <w:jc w:val="center"/>
              <w:spacing w:after="0"/>
              <w:rPr>
                <w:sz w:val="20"/>
                <w:szCs w:val="20"/>
                <w:color w:val="auto"/>
              </w:rPr>
            </w:pPr>
            <w:r>
              <w:rPr>
                <w:rFonts w:ascii="Arial" w:cs="Arial" w:eastAsia="Arial" w:hAnsi="Arial"/>
                <w:sz w:val="18"/>
                <w:szCs w:val="18"/>
                <w:color w:val="auto"/>
                <w:w w:val="95"/>
              </w:rPr>
              <w:t>April 27, 2017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 2017</w:t>
            </w:r>
          </w:p>
        </w:tc>
        <w:tc>
          <w:tcPr>
            <w:tcW w:w="2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May 23, 2017</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29, 2017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24, 2017</w:t>
            </w: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June 29, 2017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2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July 21, 2017</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28, 2017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July 3, 2017</w:t>
            </w: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August 23, 2017</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30, 2017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2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September 20, 2017</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28, 2017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October 2, 2017</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October 23, 2017</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October 30, 2017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 2017</w:t>
            </w:r>
          </w:p>
        </w:tc>
        <w:tc>
          <w:tcPr>
            <w:tcW w:w="2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November 21, 2017</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October 2, 2017</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20, 2017</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December 28, 2017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23"/>
        </w:trPr>
        <w:tc>
          <w:tcPr>
            <w:tcW w:w="4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2017</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the Investment Advisory Agreement with the Investment Advisor. Joseph B. Alala, our chief executive officer and chairman of our Board, is the managing partner and chief investment officer of the Investment Advisor, and M. Hunt Broyhill, a member of our Board, has an indirect controlling interest in the Investment Advisor.</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an affiliate of the Investment Advisor also manages CapitalSouth Partners SBIC Fund IV, L.P. (‘‘Fund IV’’), a private investment limited partnership which provides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and a private investment vehicle (referred to herein as “Capitala Specialty Lending Corp” or “CSLC”), both of which provide financing solutions to lower middle-market and traditional middle-market companies.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expect to make, and have made, co-investments with Fund IV, Fund V, and/or CSLC to the extent their respective investment strategies align with ours.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(the ‘‘Order’’) permitting this relief.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2" w:name="page73"/>
    <w:bookmarkEnd w:id="72"/>
    <w:p>
      <w:pPr>
        <w:jc w:val="both"/>
        <w:ind w:firstLine="648"/>
        <w:spacing w:after="0" w:line="255" w:lineRule="auto"/>
        <w:rPr>
          <w:sz w:val="20"/>
          <w:szCs w:val="20"/>
          <w:color w:val="auto"/>
        </w:rPr>
      </w:pPr>
      <w:r>
        <w:rPr>
          <w:rFonts w:ascii="Arial" w:cs="Arial" w:eastAsia="Arial" w:hAnsi="Arial"/>
          <w:sz w:val="18"/>
          <w:szCs w:val="18"/>
          <w:color w:val="auto"/>
        </w:rPr>
        <w:t xml:space="preserve">The Company may invest in the same unitranche facility as CSLF II, whereby CSLF II provides the first-out portion of the unitranche facility and the Company and other lenders provide the last-out portion of the unitranche facility. Under a guarantee agreement, the Company may be required to purchase its pro-rata portion of first-out loans from CSLF II upon certain triggering events, including acceleration upon payment default of the underlying borrower. As of September 30, 2019, the Company has evaluated the fair value of the guarantee under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and determined that the fair value of the guarantee is immaterial as the risk of payment default for first-out loans in CSLF II is considered remote. The maximum exposure to credit risk as of September 30, 2019 and December 31, 2018, was $7.3 million and $4.3 million, respectively, and extends to the stated maturity of the underlying loans in CSLF II.</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director of our Administrator.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September 30, 2019, the Company had outstanding unfunded commitments related to debt and equity investments in existing portfolio companies of $11.4 million (CSLF II), $2.7 million (Portrait Studio, LLC), $1.0 million (Freedom Electronics, LLC), $1.0 million (U.S. BioTek Laboratories, LLC), and $0.7 million (Jurassic Quest Holdings, LLC). As of December 31, 2018, the Company had outstanding unfunded commitments related to debt and equity investments in existing portfolio companies of $6.4 million (CSLF II), $5.0 million (Portrait Studio, LLC), $1.1 million (MC Sign Lessor, Corp.), $1.0 million (U.S. BioTek Laboratories, LLC), $0.8 million (Freedom Electronics, LLC), and $0.3 million (CableOrganizer Acquisition, LLC).</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1, 2019, the Company’s Board declared normal monthly distributions for October, November, and December of 2019 as set forth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2"/>
          </w:tcPr>
          <w:p>
            <w:pPr>
              <w:ind w:left="1240"/>
              <w:spacing w:after="0"/>
              <w:rPr>
                <w:sz w:val="20"/>
                <w:szCs w:val="20"/>
                <w:color w:val="auto"/>
              </w:rPr>
            </w:pPr>
            <w:r>
              <w:rPr>
                <w:rFonts w:ascii="Arial" w:cs="Arial" w:eastAsia="Arial" w:hAnsi="Arial"/>
                <w:sz w:val="18"/>
                <w:szCs w:val="18"/>
                <w:b w:val="1"/>
                <w:bCs w:val="1"/>
                <w:color w:val="auto"/>
              </w:rPr>
              <w:t>Date Declared</w:t>
            </w:r>
          </w:p>
        </w:tc>
        <w:tc>
          <w:tcPr>
            <w:tcW w:w="2740" w:type="dxa"/>
            <w:vAlign w:val="bottom"/>
          </w:tcPr>
          <w:p>
            <w:pPr>
              <w:ind w:left="900"/>
              <w:spacing w:after="0"/>
              <w:rPr>
                <w:sz w:val="20"/>
                <w:szCs w:val="20"/>
                <w:color w:val="auto"/>
              </w:rPr>
            </w:pPr>
            <w:r>
              <w:rPr>
                <w:rFonts w:ascii="Arial" w:cs="Arial" w:eastAsia="Arial" w:hAnsi="Arial"/>
                <w:sz w:val="18"/>
                <w:szCs w:val="18"/>
                <w:b w:val="1"/>
                <w:bCs w:val="1"/>
                <w:color w:val="auto"/>
              </w:rPr>
              <w:t>Record Date</w:t>
            </w:r>
          </w:p>
        </w:tc>
        <w:tc>
          <w:tcPr>
            <w:tcW w:w="140" w:type="dxa"/>
            <w:vAlign w:val="bottom"/>
          </w:tcPr>
          <w:p>
            <w:pPr>
              <w:spacing w:after="0"/>
              <w:rPr>
                <w:sz w:val="20"/>
                <w:szCs w:val="20"/>
                <w:color w:val="auto"/>
              </w:rPr>
            </w:pPr>
          </w:p>
        </w:tc>
        <w:tc>
          <w:tcPr>
            <w:tcW w:w="2740" w:type="dxa"/>
            <w:vAlign w:val="bottom"/>
          </w:tcPr>
          <w:p>
            <w:pPr>
              <w:ind w:left="82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204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Distributions per Share</w:t>
            </w:r>
          </w:p>
        </w:tc>
      </w:tr>
      <w:tr>
        <w:trPr>
          <w:trHeight w:val="210"/>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2019</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22, 2019</w:t>
            </w:r>
          </w:p>
        </w:tc>
        <w:tc>
          <w:tcPr>
            <w:tcW w:w="14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29, 2019</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October 1, 2019</w:t>
            </w:r>
          </w:p>
        </w:tc>
        <w:tc>
          <w:tcPr>
            <w:tcW w:w="2740" w:type="dxa"/>
            <w:vAlign w:val="bottom"/>
          </w:tcPr>
          <w:p>
            <w:pPr>
              <w:spacing w:after="0"/>
              <w:rPr>
                <w:sz w:val="20"/>
                <w:szCs w:val="20"/>
                <w:color w:val="auto"/>
              </w:rPr>
            </w:pPr>
            <w:r>
              <w:rPr>
                <w:rFonts w:ascii="Arial" w:cs="Arial" w:eastAsia="Arial" w:hAnsi="Arial"/>
                <w:sz w:val="18"/>
                <w:szCs w:val="18"/>
                <w:color w:val="auto"/>
              </w:rPr>
              <w:t>November 22, 2019</w:t>
            </w:r>
          </w:p>
        </w:tc>
        <w:tc>
          <w:tcPr>
            <w:tcW w:w="2880" w:type="dxa"/>
            <w:vAlign w:val="bottom"/>
            <w:gridSpan w:val="2"/>
          </w:tcPr>
          <w:p>
            <w:pPr>
              <w:ind w:left="140"/>
              <w:spacing w:after="0"/>
              <w:rPr>
                <w:sz w:val="20"/>
                <w:szCs w:val="20"/>
                <w:color w:val="auto"/>
              </w:rPr>
            </w:pPr>
            <w:r>
              <w:rPr>
                <w:rFonts w:ascii="Arial" w:cs="Arial" w:eastAsia="Arial" w:hAnsi="Arial"/>
                <w:sz w:val="18"/>
                <w:szCs w:val="18"/>
                <w:color w:val="auto"/>
              </w:rPr>
              <w:t>November 29, 2019</w:t>
            </w:r>
          </w:p>
        </w:tc>
        <w:tc>
          <w:tcPr>
            <w:tcW w:w="86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2019</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December 23, 2019</w:t>
            </w:r>
          </w:p>
        </w:tc>
        <w:tc>
          <w:tcPr>
            <w:tcW w:w="2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December 30, 2019</w:t>
            </w:r>
          </w:p>
        </w:tc>
        <w:tc>
          <w:tcPr>
            <w:tcW w:w="8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On October 8, 2019, the Board of Directors appointed Kevin A. Koonts to replace Richard G. Wheelahan III as the Chief Compliance Officer and Secretary of the Company. Kevin A. Koonts will continue to serve as the Company’s Chief Accounting Officer and Treasurer.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nine months ended September 30, 2019, we did not engage in hedging activities.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September 30, 2019, we held 21 securities bearing a variable rate of interest. Our variable rate investments represent approximately 61.0% of the fair value of total debt investments. On a fair value basis, 4.9% of variable rate securities were yielding interest at a rate equal to the established interest rate floor or interest rate ceiling and 95.1% of variable rate securities were yielding interest at a rate above its interest rate floor or were not subject to an interest rate floor as of September 30, 2019. As of September 30, 2019, we had $0.0 million outstanding on our Credit Facility, which has a variable rate of interest at one-month LIBOR + 3.0%. As of September 30, 2019, all of our other interest paying liabilities, consisting of $150.0 million in SBA-guaranteed debentures, $75.0 million in 2022 Notes, and $52.1 million in 2022 Convertible Notes, were bearing interest at a fixed rate.</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our September 30, 2019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Increase)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decrease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Increase</w:t>
            </w: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interest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6980" w:type="dxa"/>
            <w:vAlign w:val="bottom"/>
          </w:tcPr>
          <w:p>
            <w:pPr>
              <w:ind w:left="2740"/>
              <w:spacing w:after="0"/>
              <w:rPr>
                <w:sz w:val="20"/>
                <w:szCs w:val="20"/>
                <w:color w:val="auto"/>
              </w:rPr>
            </w:pPr>
            <w:r>
              <w:rPr>
                <w:rFonts w:ascii="Arial" w:cs="Arial" w:eastAsia="Arial" w:hAnsi="Arial"/>
                <w:sz w:val="18"/>
                <w:szCs w:val="18"/>
                <w:b w:val="1"/>
                <w:bCs w:val="1"/>
                <w:color w:val="auto"/>
              </w:rPr>
              <w:t>Basis Point Change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income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expense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 net income</w:t>
            </w: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Up 200 basis points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3,287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3,287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Down 100 basis points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(1,305)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(1,568)</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Down 300 basis points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(1,568)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of September 30, 2019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has not identified any change in the Company’s internal control over financial reporting that occurred during the third quarter of 2019 that has materially affected, or is reasonably likely to materially affect, the Company’s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than as described below, 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December 28, 2017, an alleged stockholder filed a putative class action lawsuit complaint, Paskowitz v. Capitala Finance Corp., et al., in the United States District Court for the Central District of California (case number 2:17-cv-09251-MWF-AS) (the “Paskowitz Action”), against the Company and certain of its current officers on behalf of all persons who purchased or otherwise acquired the Company’s common stock between January 4, 2016 and August 7, 2017. On January 3, 2018, another alleged stockholder filed a putative class action complaint, Sandifer v. Capitala Finance Corp., et al., in the United States District Court for the Central District of California (case number 2:18-cv-00052-MWF-AS) (the “Sandifer Action”), asserting substantially similar claims on behalf of the same putative class and against the same defendants. On February 2, 2018, the Sandifer Action was transferred, on stipulation of the parties, to the United States District Court for the Western District of North Carolina. The Sandifer Action was voluntarily dismissed on February 28, 2018. On March 1, 2018, the Paskowitz Action was transferred, on stipulation of the parties, to the United States District Court for the Western District of North Carolina (case number 3:18-cv-00096-RJC-DSC). On June 19, 2018, the plaintiffs in the Paskowitz Action filed their amended complaint. The amended complaint alleged certain violations of the securities laws, including, inter alia, that the defendants made certain materially false and misleading statements and omissions regarding the Company’s business, operations, and prospects between January 4, 2016 and August 7, 2017. The amended complaint sought compensatory damages and attorneys’ fees and costs, among other relief, but did not specify the amount of damages being sought.</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14, 2018, Defendants in the Paskowitz Action filed a motion to dismiss the amended complaint. On August 15, 2019, the Court granted Defendants’ motion to dismiss and dismissed the amended complaint without prejudice to the plaintiffs’ ability to file a motion seeking to further amend the amended complaint. On September 16, 2019, the plaintiffs filed a notice with the Court informing the Court that plaintiffs intend not to file a second amended complaint and requesting that the Court enter an order of final judgment and dismissal. On October 25, 2019, the Court entered a judgment in accordance with the August 15, 2019 dismissal order. While the Company intends to vigorously defend itself in this litigation should the litigation continue, the outcome of these legal proceedings cannot be predicted with certainty.</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adversely affect the Company’s financial condition, results of operations or cash flows in any particular reporting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December 31, 2018, which could materially affect our business, financial condition and/or operating results, including the Risk Factor titled “Recent legislation may allow us to incur additional leverage”. The risks described in our Annual Report on Form 10-K are not the only risks we face. Additional risks and uncertainties that are not currently known to us or that we currently deem to be immaterial also may materially adversely affect our business, financial condition and/or operating results. Other than the risk factors below, during the nine months ended September 30, 2019, there have been no material changes from the risk factors set forth in our Annual Report on Form 10-K for the year ended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Uncertainty relating to the LIBOR calculation process may adversely affect the value of our portfolio of the LIBOR-indexed, floating-rate debt securities.</w:t>
      </w:r>
    </w:p>
    <w:p>
      <w:pPr>
        <w:spacing w:after="0" w:line="2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recent past, concerns have been publicized that some of the member banks surveyed by the British Bankers’ Association (“BBA”) in connection with the calculation of LIBOR across a range of maturities and currencies may have been under-reporting or otherwise manipulating the inter-bank lending rate applicable to them in order to profit on their derivatives positions or to avoid an appearance of capital insufficiency or adverse reputational or other consequences that may have resulted from reporting inter-bank lending rates higher than those they actually submitted. A number of BBA member banks have entered into settlements with their regulators and law enforcement agencies with respect to alleged manipulation of LIBOR, and investigations by regulators and governmental authorities in various jurisdictions are ongoing.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jc w:val="both"/>
        <w:ind w:firstLine="648"/>
        <w:spacing w:after="0" w:line="255" w:lineRule="auto"/>
        <w:rPr>
          <w:sz w:val="20"/>
          <w:szCs w:val="20"/>
          <w:color w:val="auto"/>
        </w:rPr>
      </w:pPr>
      <w:r>
        <w:rPr>
          <w:rFonts w:ascii="Arial" w:cs="Arial" w:eastAsia="Arial" w:hAnsi="Arial"/>
          <w:sz w:val="18"/>
          <w:szCs w:val="18"/>
          <w:color w:val="auto"/>
        </w:rPr>
        <w:t>Actions by the BBA, regulators or law enforcement agencies may result in changes to the manner in which LIBOR is determined. Uncertainty as to the nature of such potential changes may adversely affect the market for LIBOR-based securities, including our portfolio of LIBOR-indexed, floating-rate debt securities. In addition, any further changes or reforms to the determination or supervision of LIBOR may result in a sudden or prolonged increase or decrease in reported LIBOR, which could have an adverse impact on the market for LIBOR-based securities or the value of our portfolio of LIBOR-indexed, floating-rate debt securities. For example, on July 27, 2017, the U.K.’s Financial Conduct Authority, which regulates LIBOR, announced that it intends to phase out LIBOR by the end of 2021. It is unclear if at that time whether or not LIBOR will cease to exist or if new methods of calculating LIBOR will be established such that it continues to exist after 2021.</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called the Secured Overnight Financing Rate (“SOFR”). The first publication of SOFR was released in April 2018. Whether or not SOFR attains market traction as a LIBOR replacement remains a question and the future of LIBOR at this time is uncertain.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LIBOR ceases to exist, we may need to renegotiate the credit agreements extending beyond 2021 with our portfolio companies that utilize LIBOR as a factor in determining the interest rate to replace LIBOR with the new standard that is established. However, because the future of LIBOR at this time is uncertain, the specific effects of a transition away from LIBOR, including any effect on our net investment income, cannot be determined as of the date of this report.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quarter ended September 30, 2019, pursuant to our DRIP, we issued 42,127 shares of common stock to stockholders of record that did not opt out of our DRIP. The issuances were not subject to the registration requirements under the Securities Act of 1933, as amended. The cash paid for shares of common stock issued under our DRIP during the quarter ended September 30, 2019 was approximately $0.3 million. Other than the shares issued under our DRIP during the quarter ended September 30, 2019, we did not sell any unregistered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ectPr>
          <w:pgSz w:w="11900" w:h="16838" w:orient="portrait"/>
          <w:cols w:equalWidth="0" w:num="1">
            <w:col w:w="11420"/>
          </w:cols>
          <w:pgMar w:left="240" w:top="904" w:right="239" w:bottom="1440" w:gutter="0" w:footer="0" w:header="0"/>
        </w:sectPr>
      </w:pPr>
    </w:p>
    <w:p>
      <w:pPr>
        <w:spacing w:after="0" w:line="244" w:lineRule="exact"/>
        <w:rPr>
          <w:sz w:val="20"/>
          <w:szCs w:val="20"/>
          <w:color w:val="auto"/>
        </w:rPr>
      </w:pPr>
    </w:p>
    <w:p>
      <w:pPr>
        <w:jc w:val="both"/>
        <w:spacing w:after="0" w:line="332" w:lineRule="auto"/>
        <w:rPr>
          <w:rFonts w:ascii="Arial" w:cs="Arial" w:eastAsia="Arial" w:hAnsi="Arial"/>
          <w:sz w:val="16"/>
          <w:szCs w:val="16"/>
          <w:u w:val="single" w:color="auto"/>
          <w:color w:val="0000EE"/>
        </w:rPr>
      </w:pPr>
      <w:r>
        <w:rPr>
          <w:rFonts w:ascii="Arial" w:cs="Arial" w:eastAsia="Arial" w:hAnsi="Arial"/>
          <w:sz w:val="16"/>
          <w:szCs w:val="16"/>
          <w:b w:val="1"/>
          <w:bCs w:val="1"/>
          <w:color w:val="auto"/>
        </w:rPr>
        <w:t xml:space="preserve">Exhibit Number </w:t>
      </w:r>
      <w:hyperlink r:id="rId222">
        <w:r>
          <w:rPr>
            <w:rFonts w:ascii="Arial" w:cs="Arial" w:eastAsia="Arial" w:hAnsi="Arial"/>
            <w:sz w:val="16"/>
            <w:szCs w:val="16"/>
            <w:u w:val="single" w:color="auto"/>
            <w:color w:val="0000EE"/>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5829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52" w:lineRule="exact"/>
        <w:rPr>
          <w:sz w:val="20"/>
          <w:szCs w:val="20"/>
          <w:color w:val="auto"/>
        </w:rPr>
      </w:pPr>
    </w:p>
    <w:p>
      <w:pPr>
        <w:spacing w:after="0"/>
        <w:rPr>
          <w:rFonts w:ascii="Arial" w:cs="Arial" w:eastAsia="Arial" w:hAnsi="Arial"/>
          <w:sz w:val="18"/>
          <w:szCs w:val="18"/>
          <w:u w:val="single" w:color="auto"/>
          <w:color w:val="0000EE"/>
        </w:rPr>
      </w:pPr>
      <w:hyperlink r:id="rId224">
        <w:r>
          <w:rPr>
            <w:rFonts w:ascii="Arial" w:cs="Arial" w:eastAsia="Arial" w:hAnsi="Arial"/>
            <w:sz w:val="18"/>
            <w:szCs w:val="18"/>
            <w:u w:val="single" w:color="auto"/>
            <w:color w:val="0000EE"/>
          </w:rPr>
          <w:t>3.2</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3.3</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226">
        <w:r>
          <w:rPr>
            <w:rFonts w:ascii="Arial" w:cs="Arial" w:eastAsia="Arial" w:hAnsi="Arial"/>
            <w:sz w:val="18"/>
            <w:szCs w:val="18"/>
            <w:u w:val="single" w:color="auto"/>
            <w:color w:val="0000EE"/>
          </w:rPr>
          <w:t>3.4</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3.5</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228">
        <w:r>
          <w:rPr>
            <w:rFonts w:ascii="Arial" w:cs="Arial" w:eastAsia="Arial" w:hAnsi="Arial"/>
            <w:sz w:val="18"/>
            <w:szCs w:val="18"/>
            <w:u w:val="single" w:color="auto"/>
            <w:color w:val="0000EE"/>
          </w:rPr>
          <w:t>3.6</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229">
        <w:r>
          <w:rPr>
            <w:rFonts w:ascii="Arial" w:cs="Arial" w:eastAsia="Arial" w:hAnsi="Arial"/>
            <w:sz w:val="18"/>
            <w:szCs w:val="18"/>
            <w:u w:val="single" w:color="auto"/>
            <w:color w:val="0000EE"/>
          </w:rPr>
          <w:t>4.1</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31.1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5176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0" w:lineRule="exact"/>
        <w:rPr>
          <w:sz w:val="20"/>
          <w:szCs w:val="20"/>
          <w:color w:val="auto"/>
        </w:rPr>
      </w:pPr>
    </w:p>
    <w:p>
      <w:pPr>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 xml:space="preserve">Articles of Amendment and Restatement </w:t>
        </w:r>
      </w:hyperlink>
      <w:r>
        <w:rPr>
          <w:rFonts w:ascii="Arial" w:cs="Arial" w:eastAsia="Arial" w:hAnsi="Arial"/>
          <w:sz w:val="30"/>
          <w:szCs w:val="30"/>
          <w:u w:val="single" w:color="auto"/>
          <w:color w:val="0000EE"/>
          <w:vertAlign w:val="superscript"/>
        </w:rPr>
        <w:t>(1)</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224">
        <w:r>
          <w:rPr>
            <w:rFonts w:ascii="Arial" w:cs="Arial" w:eastAsia="Arial" w:hAnsi="Arial"/>
            <w:sz w:val="18"/>
            <w:szCs w:val="18"/>
            <w:u w:val="single" w:color="auto"/>
            <w:color w:val="0000EE"/>
          </w:rPr>
          <w:t xml:space="preserve">Certificate of Limited Partnership of CapitalSouth Partners Fund II Limited Partnership </w:t>
        </w:r>
      </w:hyperlink>
      <w:r>
        <w:rPr>
          <w:rFonts w:ascii="Arial" w:cs="Arial" w:eastAsia="Arial" w:hAnsi="Arial"/>
          <w:sz w:val="30"/>
          <w:szCs w:val="30"/>
          <w:u w:val="single" w:color="auto"/>
          <w:color w:val="0000EE"/>
          <w:vertAlign w:val="superscript"/>
        </w:rPr>
        <w:t>(2)</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 xml:space="preserve">Certificate of Limited Partnership of CapitalSouth Partners SBIC Fund III, L.P. </w:t>
        </w:r>
      </w:hyperlink>
      <w:r>
        <w:rPr>
          <w:rFonts w:ascii="Arial" w:cs="Arial" w:eastAsia="Arial" w:hAnsi="Arial"/>
          <w:sz w:val="30"/>
          <w:szCs w:val="30"/>
          <w:u w:val="single" w:color="auto"/>
          <w:color w:val="0000EE"/>
          <w:vertAlign w:val="superscript"/>
        </w:rPr>
        <w:t>(2)</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226">
        <w:r>
          <w:rPr>
            <w:rFonts w:ascii="Arial" w:cs="Arial" w:eastAsia="Arial" w:hAnsi="Arial"/>
            <w:sz w:val="18"/>
            <w:szCs w:val="18"/>
            <w:u w:val="single" w:color="auto"/>
            <w:color w:val="0000EE"/>
          </w:rPr>
          <w:t xml:space="preserve">Bylaws </w:t>
        </w:r>
      </w:hyperlink>
      <w:r>
        <w:rPr>
          <w:rFonts w:ascii="Arial" w:cs="Arial" w:eastAsia="Arial" w:hAnsi="Arial"/>
          <w:sz w:val="30"/>
          <w:szCs w:val="30"/>
          <w:u w:val="single" w:color="auto"/>
          <w:color w:val="0000EE"/>
          <w:vertAlign w:val="superscript"/>
        </w:rPr>
        <w:t>(1)</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 xml:space="preserve">Form of Amended and Restated Limited Partnership Agreement of CapitalSouth Partners Fund II Limited Partnership </w:t>
        </w:r>
      </w:hyperlink>
      <w:r>
        <w:rPr>
          <w:rFonts w:ascii="Arial" w:cs="Arial" w:eastAsia="Arial" w:hAnsi="Arial"/>
          <w:sz w:val="30"/>
          <w:szCs w:val="30"/>
          <w:u w:val="single" w:color="auto"/>
          <w:color w:val="0000EE"/>
          <w:vertAlign w:val="superscript"/>
        </w:rPr>
        <w:t>(3)</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228">
        <w:r>
          <w:rPr>
            <w:rFonts w:ascii="Arial" w:cs="Arial" w:eastAsia="Arial" w:hAnsi="Arial"/>
            <w:sz w:val="18"/>
            <w:szCs w:val="18"/>
            <w:u w:val="single" w:color="auto"/>
            <w:color w:val="0000EE"/>
          </w:rPr>
          <w:t xml:space="preserve">Form of Amended and Restated Agreement of Limited Partnership of CapitalSouth Partners SBIC Fund III, L.P. </w:t>
        </w:r>
      </w:hyperlink>
      <w:r>
        <w:rPr>
          <w:rFonts w:ascii="Arial" w:cs="Arial" w:eastAsia="Arial" w:hAnsi="Arial"/>
          <w:sz w:val="30"/>
          <w:szCs w:val="30"/>
          <w:u w:val="single" w:color="auto"/>
          <w:color w:val="0000EE"/>
          <w:vertAlign w:val="superscript"/>
        </w:rPr>
        <w:t>(3)</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229">
        <w:r>
          <w:rPr>
            <w:rFonts w:ascii="Arial" w:cs="Arial" w:eastAsia="Arial" w:hAnsi="Arial"/>
            <w:sz w:val="18"/>
            <w:szCs w:val="18"/>
            <w:u w:val="single" w:color="auto"/>
            <w:color w:val="0000EE"/>
          </w:rPr>
          <w:t xml:space="preserve">Form of Common Stock Certificate </w:t>
        </w:r>
      </w:hyperlink>
      <w:r>
        <w:rPr>
          <w:rFonts w:ascii="Arial" w:cs="Arial" w:eastAsia="Arial" w:hAnsi="Arial"/>
          <w:sz w:val="30"/>
          <w:szCs w:val="30"/>
          <w:u w:val="single" w:color="auto"/>
          <w:color w:val="0000EE"/>
          <w:vertAlign w:val="superscript"/>
        </w:rPr>
        <w:t>(1)</w:t>
      </w:r>
    </w:p>
    <w:p>
      <w:pPr>
        <w:spacing w:after="0" w:line="124"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Certification of Chief Executive Officer pursuant to Rule 13a-14 of the Securities Exchange Act of 1934, as adopted pursuant to Section 302</w:t>
        </w:r>
      </w:hyperlink>
      <w:r>
        <w:rPr>
          <w:rFonts w:ascii="Arial" w:cs="Arial" w:eastAsia="Arial" w:hAnsi="Arial"/>
          <w:sz w:val="18"/>
          <w:szCs w:val="18"/>
          <w:u w:val="single" w:color="auto"/>
          <w:color w:val="0000EE"/>
        </w:rPr>
        <w:t xml:space="preserve"> </w:t>
      </w:r>
      <w:hyperlink w:anchor="page80">
        <w:r>
          <w:rPr>
            <w:rFonts w:ascii="Arial" w:cs="Arial" w:eastAsia="Arial" w:hAnsi="Arial"/>
            <w:sz w:val="18"/>
            <w:szCs w:val="18"/>
            <w:u w:val="single" w:color="auto"/>
            <w:color w:val="0000EE"/>
          </w:rPr>
          <w:t>of the Sarbanes-Oxley Act of 2002 (filed herewith)</w:t>
        </w:r>
      </w:hyperlink>
    </w:p>
    <w:p>
      <w:pPr>
        <w:spacing w:after="0" w:line="153" w:lineRule="exact"/>
        <w:rPr>
          <w:sz w:val="20"/>
          <w:szCs w:val="20"/>
          <w:color w:val="auto"/>
        </w:rPr>
      </w:pPr>
    </w:p>
    <w:p>
      <w:pPr>
        <w:sectPr>
          <w:pgSz w:w="11900" w:h="16838" w:orient="portrait"/>
          <w:cols w:equalWidth="0" w:num="2">
            <w:col w:w="640" w:space="520"/>
            <w:col w:w="1026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jc w:val="right"/>
              <w:ind w:right="840"/>
              <w:spacing w:after="0"/>
              <w:rPr>
                <w:rFonts w:ascii="Arial" w:cs="Arial" w:eastAsia="Arial" w:hAnsi="Arial"/>
                <w:sz w:val="18"/>
                <w:szCs w:val="18"/>
                <w:color w:val="0000EE"/>
                <w:w w:val="85"/>
              </w:rPr>
            </w:pPr>
            <w:hyperlink w:anchor="page8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260" w:type="dxa"/>
            <w:vAlign w:val="bottom"/>
            <w:gridSpan w:val="4"/>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Certification of Chief Financial Officer pursuant to Rule 13a-14 of the Securities Exchange Act of 1934, as adopted pursuant to Section 302</w:t>
              </w:r>
            </w:hyperlink>
          </w:p>
        </w:tc>
      </w:tr>
      <w:tr>
        <w:trPr>
          <w:trHeight w:val="196"/>
        </w:trPr>
        <w:tc>
          <w:tcPr>
            <w:tcW w:w="32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of the Sarbanes-Oxley Act of 2002 (filed herewith)</w:t>
              </w:r>
            </w:hyperlink>
          </w:p>
        </w:tc>
        <w:tc>
          <w:tcPr>
            <w:tcW w:w="6580" w:type="dxa"/>
            <w:vAlign w:val="bottom"/>
            <w:tcBorders>
              <w:top w:val="single" w:sz="8" w:color="0000EE"/>
            </w:tcBorders>
            <w:gridSpan w:val="2"/>
          </w:tcPr>
          <w:p>
            <w:pPr>
              <w:spacing w:after="0"/>
              <w:rPr>
                <w:sz w:val="17"/>
                <w:szCs w:val="17"/>
                <w:color w:val="auto"/>
              </w:rPr>
            </w:pPr>
          </w:p>
        </w:tc>
      </w:tr>
      <w:tr>
        <w:trPr>
          <w:trHeight w:val="412"/>
        </w:trPr>
        <w:tc>
          <w:tcPr>
            <w:tcW w:w="1160" w:type="dxa"/>
            <w:vAlign w:val="bottom"/>
            <w:gridSpan w:val="2"/>
          </w:tcPr>
          <w:p>
            <w:pPr>
              <w:jc w:val="right"/>
              <w:ind w:right="840"/>
              <w:spacing w:after="0"/>
              <w:rPr>
                <w:rFonts w:ascii="Arial" w:cs="Arial" w:eastAsia="Arial" w:hAnsi="Arial"/>
                <w:sz w:val="18"/>
                <w:szCs w:val="18"/>
                <w:color w:val="0000EE"/>
                <w:w w:val="85"/>
              </w:rPr>
            </w:pPr>
            <w:hyperlink w:anchor="page82">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0260" w:type="dxa"/>
            <w:vAlign w:val="bottom"/>
            <w:gridSpan w:val="4"/>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Certification of Chief Executive Officer pursuant to 18 U.S.C. Section 1350, as adopted pursuant to section 906 of the Sarbanes-Oxley Act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102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2002 (filed herewith)</w:t>
              </w:r>
            </w:hyperlink>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740" w:type="dxa"/>
            <w:vAlign w:val="bottom"/>
            <w:gridSpan w:val="3"/>
          </w:tcPr>
          <w:p>
            <w:pPr>
              <w:spacing w:after="0" w:line="20" w:lineRule="exact"/>
              <w:rPr>
                <w:sz w:val="1"/>
                <w:szCs w:val="1"/>
                <w:color w:val="auto"/>
              </w:rPr>
            </w:pPr>
          </w:p>
        </w:tc>
      </w:tr>
      <w:tr>
        <w:trPr>
          <w:trHeight w:val="412"/>
        </w:trPr>
        <w:tc>
          <w:tcPr>
            <w:tcW w:w="1160" w:type="dxa"/>
            <w:vAlign w:val="bottom"/>
            <w:gridSpan w:val="2"/>
          </w:tcPr>
          <w:p>
            <w:pPr>
              <w:jc w:val="right"/>
              <w:ind w:right="840"/>
              <w:spacing w:after="0"/>
              <w:rPr>
                <w:rFonts w:ascii="Arial" w:cs="Arial" w:eastAsia="Arial" w:hAnsi="Arial"/>
                <w:sz w:val="18"/>
                <w:szCs w:val="18"/>
                <w:color w:val="0000EE"/>
                <w:w w:val="85"/>
              </w:rPr>
            </w:pPr>
            <w:hyperlink w:anchor="page8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10260" w:type="dxa"/>
            <w:vAlign w:val="bottom"/>
            <w:gridSpan w:val="4"/>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Certification of Chief Financial Officer pursuant to 18 U.S.C. Section 1350, as adopted pursuant to section 906 of the Sarbanes-Oxley Act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102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2002 (filed herewith)</w:t>
              </w:r>
            </w:hyperlink>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60" w:hanging="115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170" w:lineRule="exact"/>
        <w:rPr>
          <w:rFonts w:ascii="Arial" w:cs="Arial" w:eastAsia="Arial" w:hAnsi="Arial"/>
          <w:sz w:val="18"/>
          <w:szCs w:val="18"/>
          <w:color w:val="auto"/>
        </w:rPr>
      </w:pPr>
    </w:p>
    <w:p>
      <w:pPr>
        <w:ind w:left="1160" w:hanging="115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170" w:lineRule="exact"/>
        <w:rPr>
          <w:rFonts w:ascii="Arial" w:cs="Arial" w:eastAsia="Arial" w:hAnsi="Arial"/>
          <w:sz w:val="18"/>
          <w:szCs w:val="18"/>
          <w:color w:val="auto"/>
        </w:rPr>
      </w:pPr>
    </w:p>
    <w:p>
      <w:pPr>
        <w:ind w:left="1160" w:hanging="115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November 4, 2019</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4, 2019</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4, 2019</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A. Koonts</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Kevin A. Koonts</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648"/>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73</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420" w:hanging="317"/>
        <w:spacing w:after="0"/>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380" w:hanging="318"/>
        <w:spacing w:after="0" w:line="342" w:lineRule="auto"/>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hanging="318"/>
        <w:spacing w:after="0" w:line="308"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80" w:hanging="318"/>
        <w:spacing w:after="0" w:line="264"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40" w:right="20" w:hanging="670"/>
        <w:spacing w:after="0" w:line="264" w:lineRule="auto"/>
        <w:tabs>
          <w:tab w:leader="none" w:pos="1340" w:val="left"/>
        </w:tabs>
        <w:numPr>
          <w:ilvl w:val="3"/>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40" w:right="20" w:hanging="670"/>
        <w:spacing w:after="0" w:line="342" w:lineRule="auto"/>
        <w:tabs>
          <w:tab w:leader="none" w:pos="1340" w:val="left"/>
        </w:tabs>
        <w:numPr>
          <w:ilvl w:val="3"/>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0"/>
        <w:spacing w:after="0" w:line="264" w:lineRule="auto"/>
        <w:tabs>
          <w:tab w:leader="none" w:pos="1340" w:val="left"/>
        </w:tabs>
        <w:numPr>
          <w:ilvl w:val="3"/>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0"/>
        <w:spacing w:after="0" w:line="308" w:lineRule="auto"/>
        <w:tabs>
          <w:tab w:leader="none" w:pos="1340" w:val="left"/>
        </w:tabs>
        <w:numPr>
          <w:ilvl w:val="3"/>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0"/>
        <w:spacing w:after="0" w:line="277" w:lineRule="auto"/>
        <w:tabs>
          <w:tab w:leader="none" w:pos="1340" w:val="left"/>
        </w:tabs>
        <w:numPr>
          <w:ilvl w:val="3"/>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420" w:hanging="317"/>
        <w:spacing w:after="0"/>
        <w:tabs>
          <w:tab w:leader="none" w:pos="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380" w:hanging="318"/>
        <w:spacing w:after="0" w:line="342"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hanging="318"/>
        <w:spacing w:after="0" w:line="308"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80" w:hanging="318"/>
        <w:spacing w:after="0" w:line="264"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40" w:right="20" w:hanging="670"/>
        <w:spacing w:after="0" w:line="264" w:lineRule="auto"/>
        <w:tabs>
          <w:tab w:leader="none" w:pos="1340" w:val="left"/>
        </w:tabs>
        <w:numPr>
          <w:ilvl w:val="3"/>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40" w:right="20" w:hanging="670"/>
        <w:spacing w:after="0" w:line="342" w:lineRule="auto"/>
        <w:tabs>
          <w:tab w:leader="none" w:pos="1340" w:val="left"/>
        </w:tabs>
        <w:numPr>
          <w:ilvl w:val="3"/>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0"/>
        <w:spacing w:after="0" w:line="264" w:lineRule="auto"/>
        <w:tabs>
          <w:tab w:leader="none" w:pos="1340" w:val="left"/>
        </w:tabs>
        <w:numPr>
          <w:ilvl w:val="3"/>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0"/>
        <w:spacing w:after="0" w:line="308" w:lineRule="auto"/>
        <w:tabs>
          <w:tab w:leader="none" w:pos="1340" w:val="left"/>
        </w:tabs>
        <w:numPr>
          <w:ilvl w:val="3"/>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0"/>
        <w:spacing w:after="0" w:line="277" w:lineRule="auto"/>
        <w:tabs>
          <w:tab w:leader="none" w:pos="1340" w:val="left"/>
        </w:tabs>
        <w:numPr>
          <w:ilvl w:val="3"/>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September 30, 2019,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0"/>
        <w:spacing w:after="0" w:line="277"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September 30, 2019,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0"/>
        <w:spacing w:after="0" w:line="277"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upperLetter"/>
      <w:start w:val="6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lvl w:ilvl="1">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upperLetter"/>
      <w:start w:val="61"/>
    </w:lvl>
  </w:abstractNum>
  <w:abstractNum w:abstractNumId="19">
    <w:nsid w:val="2901D8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abstractNum>
  <w:abstractNum w:abstractNumId="20">
    <w:nsid w:val="3A95F874"/>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lvl w:ilvl="6">
      <w:lvlJc w:val="left"/>
      <w:lvlText w:val="•"/>
      <w:numFmt w:val="bullet"/>
      <w:start w:val="1"/>
    </w:lvl>
  </w:abstractNum>
  <w:abstractNum w:abstractNumId="21">
    <w:nsid w:val="8138641"/>
    <w:multiLevelType w:val="hybridMultilevel"/>
    <w:lvl w:ilvl="0">
      <w:lvlJc w:val="left"/>
      <w:lvlText w:val="1"/>
      <w:numFmt w:val="bullet"/>
      <w:start w:val="1"/>
    </w:lvl>
  </w:abstractNum>
  <w:abstractNum w:abstractNumId="22">
    <w:nsid w:val="1E7FF521"/>
    <w:multiLevelType w:val="hybridMultilevel"/>
    <w:lvl w:ilvl="0">
      <w:lvlJc w:val="left"/>
      <w:lvlText w:val="2"/>
      <w:numFmt w:val="bullet"/>
      <w:start w:val="1"/>
    </w:lvl>
  </w:abstractNum>
  <w:abstractNum w:abstractNumId="23">
    <w:nsid w:val="7C3DBD3D"/>
    <w:multiLevelType w:val="hybridMultilevel"/>
    <w:lvl w:ilvl="0">
      <w:lvlJc w:val="left"/>
      <w:lvlText w:val="3"/>
      <w:numFmt w:val="bullet"/>
      <w:start w:val="1"/>
    </w:lvl>
  </w:abstractNum>
  <w:abstractNum w:abstractNumId="24">
    <w:nsid w:val="737B8DDC"/>
    <w:multiLevelType w:val="hybridMultilevel"/>
    <w:lvl w:ilvl="0">
      <w:lvlJc w:val="left"/>
      <w:lvlText w:val="4"/>
      <w:numFmt w:val="bullet"/>
      <w:start w:val="1"/>
    </w:lvl>
  </w:abstractNum>
  <w:abstractNum w:abstractNumId="25">
    <w:nsid w:val="6CEAF087"/>
    <w:multiLevelType w:val="hybridMultilevel"/>
    <w:lvl w:ilvl="0">
      <w:lvlJc w:val="left"/>
      <w:lvlText w:val="5"/>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upperLetter"/>
      <w:start w:val="6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1">
    <w:nsid w:val="5577F8E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32">
    <w:nsid w:val="440BADF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3">
    <w:nsid w:val="507236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4">
    <w:nsid w:val="3804823E"/>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35">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6">
    <w:nsid w:val="7724C67E"/>
    <w:multiLevelType w:val="hybridMultilevel"/>
    <w:lvl w:ilvl="0">
      <w:lvlJc w:val="left"/>
      <w:lvlText w:val="%1."/>
      <w:numFmt w:val="decimal"/>
      <w:start w:val="1"/>
    </w:lvl>
    <w:lvl w:ilvl="1">
      <w:lvlJc w:val="left"/>
      <w:lvlText w:val="%2."/>
      <w:numFmt w:val="decimal"/>
      <w:start w:val="2"/>
    </w:lvl>
  </w:abstractNum>
  <w:abstractNum w:abstractNumId="37">
    <w:nsid w:val="5C482A97"/>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3"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22" Type="http://schemas.openxmlformats.org/officeDocument/2006/relationships/hyperlink" Target="http://www.sec.gov/Archives/edgar/data/1221483/000119312513361263/d505298dex99a1.htm" TargetMode="External"/><Relationship Id="rId224" Type="http://schemas.openxmlformats.org/officeDocument/2006/relationships/hyperlink" Target="http://www.sec.gov/Archives/edgar/data/1221483/000119312513368161/d505298dex99a2.htm" TargetMode="External"/><Relationship Id="rId225" Type="http://schemas.openxmlformats.org/officeDocument/2006/relationships/hyperlink" Target="http://www.sec.gov/Archives/edgar/data/1221483/000119312513368161/d505298dex99a3.htm" TargetMode="External"/><Relationship Id="rId226" Type="http://schemas.openxmlformats.org/officeDocument/2006/relationships/hyperlink" Target="http://www.sec.gov/Archives/edgar/data/1221483/000119312513361263/d505298dex99b1.htm" TargetMode="External"/><Relationship Id="rId227" Type="http://schemas.openxmlformats.org/officeDocument/2006/relationships/hyperlink" Target="http://www.sec.gov/Archives/edgar/data/1571329/000119312513376445/d505298dex99b2.htm" TargetMode="External"/><Relationship Id="rId228" Type="http://schemas.openxmlformats.org/officeDocument/2006/relationships/hyperlink" Target="http://www.sec.gov/Archives/edgar/data/1571329/000119312513376445/d505298dex99b3.htm" TargetMode="External"/><Relationship Id="rId229" Type="http://schemas.openxmlformats.org/officeDocument/2006/relationships/hyperlink" Target="http://www.sec.gov/Archives/edgar/data/1221483/000119312513361263/d505298d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2019-12-28T03:04:15Z</dcterms:created>
  <dcterms:modified xsi:type="dcterms:W3CDTF">2019-12-28T03:04:15Z</dcterms:modified>
</cp:coreProperties>
</file>